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0033-2023-QEO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重庆富特石业有限公司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重庆富特石业有限公司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重庆市大足区三驱镇大足石刻文创园石文化产业园</w:t>
            </w:r>
            <w:bookmarkEnd w:id="6"/>
          </w:p>
        </w:tc>
        <w:tc>
          <w:tcPr>
            <w:tcW w:w="1242" w:type="dxa"/>
            <w:vMerge w:val="restart"/>
            <w:vAlign w:val="center"/>
          </w:tcPr>
          <w:p>
            <w:r>
              <w:rPr>
                <w:rFonts w:hint="eastAsia"/>
              </w:rPr>
              <w:t>邮编</w:t>
            </w:r>
          </w:p>
        </w:tc>
        <w:tc>
          <w:tcPr>
            <w:tcW w:w="1771" w:type="dxa"/>
          </w:tcPr>
          <w:p>
            <w:bookmarkStart w:id="7" w:name="注册邮编"/>
            <w:r>
              <w:t>402373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重庆市九龙坡区走马镇走马建材交易市场15厅10号</w:t>
            </w:r>
            <w:bookmarkEnd w:id="8"/>
          </w:p>
        </w:tc>
        <w:tc>
          <w:tcPr>
            <w:tcW w:w="1242" w:type="dxa"/>
            <w:vMerge w:val="continue"/>
            <w:vAlign w:val="center"/>
          </w:tcPr>
          <w:p/>
        </w:tc>
        <w:tc>
          <w:tcPr>
            <w:tcW w:w="1771" w:type="dxa"/>
          </w:tcPr>
          <w:p>
            <w:bookmarkStart w:id="9" w:name="办公邮编"/>
            <w:r>
              <w:t>402373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徐善春</w:t>
            </w:r>
            <w:bookmarkEnd w:id="10"/>
          </w:p>
        </w:tc>
        <w:tc>
          <w:tcPr>
            <w:tcW w:w="1313" w:type="dxa"/>
            <w:vAlign w:val="center"/>
          </w:tcPr>
          <w:p>
            <w:r>
              <w:rPr>
                <w:rFonts w:hint="eastAsia"/>
              </w:rPr>
              <w:t>电话.</w:t>
            </w:r>
          </w:p>
        </w:tc>
        <w:tc>
          <w:tcPr>
            <w:tcW w:w="2180" w:type="dxa"/>
            <w:vAlign w:val="center"/>
          </w:tcPr>
          <w:p>
            <w:bookmarkStart w:id="11" w:name="联系人电话"/>
            <w:r>
              <w:t>15902305979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徐敏玲</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林卫炳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highlight w:val="none"/>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tc>
        <w:tc>
          <w:tcPr>
            <w:tcW w:w="8058" w:type="dxa"/>
            <w:gridSpan w:val="5"/>
            <w:shd w:val="clear" w:color="auto" w:fill="auto"/>
            <w:vAlign w:val="top"/>
          </w:tcPr>
          <w:p>
            <w:pPr>
              <w:tabs>
                <w:tab w:val="left" w:pos="2385"/>
              </w:tabs>
              <w:spacing w:line="360" w:lineRule="auto"/>
            </w:pPr>
            <w:r>
              <w:rPr>
                <w:rFonts w:hint="eastAsia"/>
                <w:color w:val="000000"/>
              </w:rPr>
              <w:t>服务</w:t>
            </w:r>
            <w:r>
              <w:rPr>
                <w:rFonts w:hint="eastAsia" w:ascii="Times New Roman" w:hAnsi="Times New Roman" w:eastAsia="宋体" w:cs="Times New Roman"/>
                <w:color w:val="000000"/>
              </w:rPr>
              <w:t>流程图：联系客户—业务洽谈—合同签订—采购产品—检验—产品销售—客户签收—售后服务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2023年02月17日 下午至2023年02月18日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val="0"/>
                <w:bCs w:val="0"/>
                <w:color w:val="0000FF"/>
                <w:szCs w:val="21"/>
                <w:highlight w:val="none"/>
              </w:rPr>
            </w:pPr>
            <w:r>
              <w:rPr>
                <w:rFonts w:hint="eastAsia" w:cs="Arial"/>
                <w:b w:val="0"/>
                <w:bCs w:val="0"/>
                <w:color w:val="0000FF"/>
                <w:szCs w:val="21"/>
                <w:highlight w:val="none"/>
              </w:rPr>
              <w:t>审核地址（含远程）</w:t>
            </w:r>
          </w:p>
        </w:tc>
        <w:tc>
          <w:tcPr>
            <w:tcW w:w="7831" w:type="dxa"/>
            <w:gridSpan w:val="3"/>
            <w:tcMar>
              <w:left w:w="113" w:type="dxa"/>
            </w:tcMar>
          </w:tcPr>
          <w:p>
            <w:pPr>
              <w:rPr>
                <w:rFonts w:ascii="宋体"/>
                <w:b w:val="0"/>
                <w:bCs w:val="0"/>
                <w:color w:val="0000FF"/>
                <w:szCs w:val="21"/>
                <w:highlight w:val="none"/>
              </w:rPr>
            </w:pPr>
            <w:bookmarkStart w:id="24" w:name="办公地址"/>
            <w:r>
              <w:rPr>
                <w:rFonts w:ascii="宋体"/>
                <w:b w:val="0"/>
                <w:bCs w:val="0"/>
                <w:color w:val="000000"/>
                <w:szCs w:val="21"/>
                <w:highlight w:val="none"/>
              </w:rPr>
              <w:t>重庆市九龙坡区走马镇走马建材交易市场15厅10号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Q：石材销售</w:t>
            </w:r>
          </w:p>
          <w:p>
            <w:r>
              <w:t>E：石材销售所涉及场所的相关环境管理活动</w:t>
            </w:r>
          </w:p>
          <w:p>
            <w:r>
              <w:t>O：石材销售所涉及场所的相关职业健康安全管理活动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Q：29.05.03</w:t>
            </w:r>
          </w:p>
          <w:p>
            <w:r>
              <w:t>E：29.05.03</w:t>
            </w:r>
          </w:p>
          <w:p>
            <w:r>
              <w:t>O：29.05.03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15</w:t>
            </w:r>
            <w:r>
              <w:rPr>
                <w:rFonts w:hint="eastAsia"/>
                <w:highlight w:val="none"/>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89"/>
        <w:gridCol w:w="1937"/>
        <w:gridCol w:w="726"/>
        <w:gridCol w:w="2032"/>
        <w:gridCol w:w="129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rPr>
                <w:highlight w:val="none"/>
              </w:rPr>
            </w:pPr>
            <w:r>
              <w:rPr>
                <w:rFonts w:hint="eastAsia"/>
                <w:highlight w:val="none"/>
              </w:rPr>
              <w:t>场所编号</w:t>
            </w:r>
          </w:p>
          <w:p>
            <w:pPr>
              <w:rPr>
                <w:highlight w:val="none"/>
              </w:rPr>
            </w:pPr>
            <w:r>
              <w:rPr>
                <w:rFonts w:hint="eastAsia"/>
                <w:highlight w:val="none"/>
              </w:rPr>
              <w:t>(分证书序号）</w:t>
            </w:r>
          </w:p>
        </w:tc>
        <w:tc>
          <w:tcPr>
            <w:tcW w:w="2589" w:type="dxa"/>
            <w:shd w:val="clear" w:color="auto" w:fill="F3F3F3"/>
            <w:tcMar>
              <w:left w:w="57" w:type="dxa"/>
              <w:right w:w="57" w:type="dxa"/>
            </w:tcMar>
          </w:tcPr>
          <w:p>
            <w:pPr>
              <w:rPr>
                <w:highlight w:val="none"/>
              </w:rPr>
            </w:pPr>
            <w:r>
              <w:rPr>
                <w:rFonts w:hint="eastAsia"/>
                <w:highlight w:val="none"/>
              </w:rPr>
              <w:t>组织名称及注册场所地址</w:t>
            </w:r>
          </w:p>
        </w:tc>
        <w:tc>
          <w:tcPr>
            <w:tcW w:w="1937" w:type="dxa"/>
            <w:shd w:val="clear" w:color="auto" w:fill="F3F3F3"/>
            <w:tcMar>
              <w:left w:w="57" w:type="dxa"/>
              <w:right w:w="57" w:type="dxa"/>
            </w:tcMar>
          </w:tcPr>
          <w:p>
            <w:pPr>
              <w:rPr>
                <w:highlight w:val="none"/>
              </w:rPr>
            </w:pPr>
            <w:r>
              <w:rPr>
                <w:rFonts w:hint="eastAsia"/>
                <w:highlight w:val="none"/>
              </w:rPr>
              <w:t>经营场所的地址</w:t>
            </w:r>
          </w:p>
          <w:p>
            <w:pPr>
              <w:rPr>
                <w:highlight w:val="none"/>
              </w:rPr>
            </w:pPr>
            <w:r>
              <w:rPr>
                <w:rFonts w:hint="eastAsia"/>
                <w:highlight w:val="none"/>
              </w:rPr>
              <w:t>（多现场和临时现场）</w:t>
            </w:r>
          </w:p>
        </w:tc>
        <w:tc>
          <w:tcPr>
            <w:tcW w:w="726" w:type="dxa"/>
            <w:shd w:val="clear" w:color="auto" w:fill="F3F3F3"/>
            <w:tcMar>
              <w:left w:w="57" w:type="dxa"/>
              <w:right w:w="57" w:type="dxa"/>
            </w:tcMar>
          </w:tcPr>
          <w:p>
            <w:pPr>
              <w:rPr>
                <w:highlight w:val="none"/>
              </w:rPr>
            </w:pPr>
            <w:r>
              <w:rPr>
                <w:rFonts w:hint="eastAsia"/>
                <w:highlight w:val="none"/>
              </w:rPr>
              <w:t>员工人数</w:t>
            </w:r>
          </w:p>
        </w:tc>
        <w:tc>
          <w:tcPr>
            <w:tcW w:w="2032" w:type="dxa"/>
            <w:shd w:val="clear" w:color="auto" w:fill="F3F3F3"/>
            <w:tcMar>
              <w:left w:w="57" w:type="dxa"/>
              <w:right w:w="57" w:type="dxa"/>
            </w:tcMar>
          </w:tcPr>
          <w:p>
            <w:pPr>
              <w:rPr>
                <w:highlight w:val="none"/>
              </w:rPr>
            </w:pPr>
            <w:r>
              <w:rPr>
                <w:rFonts w:hint="eastAsia"/>
                <w:highlight w:val="none"/>
              </w:rPr>
              <w:t>审核范围（产品和过程）</w:t>
            </w:r>
          </w:p>
          <w:p>
            <w:pPr>
              <w:rPr>
                <w:highlight w:val="none"/>
              </w:rPr>
            </w:pPr>
          </w:p>
          <w:p>
            <w:pPr>
              <w:rPr>
                <w:highlight w:val="none"/>
              </w:rPr>
            </w:pPr>
          </w:p>
        </w:tc>
        <w:tc>
          <w:tcPr>
            <w:tcW w:w="1293" w:type="dxa"/>
            <w:shd w:val="clear" w:color="auto" w:fill="F3F3F3"/>
            <w:tcMar>
              <w:left w:w="57" w:type="dxa"/>
              <w:right w:w="57" w:type="dxa"/>
            </w:tcMar>
          </w:tcPr>
          <w:p>
            <w:pPr>
              <w:rPr>
                <w:highlight w:val="none"/>
              </w:rPr>
            </w:pPr>
            <w:r>
              <w:rPr>
                <w:rFonts w:hint="eastAsia"/>
                <w:highlight w:val="none"/>
              </w:rPr>
              <w:t>标准</w:t>
            </w:r>
          </w:p>
        </w:tc>
        <w:tc>
          <w:tcPr>
            <w:tcW w:w="668" w:type="dxa"/>
            <w:tcBorders>
              <w:bottom w:val="single" w:color="auto" w:sz="4" w:space="0"/>
            </w:tcBorders>
            <w:shd w:val="clear" w:color="auto" w:fill="F3F3F3"/>
            <w:tcMar>
              <w:left w:w="57" w:type="dxa"/>
              <w:right w:w="57" w:type="dxa"/>
            </w:tcMar>
          </w:tcPr>
          <w:p>
            <w:pPr>
              <w:rPr>
                <w:highlight w:val="none"/>
              </w:rPr>
            </w:pPr>
            <w:r>
              <w:rPr>
                <w:rFonts w:hint="eastAsia"/>
                <w:highlight w:val="none"/>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highlight w:val="none"/>
                <w:lang w:eastAsia="ja-JP"/>
              </w:rPr>
            </w:pPr>
            <w:r>
              <w:rPr>
                <w:rFonts w:hint="eastAsia"/>
                <w:highlight w:val="none"/>
                <w:lang w:eastAsia="ja-JP"/>
              </w:rPr>
              <w:t>01</w:t>
            </w:r>
          </w:p>
        </w:tc>
        <w:tc>
          <w:tcPr>
            <w:tcW w:w="2589" w:type="dxa"/>
            <w:vAlign w:val="top"/>
          </w:tcPr>
          <w:p>
            <w:pPr>
              <w:spacing w:before="40" w:after="40"/>
              <w:rPr>
                <w:rFonts w:hint="eastAsia" w:ascii="Times New Roman" w:hAnsi="Times New Roman" w:eastAsia="宋体" w:cs="Times New Roman"/>
                <w:kern w:val="2"/>
                <w:sz w:val="21"/>
                <w:szCs w:val="21"/>
                <w:highlight w:val="none"/>
                <w:lang w:val="de-DE" w:eastAsia="ja-JP" w:bidi="ar-SA"/>
              </w:rPr>
            </w:pPr>
            <w:r>
              <w:rPr>
                <w:sz w:val="21"/>
                <w:szCs w:val="21"/>
                <w:highlight w:val="none"/>
              </w:rPr>
              <w:t>重庆富特石业有限公司</w:t>
            </w:r>
            <w:r>
              <w:rPr>
                <w:rFonts w:hint="eastAsia"/>
                <w:sz w:val="21"/>
                <w:szCs w:val="21"/>
                <w:highlight w:val="none"/>
                <w:lang w:val="en-US" w:eastAsia="zh-CN"/>
              </w:rPr>
              <w:t>/</w:t>
            </w:r>
            <w:r>
              <w:rPr>
                <w:sz w:val="21"/>
                <w:szCs w:val="21"/>
                <w:highlight w:val="none"/>
              </w:rPr>
              <w:t>重庆市大足区三驱镇大足石刻文创园石文化产业园</w:t>
            </w:r>
          </w:p>
        </w:tc>
        <w:tc>
          <w:tcPr>
            <w:tcW w:w="1937" w:type="dxa"/>
            <w:vAlign w:val="top"/>
          </w:tcPr>
          <w:p>
            <w:pPr>
              <w:spacing w:before="40" w:after="40"/>
              <w:rPr>
                <w:rFonts w:hint="eastAsia" w:ascii="宋体" w:hAnsi="宋体" w:eastAsia="宋体" w:cs="宋体"/>
                <w:kern w:val="2"/>
                <w:sz w:val="21"/>
                <w:szCs w:val="21"/>
                <w:highlight w:val="none"/>
                <w:lang w:val="de-DE" w:eastAsia="ja-JP" w:bidi="ar-SA"/>
              </w:rPr>
            </w:pPr>
            <w:r>
              <w:rPr>
                <w:rFonts w:hint="eastAsia" w:ascii="宋体" w:hAnsi="宋体" w:eastAsia="宋体" w:cs="宋体"/>
                <w:sz w:val="21"/>
                <w:szCs w:val="21"/>
                <w:highlight w:val="none"/>
              </w:rPr>
              <w:t>重庆市九龙坡区走马镇走马建材交易市场15厅10号</w:t>
            </w:r>
          </w:p>
        </w:tc>
        <w:tc>
          <w:tcPr>
            <w:tcW w:w="726" w:type="dxa"/>
            <w:vAlign w:val="center"/>
          </w:tcPr>
          <w:p>
            <w:pPr>
              <w:spacing w:before="40" w:after="40"/>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lang w:val="en-US" w:eastAsia="zh-CN"/>
              </w:rPr>
              <w:t>总人数10人</w:t>
            </w:r>
          </w:p>
        </w:tc>
        <w:tc>
          <w:tcPr>
            <w:tcW w:w="2032" w:type="dxa"/>
            <w:vAlign w:val="center"/>
          </w:tcPr>
          <w:p>
            <w:pPr>
              <w:pStyle w:val="21"/>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rPr>
              <w:t>石材销售</w:t>
            </w:r>
          </w:p>
        </w:tc>
        <w:tc>
          <w:tcPr>
            <w:tcW w:w="1293" w:type="dxa"/>
            <w:vAlign w:val="top"/>
          </w:tcPr>
          <w:p>
            <w:pPr>
              <w:spacing w:before="40" w:after="40"/>
              <w:rPr>
                <w:rFonts w:hint="eastAsia" w:ascii="宋体" w:hAnsi="宋体"/>
                <w:b w:val="0"/>
                <w:bCs/>
                <w:szCs w:val="21"/>
                <w:highlight w:val="none"/>
              </w:rPr>
            </w:pPr>
            <w:r>
              <w:rPr>
                <w:rFonts w:hint="eastAsia" w:ascii="宋体" w:hAnsi="宋体"/>
                <w:b w:val="0"/>
                <w:bCs/>
                <w:szCs w:val="21"/>
                <w:highlight w:val="none"/>
              </w:rPr>
              <w:t>GB/T19001-2016</w:t>
            </w:r>
          </w:p>
          <w:p>
            <w:pPr>
              <w:rPr>
                <w:rFonts w:ascii="Times New Roman" w:hAnsi="Times New Roman" w:eastAsia="黑体" w:cs="Times New Roman"/>
                <w:b w:val="0"/>
                <w:bCs/>
                <w:kern w:val="2"/>
                <w:sz w:val="21"/>
                <w:szCs w:val="21"/>
                <w:highlight w:val="none"/>
                <w:lang w:val="en-US" w:eastAsia="ja-JP" w:bidi="ar-SA"/>
              </w:rPr>
            </w:pPr>
          </w:p>
        </w:tc>
        <w:tc>
          <w:tcPr>
            <w:tcW w:w="668" w:type="dxa"/>
            <w:shd w:val="clear" w:color="auto" w:fill="FFFFFF"/>
            <w:vAlign w:val="top"/>
          </w:tcPr>
          <w:sdt>
            <w:sdtPr>
              <w:rPr>
                <w:rFonts w:eastAsia="黑体"/>
                <w:szCs w:val="21"/>
                <w:highlight w:val="none"/>
              </w:rPr>
              <w:id w:val="271604670"/>
            </w:sdtPr>
            <w:sdtEndPr>
              <w:rPr>
                <w:rFonts w:eastAsia="黑体"/>
                <w:szCs w:val="21"/>
                <w:highlight w:val="none"/>
              </w:rPr>
            </w:sdtEndPr>
            <w:sdtContent>
              <w:p>
                <w:pPr>
                  <w:rPr>
                    <w:rFonts w:eastAsia="黑体"/>
                    <w:szCs w:val="21"/>
                    <w:highlight w:val="none"/>
                  </w:rPr>
                </w:pPr>
                <w:r>
                  <w:rPr>
                    <w:rFonts w:hint="eastAsia" w:ascii="宋体" w:hAnsi="宋体" w:eastAsia="宋体" w:cs="宋体"/>
                    <w:szCs w:val="21"/>
                    <w:highlight w:val="none"/>
                  </w:rPr>
                  <w:t>■</w:t>
                </w:r>
              </w:p>
            </w:sdtContent>
          </w:sdt>
          <w:p>
            <w:pPr>
              <w:rPr>
                <w:rFonts w:ascii="Times New Roman" w:hAnsi="Times New Roman" w:eastAsia="黑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02</w:t>
            </w:r>
          </w:p>
        </w:tc>
        <w:tc>
          <w:tcPr>
            <w:tcW w:w="2589" w:type="dxa"/>
            <w:vAlign w:val="top"/>
          </w:tcPr>
          <w:p>
            <w:pPr>
              <w:spacing w:before="40" w:after="40"/>
              <w:rPr>
                <w:rFonts w:ascii="Times New Roman" w:hAnsi="Times New Roman" w:eastAsia="黑体" w:cs="Times New Roman"/>
                <w:kern w:val="2"/>
                <w:sz w:val="21"/>
                <w:szCs w:val="21"/>
                <w:highlight w:val="none"/>
                <w:lang w:val="en-US" w:eastAsia="ja-JP" w:bidi="ar-SA"/>
              </w:rPr>
            </w:pPr>
            <w:r>
              <w:rPr>
                <w:sz w:val="21"/>
                <w:szCs w:val="21"/>
                <w:highlight w:val="none"/>
              </w:rPr>
              <w:t>重庆富特石业有限公司</w:t>
            </w:r>
            <w:r>
              <w:rPr>
                <w:rFonts w:hint="eastAsia"/>
                <w:sz w:val="21"/>
                <w:szCs w:val="21"/>
                <w:highlight w:val="none"/>
                <w:lang w:val="en-US" w:eastAsia="zh-CN"/>
              </w:rPr>
              <w:t>/</w:t>
            </w:r>
            <w:r>
              <w:rPr>
                <w:sz w:val="21"/>
                <w:szCs w:val="21"/>
                <w:highlight w:val="none"/>
              </w:rPr>
              <w:t>重庆市大足区三驱镇大足石刻文创园石文化产业园</w:t>
            </w:r>
          </w:p>
        </w:tc>
        <w:tc>
          <w:tcPr>
            <w:tcW w:w="1937" w:type="dxa"/>
            <w:vAlign w:val="top"/>
          </w:tcPr>
          <w:p>
            <w:pPr>
              <w:spacing w:before="40" w:after="40"/>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rPr>
              <w:t>重庆市九龙坡区走马镇走马建材交易市场15厅10号</w:t>
            </w:r>
          </w:p>
        </w:tc>
        <w:tc>
          <w:tcPr>
            <w:tcW w:w="726" w:type="dxa"/>
            <w:vAlign w:val="center"/>
          </w:tcPr>
          <w:p>
            <w:pPr>
              <w:spacing w:before="40" w:after="40"/>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lang w:val="en-US" w:eastAsia="zh-CN"/>
              </w:rPr>
              <w:t>总人数10人</w:t>
            </w:r>
          </w:p>
        </w:tc>
        <w:tc>
          <w:tcPr>
            <w:tcW w:w="2032" w:type="dxa"/>
            <w:vAlign w:val="center"/>
          </w:tcPr>
          <w:p>
            <w:pPr>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rPr>
              <w:t>石材销售所涉及场所的相关环境管理活动</w:t>
            </w:r>
          </w:p>
        </w:tc>
        <w:tc>
          <w:tcPr>
            <w:tcW w:w="1293" w:type="dxa"/>
            <w:vAlign w:val="center"/>
          </w:tcPr>
          <w:p>
            <w:pPr>
              <w:spacing w:before="40" w:after="40"/>
              <w:rPr>
                <w:rFonts w:hint="eastAsia" w:ascii="宋体" w:hAnsi="宋体"/>
                <w:b w:val="0"/>
                <w:bCs/>
                <w:szCs w:val="21"/>
                <w:highlight w:val="none"/>
              </w:rPr>
            </w:pPr>
            <w:r>
              <w:rPr>
                <w:rFonts w:hint="eastAsia" w:ascii="宋体" w:hAnsi="宋体"/>
                <w:b w:val="0"/>
                <w:bCs/>
                <w:szCs w:val="21"/>
                <w:highlight w:val="none"/>
              </w:rPr>
              <w:t>GB/T24001-2016</w:t>
            </w:r>
          </w:p>
          <w:p>
            <w:pPr>
              <w:spacing w:before="40" w:after="40"/>
              <w:rPr>
                <w:rFonts w:ascii="Times New Roman" w:hAnsi="Times New Roman" w:eastAsia="黑体" w:cs="Times New Roman"/>
                <w:kern w:val="2"/>
                <w:sz w:val="21"/>
                <w:szCs w:val="21"/>
                <w:highlight w:val="none"/>
                <w:lang w:val="en-US" w:eastAsia="ja-JP" w:bidi="ar-SA"/>
              </w:rPr>
            </w:pPr>
          </w:p>
        </w:tc>
        <w:tc>
          <w:tcPr>
            <w:tcW w:w="668" w:type="dxa"/>
            <w:shd w:val="clear" w:color="auto" w:fill="FFFFFF"/>
            <w:vAlign w:val="top"/>
          </w:tcPr>
          <w:sdt>
            <w:sdtPr>
              <w:rPr>
                <w:rFonts w:eastAsia="黑体"/>
                <w:szCs w:val="21"/>
                <w:highlight w:val="none"/>
              </w:rPr>
              <w:id w:val="271604670"/>
            </w:sdtPr>
            <w:sdtEndPr>
              <w:rPr>
                <w:rFonts w:eastAsia="黑体"/>
                <w:szCs w:val="21"/>
                <w:highlight w:val="none"/>
              </w:rPr>
            </w:sdtEndPr>
            <w:sdtContent>
              <w:p>
                <w:pPr>
                  <w:rPr>
                    <w:rFonts w:eastAsia="黑体"/>
                    <w:szCs w:val="21"/>
                    <w:highlight w:val="none"/>
                  </w:rPr>
                </w:pPr>
                <w:r>
                  <w:rPr>
                    <w:rFonts w:hint="eastAsia" w:ascii="宋体" w:hAnsi="宋体" w:eastAsia="宋体" w:cs="宋体"/>
                    <w:szCs w:val="21"/>
                    <w:highlight w:val="none"/>
                  </w:rPr>
                  <w:t>■</w:t>
                </w:r>
              </w:p>
            </w:sdtContent>
          </w:sdt>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03</w:t>
            </w:r>
          </w:p>
        </w:tc>
        <w:tc>
          <w:tcPr>
            <w:tcW w:w="2589" w:type="dxa"/>
            <w:vAlign w:val="top"/>
          </w:tcPr>
          <w:p>
            <w:pPr>
              <w:spacing w:before="40" w:after="40"/>
              <w:rPr>
                <w:rFonts w:ascii="Times New Roman" w:hAnsi="Times New Roman" w:eastAsia="黑体" w:cs="Times New Roman"/>
                <w:kern w:val="2"/>
                <w:sz w:val="21"/>
                <w:szCs w:val="21"/>
                <w:highlight w:val="none"/>
                <w:lang w:val="en-US" w:eastAsia="ja-JP" w:bidi="ar-SA"/>
              </w:rPr>
            </w:pPr>
            <w:r>
              <w:rPr>
                <w:sz w:val="21"/>
                <w:szCs w:val="21"/>
                <w:highlight w:val="none"/>
              </w:rPr>
              <w:t>重庆富特石业有限公司</w:t>
            </w:r>
            <w:r>
              <w:rPr>
                <w:rFonts w:hint="eastAsia"/>
                <w:sz w:val="21"/>
                <w:szCs w:val="21"/>
                <w:highlight w:val="none"/>
                <w:lang w:val="en-US" w:eastAsia="zh-CN"/>
              </w:rPr>
              <w:t>/</w:t>
            </w:r>
            <w:r>
              <w:rPr>
                <w:sz w:val="21"/>
                <w:szCs w:val="21"/>
                <w:highlight w:val="none"/>
              </w:rPr>
              <w:t>重庆市大足区三驱镇大足石刻文创园石文化产业园</w:t>
            </w:r>
          </w:p>
        </w:tc>
        <w:tc>
          <w:tcPr>
            <w:tcW w:w="1937" w:type="dxa"/>
            <w:vAlign w:val="top"/>
          </w:tcPr>
          <w:p>
            <w:pPr>
              <w:spacing w:before="40" w:after="40"/>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rPr>
              <w:t>重庆市九龙坡区走马镇走马建材交易市场15厅10号</w:t>
            </w:r>
          </w:p>
        </w:tc>
        <w:tc>
          <w:tcPr>
            <w:tcW w:w="726" w:type="dxa"/>
            <w:vAlign w:val="center"/>
          </w:tcPr>
          <w:p>
            <w:pPr>
              <w:spacing w:before="40" w:after="40"/>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lang w:val="en-US" w:eastAsia="zh-CN"/>
              </w:rPr>
              <w:t>总人数10人</w:t>
            </w:r>
          </w:p>
        </w:tc>
        <w:tc>
          <w:tcPr>
            <w:tcW w:w="2032" w:type="dxa"/>
            <w:vAlign w:val="center"/>
          </w:tcPr>
          <w:p>
            <w:pPr>
              <w:spacing w:line="400" w:lineRule="exact"/>
              <w:rPr>
                <w:rFonts w:hint="eastAsia" w:ascii="宋体" w:hAnsi="宋体" w:eastAsia="宋体" w:cs="宋体"/>
                <w:kern w:val="2"/>
                <w:sz w:val="21"/>
                <w:szCs w:val="21"/>
                <w:highlight w:val="none"/>
                <w:lang w:val="en-US" w:eastAsia="ja-JP" w:bidi="ar-SA"/>
              </w:rPr>
            </w:pPr>
            <w:r>
              <w:rPr>
                <w:rFonts w:hint="eastAsia" w:ascii="宋体" w:hAnsi="宋体" w:eastAsia="宋体" w:cs="宋体"/>
                <w:sz w:val="21"/>
                <w:szCs w:val="21"/>
                <w:highlight w:val="none"/>
              </w:rPr>
              <w:t>石材销售所涉及场所的相关职业健康安全管理活动</w:t>
            </w:r>
          </w:p>
        </w:tc>
        <w:tc>
          <w:tcPr>
            <w:tcW w:w="1293" w:type="dxa"/>
            <w:vAlign w:val="center"/>
          </w:tcPr>
          <w:p>
            <w:pPr>
              <w:spacing w:before="40" w:after="40"/>
              <w:rPr>
                <w:rFonts w:ascii="Times New Roman" w:hAnsi="Times New Roman" w:eastAsia="黑体" w:cs="Times New Roman"/>
                <w:kern w:val="2"/>
                <w:sz w:val="21"/>
                <w:szCs w:val="21"/>
                <w:highlight w:val="none"/>
                <w:lang w:val="en-US" w:eastAsia="ja-JP" w:bidi="ar-SA"/>
              </w:rPr>
            </w:pPr>
            <w:r>
              <w:rPr>
                <w:rFonts w:hint="eastAsia" w:ascii="宋体" w:hAnsi="宋体"/>
                <w:b w:val="0"/>
                <w:bCs/>
                <w:szCs w:val="21"/>
                <w:highlight w:val="none"/>
              </w:rPr>
              <w:t>GB/T 45001-2020</w:t>
            </w:r>
          </w:p>
        </w:tc>
        <w:tc>
          <w:tcPr>
            <w:tcW w:w="668" w:type="dxa"/>
            <w:shd w:val="clear" w:color="auto" w:fill="FFFFFF"/>
            <w:vAlign w:val="top"/>
          </w:tcPr>
          <w:sdt>
            <w:sdtPr>
              <w:rPr>
                <w:rFonts w:eastAsia="黑体"/>
                <w:szCs w:val="21"/>
                <w:highlight w:val="none"/>
              </w:rPr>
              <w:id w:val="271604670"/>
            </w:sdtPr>
            <w:sdtEndPr>
              <w:rPr>
                <w:rFonts w:eastAsia="黑体"/>
                <w:szCs w:val="21"/>
                <w:highlight w:val="none"/>
              </w:rPr>
            </w:sdtEndPr>
            <w:sdtContent>
              <w:p>
                <w:pPr>
                  <w:rPr>
                    <w:rFonts w:eastAsia="黑体"/>
                    <w:szCs w:val="21"/>
                    <w:highlight w:val="none"/>
                  </w:rPr>
                </w:pPr>
                <w:r>
                  <w:rPr>
                    <w:rFonts w:hint="eastAsia" w:ascii="宋体" w:hAnsi="宋体" w:eastAsia="宋体" w:cs="宋体"/>
                    <w:szCs w:val="21"/>
                    <w:highlight w:val="none"/>
                  </w:rPr>
                  <w:t>■</w:t>
                </w:r>
              </w:p>
            </w:sdtContent>
          </w:sdt>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04</w:t>
            </w:r>
          </w:p>
        </w:tc>
        <w:tc>
          <w:tcPr>
            <w:tcW w:w="2589" w:type="dxa"/>
            <w:vAlign w:val="center"/>
          </w:tcPr>
          <w:p>
            <w:pPr>
              <w:rPr>
                <w:highlight w:val="none"/>
                <w:lang w:eastAsia="ja-JP"/>
              </w:rPr>
            </w:pPr>
          </w:p>
        </w:tc>
        <w:tc>
          <w:tcPr>
            <w:tcW w:w="1937" w:type="dxa"/>
            <w:vAlign w:val="center"/>
          </w:tcPr>
          <w:p>
            <w:pPr>
              <w:rPr>
                <w:highlight w:val="none"/>
                <w:lang w:eastAsia="ja-JP"/>
              </w:rPr>
            </w:pPr>
          </w:p>
        </w:tc>
        <w:tc>
          <w:tcPr>
            <w:tcW w:w="726" w:type="dxa"/>
            <w:vAlign w:val="center"/>
          </w:tcPr>
          <w:p>
            <w:pPr>
              <w:rPr>
                <w:highlight w:val="none"/>
                <w:lang w:eastAsia="ja-JP"/>
              </w:rPr>
            </w:pPr>
          </w:p>
        </w:tc>
        <w:tc>
          <w:tcPr>
            <w:tcW w:w="2032" w:type="dxa"/>
            <w:vAlign w:val="center"/>
          </w:tcPr>
          <w:p>
            <w:pPr>
              <w:rPr>
                <w:highlight w:val="none"/>
                <w:lang w:eastAsia="ja-JP"/>
              </w:rPr>
            </w:pPr>
          </w:p>
        </w:tc>
        <w:tc>
          <w:tcPr>
            <w:tcW w:w="1293" w:type="dxa"/>
            <w:vAlign w:val="center"/>
          </w:tcPr>
          <w:p>
            <w:pPr>
              <w:rPr>
                <w:highlight w:val="none"/>
                <w:lang w:eastAsia="ja-JP"/>
              </w:rPr>
            </w:pPr>
          </w:p>
        </w:tc>
        <w:tc>
          <w:tcPr>
            <w:tcW w:w="668" w:type="dxa"/>
            <w:shd w:val="clear" w:color="auto" w:fill="FFFFFF"/>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highlight w:val="none"/>
                <w:lang w:eastAsia="ja-JP"/>
              </w:rPr>
            </w:pPr>
            <w:r>
              <w:rPr>
                <w:rFonts w:hint="eastAsia"/>
                <w:highlight w:val="none"/>
                <w:lang w:eastAsia="ja-JP"/>
              </w:rPr>
              <w:t>05</w:t>
            </w:r>
          </w:p>
        </w:tc>
        <w:tc>
          <w:tcPr>
            <w:tcW w:w="2589" w:type="dxa"/>
            <w:vAlign w:val="center"/>
          </w:tcPr>
          <w:p>
            <w:pPr>
              <w:rPr>
                <w:highlight w:val="none"/>
                <w:lang w:eastAsia="ja-JP"/>
              </w:rPr>
            </w:pPr>
          </w:p>
        </w:tc>
        <w:tc>
          <w:tcPr>
            <w:tcW w:w="1937" w:type="dxa"/>
            <w:vAlign w:val="center"/>
          </w:tcPr>
          <w:p>
            <w:pPr>
              <w:rPr>
                <w:highlight w:val="none"/>
                <w:lang w:eastAsia="ja-JP"/>
              </w:rPr>
            </w:pPr>
          </w:p>
        </w:tc>
        <w:tc>
          <w:tcPr>
            <w:tcW w:w="726" w:type="dxa"/>
            <w:vAlign w:val="center"/>
          </w:tcPr>
          <w:p>
            <w:pPr>
              <w:rPr>
                <w:highlight w:val="none"/>
                <w:lang w:eastAsia="ja-JP"/>
              </w:rPr>
            </w:pPr>
          </w:p>
        </w:tc>
        <w:tc>
          <w:tcPr>
            <w:tcW w:w="2032" w:type="dxa"/>
            <w:vAlign w:val="center"/>
          </w:tcPr>
          <w:p>
            <w:pPr>
              <w:rPr>
                <w:highlight w:val="none"/>
                <w:lang w:eastAsia="ja-JP"/>
              </w:rPr>
            </w:pPr>
          </w:p>
        </w:tc>
        <w:tc>
          <w:tcPr>
            <w:tcW w:w="1293" w:type="dxa"/>
            <w:vAlign w:val="center"/>
          </w:tcPr>
          <w:p>
            <w:pPr>
              <w:rPr>
                <w:highlight w:val="none"/>
                <w:lang w:eastAsia="ja-JP"/>
              </w:rPr>
            </w:pPr>
          </w:p>
        </w:tc>
        <w:tc>
          <w:tcPr>
            <w:tcW w:w="668" w:type="dxa"/>
            <w:shd w:val="clear" w:color="auto" w:fill="FFFFFF"/>
          </w:tcPr>
          <w:p>
            <w:pPr>
              <w:rPr>
                <w:highlight w:val="none"/>
              </w:rPr>
            </w:pPr>
            <w:r>
              <w:rPr>
                <w:rFonts w:hint="eastAsia"/>
                <w:highlight w:val="none"/>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Q:29.05.03</w:t>
            </w:r>
          </w:p>
          <w:p>
            <w:r>
              <w:t>E:29.05.03</w:t>
            </w:r>
          </w:p>
          <w:p>
            <w: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Q:29.05.03</w:t>
            </w:r>
          </w:p>
          <w:p>
            <w:r>
              <w:t>E:29.05.03</w:t>
            </w:r>
          </w:p>
          <w:p>
            <w: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GB" w:eastAsia="zh-CN" w:bidi="ar-SA"/>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highlight w:val="none"/>
              </w:rPr>
            </w:pPr>
            <w:r>
              <w:rPr>
                <w:rFonts w:hint="eastAsia"/>
                <w:highlight w:val="none"/>
              </w:rPr>
              <w:t>QMS</w:t>
            </w:r>
          </w:p>
          <w:p>
            <w:pPr>
              <w:rPr>
                <w:highlight w:val="none"/>
              </w:rPr>
            </w:pPr>
          </w:p>
        </w:tc>
        <w:tc>
          <w:tcPr>
            <w:tcW w:w="7380" w:type="dxa"/>
            <w:shd w:val="clear" w:color="auto" w:fill="auto"/>
            <w:vAlign w:val="center"/>
          </w:tcPr>
          <w:p>
            <w:pPr>
              <w:spacing w:line="400" w:lineRule="exact"/>
              <w:rPr>
                <w:rFonts w:ascii="宋体" w:hAnsi="宋体" w:eastAsia="宋体" w:cs="Times New Roman"/>
                <w:b/>
                <w:color w:val="000000"/>
                <w:kern w:val="2"/>
                <w:sz w:val="21"/>
                <w:szCs w:val="21"/>
                <w:highlight w:val="none"/>
                <w:lang w:val="en-US" w:eastAsia="zh-CN" w:bidi="ar-SA"/>
              </w:rPr>
            </w:pPr>
            <w:r>
              <w:rPr>
                <w:highlight w:val="none"/>
              </w:rPr>
              <w:t>石材销售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highlight w:val="none"/>
              </w:rPr>
            </w:pPr>
            <w:r>
              <w:rPr>
                <w:rFonts w:hint="eastAsia"/>
                <w:highlight w:val="none"/>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0" w:type="dxa"/>
            <w:vMerge w:val="continue"/>
            <w:shd w:val="clear" w:color="auto" w:fill="auto"/>
          </w:tcPr>
          <w:p/>
        </w:tc>
        <w:tc>
          <w:tcPr>
            <w:tcW w:w="970" w:type="dxa"/>
            <w:shd w:val="clear" w:color="auto" w:fill="auto"/>
          </w:tcPr>
          <w:p>
            <w:pPr>
              <w:rPr>
                <w:highlight w:val="none"/>
                <w:lang w:val="en-GB"/>
              </w:rPr>
            </w:pPr>
            <w:r>
              <w:rPr>
                <w:rFonts w:hint="eastAsia"/>
                <w:highlight w:val="none"/>
              </w:rPr>
              <w:t>EMS</w:t>
            </w:r>
          </w:p>
          <w:p>
            <w:pPr>
              <w:rPr>
                <w:highlight w:val="none"/>
              </w:rPr>
            </w:pPr>
          </w:p>
        </w:tc>
        <w:tc>
          <w:tcPr>
            <w:tcW w:w="7380" w:type="dxa"/>
            <w:shd w:val="clear" w:color="auto" w:fill="auto"/>
            <w:vAlign w:val="center"/>
          </w:tcPr>
          <w:p>
            <w:pPr>
              <w:rPr>
                <w:rFonts w:ascii="宋体" w:hAnsi="宋体" w:eastAsia="宋体" w:cs="Times New Roman"/>
                <w:b/>
                <w:color w:val="000000"/>
                <w:kern w:val="2"/>
                <w:sz w:val="21"/>
                <w:szCs w:val="21"/>
                <w:highlight w:val="none"/>
                <w:lang w:val="en-US" w:eastAsia="zh-CN" w:bidi="ar-SA"/>
              </w:rPr>
            </w:pPr>
            <w:r>
              <w:rPr>
                <w:highlight w:val="none"/>
              </w:rPr>
              <w:t>石材销售所涉及场所的相关环境管理活动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highlight w:val="none"/>
                <w:lang w:val="en-GB"/>
              </w:rPr>
            </w:pPr>
            <w:r>
              <w:rPr>
                <w:rFonts w:hint="eastAsia"/>
                <w:highlight w:val="none"/>
              </w:rPr>
              <w:t>OHSMS</w:t>
            </w:r>
          </w:p>
          <w:p>
            <w:pPr>
              <w:rPr>
                <w:highlight w:val="none"/>
              </w:rPr>
            </w:pPr>
          </w:p>
        </w:tc>
        <w:tc>
          <w:tcPr>
            <w:tcW w:w="7380" w:type="dxa"/>
            <w:shd w:val="clear" w:color="auto" w:fill="auto"/>
            <w:vAlign w:val="center"/>
          </w:tcPr>
          <w:p>
            <w:pPr>
              <w:spacing w:line="400" w:lineRule="exact"/>
              <w:rPr>
                <w:rFonts w:ascii="宋体" w:hAnsi="宋体" w:eastAsia="宋体" w:cs="Times New Roman"/>
                <w:b/>
                <w:color w:val="000000"/>
                <w:kern w:val="2"/>
                <w:sz w:val="21"/>
                <w:szCs w:val="21"/>
                <w:highlight w:val="none"/>
                <w:lang w:val="en-US" w:eastAsia="zh-CN" w:bidi="ar-SA"/>
              </w:rPr>
            </w:pPr>
            <w:r>
              <w:rPr>
                <w:highlight w:val="none"/>
              </w:rPr>
              <w:t>石材销售所涉及场所的相关职业健康安全管理活动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冉景洲</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 xml:space="preserve"> </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3128"/>
              <w:gridCol w:w="13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rPr>
                  </w:pPr>
                  <w:r>
                    <w:rPr>
                      <w:rFonts w:hint="eastAsia"/>
                    </w:rPr>
                    <w:t>目标实际完成</w:t>
                  </w:r>
                </w:p>
                <w:p>
                  <w:pPr>
                    <w:pStyle w:val="2"/>
                  </w:pPr>
                  <w:r>
                    <w:rPr>
                      <w:rFonts w:hint="eastAsia"/>
                      <w:color w:val="000000"/>
                      <w:sz w:val="21"/>
                      <w:szCs w:val="21"/>
                    </w:rPr>
                    <w:t>（</w:t>
                  </w:r>
                  <w:r>
                    <w:rPr>
                      <w:rFonts w:hint="eastAsia"/>
                      <w:color w:val="000000"/>
                      <w:sz w:val="21"/>
                      <w:szCs w:val="21"/>
                      <w:lang w:val="en-US" w:eastAsia="zh-CN"/>
                    </w:rPr>
                    <w:t>2021.6-2022.2</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pStyle w:val="13"/>
                    <w:spacing w:line="360" w:lineRule="auto"/>
                    <w:ind w:left="0" w:leftChars="0" w:firstLine="0" w:firstLineChars="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olor w:val="auto"/>
                      <w:sz w:val="21"/>
                      <w:szCs w:val="21"/>
                      <w:highlight w:val="none"/>
                    </w:rPr>
                    <w:t>销售产品交验合格率：</w:t>
                  </w:r>
                  <w:r>
                    <w:rPr>
                      <w:rFonts w:ascii="宋体" w:hAnsi="宋体"/>
                      <w:color w:val="auto"/>
                      <w:sz w:val="21"/>
                      <w:szCs w:val="21"/>
                      <w:highlight w:val="none"/>
                    </w:rPr>
                    <w:t xml:space="preserve">100% </w:t>
                  </w:r>
                  <w:r>
                    <w:rPr>
                      <w:rFonts w:hint="eastAsia" w:ascii="宋体" w:hAnsi="宋体"/>
                      <w:color w:val="auto"/>
                      <w:sz w:val="21"/>
                      <w:szCs w:val="21"/>
                      <w:highlight w:val="none"/>
                    </w:rPr>
                    <w:t>；</w:t>
                  </w:r>
                </w:p>
              </w:tc>
              <w:tc>
                <w:tcPr>
                  <w:tcW w:w="3136" w:type="dxa"/>
                  <w:shd w:val="clear" w:color="auto" w:fill="auto"/>
                  <w:vAlign w:val="center"/>
                </w:tcPr>
                <w:p>
                  <w:pPr>
                    <w:spacing w:line="360" w:lineRule="auto"/>
                    <w:rPr>
                      <w:rFonts w:hint="default" w:ascii="Times New Roman" w:hAnsi="Times New Roman" w:eastAsia="宋体" w:cs="Times New Roman"/>
                      <w:color w:val="000000"/>
                      <w:kern w:val="2"/>
                      <w:sz w:val="21"/>
                      <w:szCs w:val="18"/>
                      <w:highlight w:val="yellow"/>
                      <w:lang w:val="en-GB" w:eastAsia="zh-CN" w:bidi="ar-SA"/>
                    </w:rPr>
                  </w:pPr>
                  <w:r>
                    <w:rPr>
                      <w:rFonts w:hint="eastAsia" w:ascii="宋体" w:hAnsi="宋体" w:cs="宋体"/>
                      <w:kern w:val="0"/>
                      <w:highlight w:val="none"/>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pStyle w:val="13"/>
                    <w:spacing w:line="360" w:lineRule="auto"/>
                    <w:ind w:left="0" w:leftChars="0" w:firstLine="0" w:firstLineChars="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olor w:val="auto"/>
                      <w:sz w:val="21"/>
                      <w:szCs w:val="21"/>
                      <w:highlight w:val="none"/>
                    </w:rPr>
                    <w:t>产品按期交付率≥98%；</w:t>
                  </w:r>
                  <w:r>
                    <w:rPr>
                      <w:rFonts w:ascii="宋体" w:hAnsi="宋体"/>
                      <w:color w:val="auto"/>
                      <w:sz w:val="21"/>
                      <w:szCs w:val="21"/>
                      <w:highlight w:val="none"/>
                    </w:rPr>
                    <w:t xml:space="preserve"> </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highlight w:val="none"/>
                    </w:rPr>
                    <w:t>产品按期交付率=按期交付数量÷需交付总数量×100%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91" w:type="dxa"/>
                  <w:shd w:val="clear" w:color="auto" w:fill="auto"/>
                  <w:vAlign w:val="center"/>
                </w:tcPr>
                <w:p>
                  <w:pPr>
                    <w:pStyle w:val="13"/>
                    <w:spacing w:line="360" w:lineRule="auto"/>
                    <w:ind w:left="0" w:leftChars="0" w:firstLine="0" w:firstLineChars="0"/>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olor w:val="auto"/>
                      <w:sz w:val="21"/>
                      <w:szCs w:val="21"/>
                      <w:highlight w:val="none"/>
                    </w:rPr>
                    <w:t>客户满意度≥</w:t>
                  </w:r>
                  <w:r>
                    <w:rPr>
                      <w:rFonts w:ascii="宋体" w:hAnsi="宋体"/>
                      <w:color w:val="auto"/>
                      <w:sz w:val="21"/>
                      <w:szCs w:val="21"/>
                      <w:highlight w:val="none"/>
                    </w:rPr>
                    <w:t>9</w:t>
                  </w:r>
                  <w:r>
                    <w:rPr>
                      <w:rFonts w:hint="eastAsia" w:ascii="宋体" w:hAnsi="宋体"/>
                      <w:color w:val="auto"/>
                      <w:sz w:val="21"/>
                      <w:szCs w:val="21"/>
                      <w:highlight w:val="none"/>
                    </w:rPr>
                    <w:t>0分；</w:t>
                  </w:r>
                  <w:r>
                    <w:rPr>
                      <w:rFonts w:ascii="宋体" w:hAnsi="宋体"/>
                      <w:color w:val="auto"/>
                      <w:sz w:val="21"/>
                      <w:szCs w:val="21"/>
                      <w:highlight w:val="none"/>
                    </w:rPr>
                    <w:t xml:space="preserve"> </w:t>
                  </w:r>
                </w:p>
              </w:tc>
              <w:tc>
                <w:tcPr>
                  <w:tcW w:w="3136"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highlight w:val="none"/>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cs="Times New Roman"/>
                      <w:color w:val="auto"/>
                      <w:sz w:val="21"/>
                      <w:szCs w:val="21"/>
                      <w:highlight w:val="none"/>
                      <w:lang w:val="en-US" w:eastAsia="zh-CN"/>
                    </w:rPr>
                    <w:t>经营部</w:t>
                  </w:r>
                </w:p>
              </w:tc>
              <w:tc>
                <w:tcPr>
                  <w:tcW w:w="1774" w:type="dxa"/>
                  <w:shd w:val="clear" w:color="auto" w:fill="auto"/>
                  <w:vAlign w:val="center"/>
                </w:tcPr>
                <w:p>
                  <w:pPr>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highlight w:val="none"/>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yellow"/>
              </w:rPr>
            </w:pPr>
            <w:r>
              <w:rPr>
                <w:rFonts w:hint="eastAsia"/>
                <w:highlight w:val="none"/>
              </w:rPr>
              <w:t>建筑面积</w:t>
            </w:r>
            <w:r>
              <w:rPr>
                <w:rFonts w:hint="eastAsia"/>
                <w:highlight w:val="none"/>
                <w:lang w:eastAsia="zh-CN"/>
              </w:rPr>
              <w:t>50平方米左右</w:t>
            </w:r>
            <w:r>
              <w:rPr>
                <w:rFonts w:hint="eastAsia"/>
                <w:highlight w:val="none"/>
              </w:rPr>
              <w:t xml:space="preserve">；生产车间  个；库房  </w:t>
            </w:r>
            <w:r>
              <w:rPr>
                <w:rFonts w:hint="eastAsia"/>
                <w:highlight w:val="none"/>
                <w:lang w:val="en-US" w:eastAsia="zh-CN"/>
              </w:rPr>
              <w:t xml:space="preserve"> 1</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lang w:eastAsia="zh-CN"/>
              </w:rPr>
              <w:t>电脑、打印机等办公设备等。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54" w:type="dxa"/>
                </w:tcPr>
                <w:p>
                  <w:pPr>
                    <w:shd w:val="clear" w:color="auto" w:fill="C7DAF1" w:themeFill="text2" w:themeFillTint="32"/>
                    <w:jc w:val="left"/>
                    <w:rPr>
                      <w:highlight w:val="yellow"/>
                    </w:rPr>
                  </w:pPr>
                  <w:r>
                    <w:rPr>
                      <w:sz w:val="20"/>
                    </w:rPr>
                    <w:t>石材销售</w:t>
                  </w:r>
                </w:p>
              </w:tc>
              <w:tc>
                <w:tcPr>
                  <w:tcW w:w="2303"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销售过程</w:t>
                  </w:r>
                </w:p>
              </w:tc>
              <w:tc>
                <w:tcPr>
                  <w:tcW w:w="3265" w:type="dxa"/>
                </w:tcPr>
                <w:p>
                  <w:pPr>
                    <w:shd w:val="clear" w:color="auto" w:fill="C7DAF1" w:themeFill="text2" w:themeFillTint="32"/>
                    <w:jc w:val="left"/>
                    <w:rPr>
                      <w:rFonts w:hint="eastAsia" w:eastAsiaTheme="minorEastAsia"/>
                      <w:highlight w:val="none"/>
                      <w:lang w:val="en-US" w:eastAsia="zh-CN"/>
                    </w:rPr>
                  </w:pPr>
                  <w:r>
                    <w:rPr>
                      <w:rFonts w:hint="eastAsia"/>
                      <w:color w:val="auto"/>
                      <w:sz w:val="21"/>
                      <w:szCs w:val="21"/>
                      <w:highlight w:val="none"/>
                      <w:lang w:val="en-US" w:eastAsia="zh-CN"/>
                    </w:rPr>
                    <w:t>产品</w:t>
                  </w:r>
                  <w:r>
                    <w:rPr>
                      <w:rFonts w:hint="eastAsia" w:eastAsia="宋体"/>
                      <w:color w:val="auto"/>
                      <w:sz w:val="21"/>
                      <w:szCs w:val="21"/>
                      <w:highlight w:val="none"/>
                    </w:rPr>
                    <w:t>质量、</w:t>
                  </w:r>
                  <w:r>
                    <w:rPr>
                      <w:rFonts w:hint="eastAsia"/>
                      <w:color w:val="auto"/>
                      <w:sz w:val="21"/>
                      <w:szCs w:val="21"/>
                      <w:highlight w:val="none"/>
                      <w:lang w:val="en-US" w:eastAsia="zh-CN"/>
                    </w:rPr>
                    <w:t>交货</w:t>
                  </w:r>
                  <w:r>
                    <w:rPr>
                      <w:rFonts w:hint="eastAsia" w:eastAsia="宋体"/>
                      <w:color w:val="auto"/>
                      <w:sz w:val="21"/>
                      <w:szCs w:val="21"/>
                      <w:highlight w:val="none"/>
                    </w:rPr>
                    <w:t>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rPr>
                <w:rFonts w:hint="default"/>
                <w:highlight w:val="none"/>
                <w:lang w:val="en-US"/>
              </w:rPr>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highlight w:val="none"/>
                <w:u w:val="single"/>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w:t>
            </w:r>
            <w:r>
              <w:rPr>
                <w:rFonts w:hint="eastAsia" w:ascii="宋体" w:hAnsi="宋体" w:eastAsia="宋体" w:cs="宋体"/>
              </w:rPr>
              <w:t>■</w:t>
            </w:r>
            <w:r>
              <w:rPr>
                <w:rFonts w:hint="eastAsia"/>
              </w:rPr>
              <w:t>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lang w:eastAsia="zh-CN"/>
              </w:rPr>
              <w:t>2023年1月18日-19日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2023年01月30日</w:t>
            </w:r>
            <w:r>
              <w:rPr>
                <w:rFonts w:hint="eastAsia"/>
                <w:highlight w:val="none"/>
              </w:rPr>
              <w:t>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pPr w:leftFromText="180" w:rightFromText="180" w:vertAnchor="text" w:horzAnchor="page" w:tblpX="1167"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ascii="Wingdings" w:hAnsi="Wingdings"/>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ascii="Wingdings" w:hAnsi="Wingdings"/>
                      <w:lang w:eastAsia="zh-CN"/>
                    </w:rPr>
                    <w:t>□</w:t>
                  </w:r>
                  <w:r>
                    <w:rPr>
                      <w:rFonts w:hint="eastAsia"/>
                    </w:rPr>
                    <w:t xml:space="preserve">监管  </w:t>
                  </w:r>
                  <w:r>
                    <w:rPr>
                      <w:rFonts w:hint="eastAsia" w:ascii="Wingdings" w:hAnsi="Wingdings"/>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ascii="Wingdings" w:hAnsi="Wingdings"/>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Wingdings" w:hAnsi="Wingdings"/>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Wingdings" w:hAnsi="Wingdings"/>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lang w:eastAsia="zh-CN"/>
              </w:rPr>
              <w:t>■</w:t>
            </w:r>
            <w:r>
              <w:rPr>
                <w:rFonts w:hint="eastAsia"/>
              </w:rPr>
              <w:t xml:space="preserve">检验 </w:t>
            </w:r>
            <w:r>
              <w:rPr>
                <w:rFonts w:hint="eastAsia" w:ascii="宋体" w:hAnsi="宋体" w:eastAsia="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潜在</w:t>
                  </w:r>
                  <w:r>
                    <w:rPr>
                      <w:rFonts w:hint="eastAsia" w:ascii="Times New Roman" w:hAnsi="Times New Roman" w:eastAsia="宋体" w:cs="Times New Roman"/>
                    </w:rPr>
                    <w:t>火灾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固体废弃物排放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ascii="Wingdings" w:hAnsi="Wingdings"/>
                <w:lang w:eastAsia="zh-CN"/>
              </w:rPr>
              <w:t>□</w:t>
            </w:r>
            <w:r>
              <w:rPr>
                <w:rFonts w:hint="eastAsia"/>
              </w:rPr>
              <w:t xml:space="preserve">能源消耗  </w:t>
            </w:r>
            <w:r>
              <w:rPr>
                <w:rFonts w:hint="eastAsia" w:ascii="Wingdings" w:hAnsi="Wingdings"/>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固体废弃物处置率100%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重大火灾事故为0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w:t>
            </w:r>
            <w:r>
              <w:rPr>
                <w:rFonts w:hint="eastAsia" w:ascii="Times New Roman" w:hAnsi="Times New Roman" w:eastAsia="宋体" w:cs="Times New Roman"/>
                <w:highlight w:val="none"/>
              </w:rPr>
              <w:t>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固体废弃物排放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2022年12月20日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；并总结</w:t>
            </w:r>
            <w:r>
              <w:rPr>
                <w:rFonts w:hint="eastAsia"/>
              </w:rPr>
              <w:t xml:space="preserve">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u w:val="single"/>
                <w:lang w:eastAsia="zh-CN"/>
              </w:rPr>
              <w:t>2022年12月30日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2023年1月18日-19日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2023年01月30日</w:t>
            </w:r>
            <w:r>
              <w:rPr>
                <w:rFonts w:hint="eastAsia"/>
                <w:highlight w:val="none"/>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ascii="Wingdings" w:hAnsi="Wingdings"/>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ascii="Wingdings" w:hAnsi="Wingdings"/>
                      <w:lang w:eastAsia="zh-CN"/>
                    </w:rPr>
                    <w:t>□</w:t>
                  </w:r>
                  <w:r>
                    <w:rPr>
                      <w:rFonts w:hint="eastAsia"/>
                    </w:rPr>
                    <w:t xml:space="preserve">技术 </w:t>
                  </w:r>
                  <w:r>
                    <w:rPr>
                      <w:rFonts w:hint="eastAsia" w:ascii="宋体" w:hAnsi="宋体" w:eastAsia="宋体" w:cs="宋体"/>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highlight w:val="none"/>
                <w:lang w:val="en-US" w:eastAsia="zh-CN"/>
              </w:rPr>
              <w:t>严水仙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yellow"/>
                      <w:lang w:val="en-US" w:eastAsia="zh-CN"/>
                    </w:rPr>
                  </w:pPr>
                </w:p>
              </w:tc>
              <w:tc>
                <w:tcPr>
                  <w:tcW w:w="3965" w:type="dxa"/>
                  <w:vAlign w:val="top"/>
                </w:tcPr>
                <w:p>
                  <w:pPr>
                    <w:rPr>
                      <w:rFonts w:hint="eastAsia" w:ascii="Times New Roman" w:hAnsi="Times New Roman" w:cs="Times New Roman" w:eastAsiaTheme="minorEastAsia"/>
                      <w:kern w:val="2"/>
                      <w:sz w:val="21"/>
                      <w:szCs w:val="24"/>
                      <w:highlight w:val="yellow"/>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rPr>
              <w:t>□</w:t>
            </w:r>
            <w:r>
              <w:rPr>
                <w:rFonts w:hint="eastAsia"/>
                <w:highlight w:val="none"/>
              </w:rPr>
              <w:t>其他</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意外伤亡事故为0。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rPr>
                      <w:rFonts w:ascii="宋体" w:hAnsi="宋体"/>
                      <w:highlight w:val="yellow"/>
                    </w:rPr>
                  </w:pPr>
                </w:p>
              </w:tc>
              <w:tc>
                <w:tcPr>
                  <w:tcW w:w="1350" w:type="dxa"/>
                  <w:shd w:val="clear" w:color="auto" w:fill="auto"/>
                  <w:vAlign w:val="center"/>
                </w:tcPr>
                <w:p>
                  <w:pPr>
                    <w:rPr>
                      <w:rFonts w:ascii="宋体" w:hAnsi="宋体"/>
                      <w:highlight w:val="yellow"/>
                    </w:rPr>
                  </w:pPr>
                </w:p>
              </w:tc>
              <w:tc>
                <w:tcPr>
                  <w:tcW w:w="1774" w:type="dxa"/>
                  <w:shd w:val="clear" w:color="auto" w:fill="auto"/>
                  <w:vAlign w:val="center"/>
                </w:tcPr>
                <w:p>
                  <w:pPr>
                    <w:jc w:val="left"/>
                    <w:rPr>
                      <w:rFonts w:hint="default" w:ascii="宋体" w:hAnsi="宋体" w:eastAsia="宋体"/>
                      <w:highlight w:val="yellow"/>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应确定、提供并维护所需的基础设施情</w:t>
            </w:r>
            <w:r>
              <w:rPr>
                <w:rFonts w:hint="eastAsia" w:ascii="Times New Roman" w:hAnsi="Times New Roman" w:eastAsia="宋体" w:cs="Times New Roman"/>
                <w:highlight w:val="none"/>
              </w:rPr>
              <w:t>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电脑、打印机等办公设备</w:t>
            </w:r>
            <w:r>
              <w:rPr>
                <w:rFonts w:hint="eastAsia" w:ascii="Times New Roman" w:hAnsi="Times New Roman" w:eastAsia="宋体" w:cs="Times New Roman"/>
                <w:highlight w:val="none"/>
                <w:lang w:eastAsia="zh-CN"/>
              </w:rPr>
              <w:t>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ascii="Wingdings" w:hAnsi="Wingdings"/>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rFonts w:hint="default" w:eastAsia="宋体"/>
                      <w:highlight w:val="none"/>
                      <w:lang w:val="en-US" w:eastAsia="zh-CN"/>
                    </w:rPr>
                  </w:pPr>
                  <w:r>
                    <w:rPr>
                      <w:rFonts w:hint="eastAsia" w:ascii="宋体" w:hAnsi="宋体" w:eastAsia="宋体" w:cs="宋体"/>
                      <w:highlight w:val="none"/>
                      <w:lang w:val="en-US" w:eastAsia="zh-CN"/>
                    </w:rPr>
                    <w:t>■</w:t>
                  </w:r>
                  <w:r>
                    <w:rPr>
                      <w:rFonts w:hint="eastAsia"/>
                      <w:highlight w:val="none"/>
                      <w:lang w:val="en-US" w:eastAsia="zh-CN"/>
                    </w:rPr>
                    <w:t>管理方案、应急演练</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2022年12月20日</w:t>
            </w:r>
            <w:r>
              <w:rPr>
                <w:rFonts w:hint="eastAsia" w:eastAsia="宋体"/>
                <w:highlight w:val="none"/>
              </w:rPr>
              <w:t>进行了火灾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2022年12月30日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2023年1月18日-19日</w:t>
            </w:r>
            <w:r>
              <w:rPr>
                <w:rFonts w:hint="eastAsia"/>
              </w:rPr>
              <w:t>实施了职业健康安全管理体系内部审核，对职业健康安全管理体系的符合性和有效性进行了审核。内</w:t>
            </w:r>
            <w:r>
              <w:rPr>
                <w:rFonts w:hint="eastAsia"/>
                <w:highlight w:val="none"/>
              </w:rPr>
              <w:t xml:space="preserve">审发现的 </w:t>
            </w:r>
            <w:r>
              <w:rPr>
                <w:rFonts w:hint="eastAsia"/>
                <w:highlight w:val="none"/>
                <w:lang w:val="en-US" w:eastAsia="zh-CN"/>
              </w:rPr>
              <w:t>1</w:t>
            </w:r>
            <w:r>
              <w:rPr>
                <w:rFonts w:hint="eastAsia"/>
                <w:highlight w:val="none"/>
              </w:rPr>
              <w:t xml:space="preserve"> 项不符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2023年01月30日</w:t>
            </w:r>
            <w:r>
              <w:rPr>
                <w:rFonts w:hint="eastAsia"/>
                <w:highlight w:val="none"/>
              </w:rPr>
              <w:t>对组织的职业健康安全管理体系进行了评审，以确保其持续的适宜性、充分性和有效性；管理评审输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p>
      <w:pPr>
        <w:spacing w:before="40" w:after="40"/>
        <w:rPr>
          <w:rFonts w:eastAsia="微软雅黑"/>
          <w:sz w:val="20"/>
          <w:szCs w:val="20"/>
        </w:rPr>
      </w:pPr>
    </w:p>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bookmarkStart w:id="30" w:name="_GoBack"/>
            <w:bookmarkEnd w:id="30"/>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256A3624"/>
    <w:rsid w:val="77616805"/>
    <w:rsid w:val="7CF46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19376</Words>
  <Characters>20319</Characters>
  <Lines>150</Lines>
  <Paragraphs>42</Paragraphs>
  <TotalTime>0</TotalTime>
  <ScaleCrop>false</ScaleCrop>
  <LinksUpToDate>false</LinksUpToDate>
  <CharactersWithSpaces>23367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2023-02-17T06:39:45Z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