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079"/>
        <w:gridCol w:w="337"/>
        <w:gridCol w:w="86"/>
        <w:gridCol w:w="1004"/>
        <w:gridCol w:w="405"/>
        <w:gridCol w:w="1291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重庆富特石业有限公司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重庆市大足区三驱镇大足石刻文创园石文化产业园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重庆市九龙坡区走马镇走马建材交易市场15厅10号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徐善春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15902305979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2741698237@qq.com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  <w:r>
              <w:rPr>
                <w:rFonts w:hint="eastAsia"/>
                <w:sz w:val="21"/>
                <w:szCs w:val="21"/>
              </w:rPr>
              <w:t>林卫炳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0033-2023-QEO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Q：石材销售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E：石材销售所涉及场所的相关环境管理活动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O：石材销售所涉及场所的相关职业健康安全管理活动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Q：29.05.03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E：29.05.03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O：29.05.03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2023年02月17日 下午至2023年02月18日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Q:29.05.03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E:29.05.03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O:29.05.03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Q:29.05.03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E:29.05.03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O:29.05.03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冉景洲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832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29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679" w:type="dxa"/>
            <w:gridSpan w:val="5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079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79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2023年02月1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079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日期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spacing w:line="360" w:lineRule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2023年02月1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  <w:tc>
          <w:tcPr>
            <w:tcW w:w="1291" w:type="dxa"/>
            <w:vAlign w:val="center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日期</w:t>
            </w:r>
          </w:p>
        </w:tc>
        <w:tc>
          <w:tcPr>
            <w:tcW w:w="2679" w:type="dxa"/>
            <w:gridSpan w:val="5"/>
            <w:vAlign w:val="center"/>
          </w:tcPr>
          <w:p>
            <w:pPr>
              <w:spacing w:line="360" w:lineRule="auto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0"/>
              </w:rPr>
              <w:t>2023年02月1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73"/>
        <w:gridCol w:w="1076"/>
        <w:gridCol w:w="607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3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7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0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15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76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含管代、安全事务代表）</w:t>
            </w:r>
          </w:p>
        </w:tc>
        <w:tc>
          <w:tcPr>
            <w:tcW w:w="6075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4.4体系及其过程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6.3变更的策划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7.1.1资源 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9.1.1监测、分析和评价总则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10.1改进 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4.4体系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6.1.1策划总则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6.1.4措施的策划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7.1资源;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9.1.1监测、分析和评估总则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10.1改进 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4.1组织及其环境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4.2相关方需求与期望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4.3确定体系范围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4.4体系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5.1领导作用与承诺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5.2方针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5.4工作人员的协商和参与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6.1应对风险和机遇的措施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6.1.4措施的策划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7.1资源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bookmarkStart w:id="36" w:name="_GoBack"/>
            <w:bookmarkEnd w:id="36"/>
            <w:r>
              <w:rPr>
                <w:rFonts w:hint="eastAsia" w:ascii="宋体" w:hAnsi="宋体" w:eastAsia="宋体" w:cs="新宋体"/>
                <w:sz w:val="18"/>
                <w:szCs w:val="18"/>
              </w:rPr>
              <w:t>9.1监视、测量、分析和评价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9.3管理评审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10.1改进 总则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一阶段不符合的验证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76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6075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7.1.2人员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7.1.6组织知识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7.3意识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10.2不符合和纠正措施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 xml:space="preserve">： 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6.1.2环境因素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6.1.3合规义务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7.3意识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9.1监视、测量、分析与评估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9.1.2符合性评估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10.2不符合和纠正措施/EMS运行控制相关财务支出证据。</w:t>
            </w:r>
          </w:p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6.1.3法律法规要求和其他要求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7.2能力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7.3意识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7.5文件化信息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9.1监视、测量、分析和评价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9.1.2法律法规要求和其他要求的合规性评价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事件、不符合和纠正措施/OHSMS运行控制财务支出证据。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63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pStyle w:val="2"/>
              <w:rPr>
                <w:rFonts w:hint="default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（午餐12：30-13：00）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76" w:type="dxa"/>
            <w:vMerge w:val="restart"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营销部</w:t>
            </w:r>
          </w:p>
        </w:tc>
        <w:tc>
          <w:tcPr>
            <w:tcW w:w="607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7.1.3基础设施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7.1.4过程运行环境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7.1.5监视和测量资源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8.2产品和服务的要求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8.3设计开发控制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/不适用验证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8.5.1生产和服务提供的控制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8.5.2标识和可追溯性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8.5.3顾客或外部供方的财产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8.5.4防护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8.5.5交付后的活动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8.6产品和服务放行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8.7不合格输出的控制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9.1.2顾客满意</w:t>
            </w:r>
          </w:p>
        </w:tc>
        <w:tc>
          <w:tcPr>
            <w:tcW w:w="11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vAlign w:val="top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07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QMS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8.4外部提供供方的控制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EMS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5.3组织的角色、职责和权限、6.1.2环境因素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6.2目标及其达成的策划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8.2应急准备和响应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OHSMS：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6.1.2危险源辨识和职业安全风险评价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6.2目标及其实现的策划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7.4信息和沟通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8.1运行策划和控制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11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15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;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24936554"/>
    <w:rsid w:val="252F55DB"/>
    <w:rsid w:val="427C4E70"/>
    <w:rsid w:val="76725AA4"/>
    <w:rsid w:val="7C6007FA"/>
    <w:rsid w:val="7D504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2335</Words>
  <Characters>3359</Characters>
  <Lines>37</Lines>
  <Paragraphs>10</Paragraphs>
  <TotalTime>1</TotalTime>
  <ScaleCrop>false</ScaleCrop>
  <LinksUpToDate>false</LinksUpToDate>
  <CharactersWithSpaces>3422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2023-02-16T06:35:23Z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