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default"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主管领导：王忠山   </w:t>
            </w:r>
            <w:r>
              <w:rPr>
                <w:sz w:val="24"/>
                <w:szCs w:val="24"/>
              </w:rPr>
              <w:t xml:space="preserve">  </w:t>
            </w:r>
            <w:r>
              <w:rPr>
                <w:rFonts w:hint="eastAsia"/>
                <w:sz w:val="24"/>
                <w:szCs w:val="24"/>
              </w:rPr>
              <w:t>陪同人员：</w:t>
            </w:r>
            <w:r>
              <w:rPr>
                <w:rFonts w:hint="eastAsia"/>
                <w:sz w:val="24"/>
                <w:szCs w:val="24"/>
                <w:lang w:val="en-US" w:eastAsia="zh-CN"/>
              </w:rPr>
              <w:t>王晓东</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pStyle w:val="2"/>
              <w:rPr>
                <w:sz w:val="21"/>
                <w:szCs w:val="21"/>
              </w:rPr>
            </w:pPr>
            <w:r>
              <w:rPr>
                <w:rFonts w:hint="eastAsia"/>
                <w:sz w:val="21"/>
                <w:szCs w:val="21"/>
              </w:rPr>
              <w:t>审核员：</w:t>
            </w:r>
            <w:r>
              <w:rPr>
                <w:rFonts w:hint="eastAsia"/>
                <w:sz w:val="21"/>
                <w:szCs w:val="21"/>
                <w:lang w:val="en-US" w:eastAsia="zh-CN"/>
              </w:rPr>
              <w:t>肖新龙</w:t>
            </w:r>
            <w:r>
              <w:rPr>
                <w:rFonts w:hint="eastAsia"/>
                <w:bCs w:val="0"/>
                <w:sz w:val="21"/>
                <w:szCs w:val="21"/>
                <w:lang w:eastAsia="zh-CN"/>
              </w:rPr>
              <w:t>（</w:t>
            </w:r>
            <w:r>
              <w:rPr>
                <w:rFonts w:hint="eastAsia"/>
                <w:bCs w:val="0"/>
                <w:sz w:val="21"/>
                <w:szCs w:val="21"/>
                <w:lang w:val="en-US" w:eastAsia="zh-CN"/>
              </w:rPr>
              <w:t>审核QEOFH</w:t>
            </w:r>
            <w:r>
              <w:rPr>
                <w:rFonts w:hint="eastAsia"/>
                <w:bCs w:val="0"/>
                <w:sz w:val="21"/>
                <w:szCs w:val="21"/>
                <w:lang w:eastAsia="zh-CN"/>
              </w:rPr>
              <w:t>）</w:t>
            </w:r>
            <w:r>
              <w:rPr>
                <w:rFonts w:hint="eastAsia"/>
                <w:bCs w:val="0"/>
                <w:sz w:val="18"/>
                <w:szCs w:val="18"/>
                <w:lang w:eastAsia="zh-CN"/>
              </w:rPr>
              <w:t>，</w:t>
            </w:r>
            <w:r>
              <w:rPr>
                <w:rFonts w:hint="eastAsia"/>
                <w:bCs w:val="0"/>
                <w:sz w:val="21"/>
                <w:szCs w:val="21"/>
                <w:lang w:val="en-US" w:eastAsia="zh-CN"/>
              </w:rPr>
              <w:t>任泽华实习O；</w:t>
            </w:r>
            <w:r>
              <w:rPr>
                <w:rFonts w:hint="eastAsia"/>
                <w:sz w:val="21"/>
                <w:szCs w:val="21"/>
              </w:rPr>
              <w:t xml:space="preserve">     </w:t>
            </w:r>
            <w:r>
              <w:rPr>
                <w:sz w:val="21"/>
                <w:szCs w:val="21"/>
              </w:rPr>
              <w:t xml:space="preserve"> </w:t>
            </w:r>
            <w:r>
              <w:rPr>
                <w:rFonts w:hint="eastAsia"/>
                <w:sz w:val="21"/>
                <w:szCs w:val="21"/>
                <w:lang w:val="en-US" w:eastAsia="zh-CN"/>
              </w:rPr>
              <w:t>注：肖新龙见证任泽华O晋级见证</w:t>
            </w:r>
            <w:r>
              <w:rPr>
                <w:sz w:val="21"/>
                <w:szCs w:val="21"/>
              </w:rPr>
              <w:t xml:space="preserve">           </w:t>
            </w:r>
          </w:p>
          <w:p>
            <w:pPr>
              <w:pStyle w:val="2"/>
              <w:rPr>
                <w:rFonts w:hint="default" w:ascii="Times New Roman" w:hAnsi="Times New Roman" w:eastAsia="宋体" w:cs="Times New Roman"/>
                <w:bCs/>
                <w:spacing w:val="10"/>
                <w:kern w:val="2"/>
                <w:sz w:val="21"/>
                <w:lang w:val="en-US" w:eastAsia="zh-CN" w:bidi="ar-SA"/>
              </w:rPr>
            </w:pPr>
            <w:r>
              <w:rPr>
                <w:rFonts w:hint="eastAsia"/>
                <w:sz w:val="21"/>
                <w:szCs w:val="21"/>
              </w:rPr>
              <w:t>审核日期：</w:t>
            </w:r>
            <w:r>
              <w:rPr>
                <w:rFonts w:hint="eastAsia"/>
                <w:sz w:val="21"/>
                <w:szCs w:val="21"/>
                <w:lang w:val="en-US" w:eastAsia="zh-CN"/>
              </w:rPr>
              <w:t>2023-02-16下午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7.5.1/8.1/8.4/9.1.1/9.2/</w:t>
            </w:r>
            <w:r>
              <w:rPr>
                <w:rFonts w:hint="eastAsia"/>
              </w:rPr>
              <w:t>9.3/</w:t>
            </w:r>
            <w:r>
              <w:rPr>
                <w:rFonts w:hint="eastAsia"/>
                <w:lang w:val="en-US" w:eastAsia="zh-CN"/>
              </w:rPr>
              <w:t>10.2/</w:t>
            </w:r>
            <w:r>
              <w:rPr>
                <w:rFonts w:hint="eastAsia"/>
              </w:rPr>
              <w:t>10.3</w:t>
            </w:r>
          </w:p>
          <w:p>
            <w:pPr>
              <w:pStyle w:val="2"/>
              <w:rPr>
                <w:rFonts w:hint="eastAsia"/>
              </w:rPr>
            </w:pPr>
            <w:r>
              <w:rPr>
                <w:rFonts w:hint="eastAsia"/>
              </w:rPr>
              <w:t>E:4.1/4.2/4.3/4.4/5.1/5.2/5.3/6.1/6.2/7.1/7.</w:t>
            </w:r>
            <w:r>
              <w:rPr>
                <w:rFonts w:hint="eastAsia"/>
                <w:lang w:val="en-US" w:eastAsia="zh-CN"/>
              </w:rPr>
              <w:t>4</w:t>
            </w:r>
            <w:r>
              <w:rPr>
                <w:rFonts w:hint="eastAsia"/>
              </w:rPr>
              <w:t>/</w:t>
            </w:r>
            <w:r>
              <w:rPr>
                <w:rFonts w:hint="eastAsia"/>
                <w:lang w:val="en-US" w:eastAsia="zh-CN"/>
              </w:rPr>
              <w:t>7.5.1/8.2/</w:t>
            </w:r>
            <w:r>
              <w:rPr>
                <w:rFonts w:hint="eastAsia"/>
              </w:rPr>
              <w:t>9.1.1/</w:t>
            </w:r>
            <w:r>
              <w:rPr>
                <w:rFonts w:hint="eastAsia"/>
                <w:lang w:val="en-US" w:eastAsia="zh-CN"/>
              </w:rPr>
              <w:t>9.2/</w:t>
            </w:r>
            <w:r>
              <w:rPr>
                <w:rFonts w:hint="eastAsia"/>
              </w:rPr>
              <w:t xml:space="preserve">9.3/10.1/10.3 </w:t>
            </w:r>
          </w:p>
          <w:p>
            <w:pPr>
              <w:pStyle w:val="2"/>
              <w:rPr>
                <w:rFonts w:hint="eastAsia"/>
              </w:rPr>
            </w:pPr>
            <w:r>
              <w:rPr>
                <w:rFonts w:hint="eastAsia"/>
              </w:rPr>
              <w:t>O:4.1/4.2/4.3/4.4/5.1/5.2/5.3/6.1/6.2/7.1/7.</w:t>
            </w:r>
            <w:r>
              <w:rPr>
                <w:rFonts w:hint="eastAsia"/>
                <w:lang w:val="en-US" w:eastAsia="zh-CN"/>
              </w:rPr>
              <w:t>4</w:t>
            </w:r>
            <w:r>
              <w:rPr>
                <w:rFonts w:hint="eastAsia"/>
              </w:rPr>
              <w:t>/</w:t>
            </w:r>
            <w:r>
              <w:rPr>
                <w:rFonts w:hint="eastAsia"/>
                <w:lang w:val="en-US" w:eastAsia="zh-CN"/>
              </w:rPr>
              <w:t>7.5.1/8.2/</w:t>
            </w:r>
            <w:r>
              <w:rPr>
                <w:rFonts w:hint="eastAsia"/>
              </w:rPr>
              <w:t>9.1.1/</w:t>
            </w:r>
            <w:r>
              <w:rPr>
                <w:rFonts w:hint="eastAsia"/>
                <w:lang w:val="en-US" w:eastAsia="zh-CN"/>
              </w:rPr>
              <w:t>9.2/</w:t>
            </w:r>
            <w:r>
              <w:rPr>
                <w:rFonts w:hint="eastAsia"/>
              </w:rPr>
              <w:t xml:space="preserve">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sz w:val="18"/>
                <w:szCs w:val="18"/>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w:t>
            </w:r>
            <w:r>
              <w:rPr>
                <w:rFonts w:hint="eastAsia"/>
                <w:lang w:val="en-US" w:eastAsia="zh-CN"/>
              </w:rPr>
              <w:t>5.3/</w:t>
            </w:r>
            <w:r>
              <w:t>5.4/5.5</w:t>
            </w:r>
          </w:p>
          <w:p>
            <w:pPr>
              <w:rPr>
                <w:rFonts w:hint="default"/>
                <w:lang w:val="en-US" w:eastAsia="zh-CN"/>
              </w:rPr>
            </w:pPr>
            <w:r>
              <w:rPr>
                <w:rFonts w:hint="eastAsia"/>
                <w:lang w:val="en-US" w:eastAsia="zh-CN"/>
              </w:rPr>
              <w:t>一阶段问题验证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市场竞争比较激烈；</w:t>
                  </w:r>
                </w:p>
                <w:p>
                  <w:pPr>
                    <w:pStyle w:val="2"/>
                    <w:rPr>
                      <w:rFonts w:hint="default"/>
                      <w:lang w:val="en-US" w:eastAsia="zh-CN"/>
                    </w:rPr>
                  </w:pPr>
                  <w:r>
                    <w:rPr>
                      <w:rFonts w:hint="eastAsia"/>
                      <w:lang w:val="en-US" w:eastAsia="zh-CN"/>
                    </w:rPr>
                    <w:t>客户要求越来越严格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lang w:val="en-US" w:eastAsia="zh-CN"/>
                    </w:rPr>
                  </w:pPr>
                  <w:r>
                    <w:rPr>
                      <w:rFonts w:hint="eastAsia"/>
                      <w:lang w:val="en-US" w:eastAsia="zh-CN"/>
                    </w:rPr>
                    <w:t>老板及团队重视食品安全问题、重视安全生产、重视员工培养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8"/>
                    <w:rPr>
                      <w:rFonts w:hint="default"/>
                      <w:lang w:val="en-US" w:eastAsia="zh-CN"/>
                    </w:rPr>
                  </w:pPr>
                  <w:r>
                    <w:rPr>
                      <w:rFonts w:hint="eastAsia"/>
                      <w:sz w:val="21"/>
                      <w:szCs w:val="21"/>
                      <w:lang w:val="en-US" w:eastAsia="zh-CN"/>
                    </w:rPr>
                    <w:t>体系导入方面还比较薄弱、员工流动性比较大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pStyle w:val="2"/>
                    <w:rPr>
                      <w:rFonts w:hint="eastAsia"/>
                      <w:lang w:val="en-US" w:eastAsia="zh-CN"/>
                    </w:rPr>
                  </w:pPr>
                  <w:r>
                    <w:rPr>
                      <w:rFonts w:hint="eastAsia"/>
                      <w:lang w:val="en-US" w:eastAsia="zh-CN"/>
                    </w:rPr>
                    <w:t>餐食制售过程人员流动大，食品安全意识薄弱等，导致食品安全事故发生</w:t>
                  </w:r>
                </w:p>
                <w:p>
                  <w:pPr>
                    <w:pStyle w:val="2"/>
                    <w:rPr>
                      <w:rFonts w:hint="default"/>
                      <w:lang w:val="en-US" w:eastAsia="zh-CN"/>
                    </w:rPr>
                  </w:pPr>
                  <w:r>
                    <w:rPr>
                      <w:rFonts w:hint="eastAsia"/>
                      <w:lang w:val="en-US" w:eastAsia="zh-CN"/>
                    </w:rPr>
                    <w:t>员工工伤、油烟排放不达标等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highlight w:val="none"/>
                      <w:lang w:val="en-US" w:eastAsia="zh-CN"/>
                    </w:rPr>
                  </w:pPr>
                  <w:r>
                    <w:rPr>
                      <w:rFonts w:hint="eastAsia"/>
                      <w:highlight w:val="none"/>
                      <w:lang w:val="en-US" w:eastAsia="zh-CN"/>
                    </w:rPr>
                    <w:t>通过管理体系建立提高内部管理，市场开拓，如学校等教育系统；</w:t>
                  </w:r>
                </w:p>
                <w:p>
                  <w:pPr>
                    <w:rPr>
                      <w:rFonts w:hint="default" w:eastAsia="宋体"/>
                      <w:highlight w:val="yellow"/>
                      <w:lang w:val="en-US" w:eastAsia="zh-CN"/>
                    </w:rPr>
                  </w:pPr>
                  <w:r>
                    <w:rPr>
                      <w:rFonts w:hint="eastAsia"/>
                      <w:highlight w:val="none"/>
                      <w:lang w:val="en-US" w:eastAsia="zh-CN"/>
                    </w:rPr>
                    <w:t>目前本地团餐市场需求很大；</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eastAsia="zh-CN"/>
              </w:rPr>
              <w:t>《</w:t>
            </w:r>
            <w:r>
              <w:rPr>
                <w:rFonts w:hint="eastAsia" w:ascii="宋体" w:hAnsi="宋体"/>
                <w:lang w:val="en-US" w:eastAsia="zh-CN"/>
              </w:rPr>
              <w:t>组织内外部环境要素识别表</w:t>
            </w:r>
            <w:r>
              <w:rPr>
                <w:rFonts w:hint="eastAsia" w:ascii="宋体" w:hAnsi="宋体"/>
                <w:lang w:eastAsia="zh-CN"/>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rPr>
              <w:t xml:space="preserve">Q4.2 </w:t>
            </w:r>
          </w:p>
          <w:p>
            <w:pPr>
              <w:rPr>
                <w:rFonts w:hint="eastAsia"/>
              </w:rPr>
            </w:pPr>
            <w:r>
              <w:rPr>
                <w:rFonts w:hint="eastAsia"/>
              </w:rPr>
              <w:t>F4.2</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asciiTheme="minorEastAsia" w:hAnsiTheme="minorEastAsia" w:eastAsiaTheme="minorEastAsia" w:cstheme="minorEastAsia"/>
                <w:szCs w:val="24"/>
              </w:rPr>
              <w:t>相关方管理控制制程序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长治市市场监督管理局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2"/>
                    <w:ind w:left="0" w:leftChars="0" w:firstLine="0" w:firstLineChars="0"/>
                    <w:rPr>
                      <w:rFonts w:hint="default"/>
                      <w:highlight w:val="yellow"/>
                      <w:lang w:val="en-US" w:eastAsia="zh-CN"/>
                    </w:rPr>
                  </w:pPr>
                  <w:r>
                    <w:rPr>
                      <w:rFonts w:hint="eastAsia"/>
                      <w:sz w:val="21"/>
                      <w:szCs w:val="21"/>
                      <w:lang w:eastAsia="zh-CN"/>
                    </w:rPr>
                    <w:t>山西潞安矿业（集团）有限责任公司古城煤矿招待所</w:t>
                  </w:r>
                  <w:r>
                    <w:rPr>
                      <w:rFonts w:hint="eastAsia"/>
                      <w:sz w:val="21"/>
                      <w:szCs w:val="21"/>
                      <w:lang w:val="en-US" w:eastAsia="zh-CN"/>
                    </w:rPr>
                    <w:t>负责供方管理</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2"/>
                    <w:ind w:left="0" w:leftChars="0" w:firstLine="0" w:firstLineChars="0"/>
                    <w:rPr>
                      <w:rFonts w:hint="default"/>
                      <w:highlight w:val="yellow"/>
                      <w:lang w:val="en-US" w:eastAsia="zh-CN"/>
                    </w:rPr>
                  </w:pPr>
                  <w:r>
                    <w:rPr>
                      <w:rFonts w:hint="eastAsia"/>
                      <w:sz w:val="21"/>
                      <w:szCs w:val="21"/>
                      <w:lang w:eastAsia="zh-CN"/>
                    </w:rPr>
                    <w:t>山西潞安矿业（集团）有限责任公司古城煤矿招待所</w:t>
                  </w:r>
                  <w:r>
                    <w:rPr>
                      <w:rFonts w:hint="eastAsia"/>
                      <w:sz w:val="21"/>
                      <w:szCs w:val="21"/>
                      <w:lang w:val="en-US" w:eastAsia="zh-CN"/>
                    </w:rPr>
                    <w:t>就餐人员</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普通消费者</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资</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yellow"/>
                    </w:rPr>
                  </w:pPr>
                  <w:r>
                    <w:rPr>
                      <w:rFonts w:hint="eastAsia"/>
                      <w:highlight w:val="none"/>
                    </w:rPr>
                    <w:sym w:font="Wingdings 2" w:char="0052"/>
                  </w:r>
                  <w:r>
                    <w:rPr>
                      <w:rFonts w:hint="eastAsia"/>
                      <w:highlight w:val="none"/>
                    </w:rPr>
                    <w:t>社区</w:t>
                  </w:r>
                </w:p>
              </w:tc>
              <w:tc>
                <w:tcPr>
                  <w:tcW w:w="2701" w:type="dxa"/>
                </w:tcPr>
                <w:p>
                  <w:pPr>
                    <w:rPr>
                      <w:rFonts w:hint="default" w:eastAsia="宋体"/>
                      <w:highlight w:val="yellow"/>
                      <w:lang w:val="en-US" w:eastAsia="zh-CN"/>
                    </w:rPr>
                  </w:pPr>
                  <w:r>
                    <w:rPr>
                      <w:rFonts w:hint="eastAsia"/>
                      <w:highlight w:val="none"/>
                      <w:lang w:val="en-US" w:eastAsia="zh-CN"/>
                    </w:rPr>
                    <w:t>周边为工业园区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highlight w:val="none"/>
              </w:rPr>
              <w:t>《</w:t>
            </w:r>
            <w:r>
              <w:rPr>
                <w:rFonts w:hint="eastAsia" w:asciiTheme="minorEastAsia" w:hAnsiTheme="minorEastAsia" w:eastAsiaTheme="minorEastAsia" w:cstheme="minorEastAsia"/>
                <w:szCs w:val="24"/>
              </w:rPr>
              <w:t>相关方管理控制制程序</w:t>
            </w:r>
            <w:r>
              <w:rPr>
                <w:rFonts w:hint="eastAsia"/>
                <w:highlight w:val="none"/>
              </w:rPr>
              <w:t>》</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长治市生态环境局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12"/>
                    <w:ind w:left="0" w:leftChars="0" w:firstLine="0" w:firstLineChars="0"/>
                    <w:rPr>
                      <w:rFonts w:hint="default" w:ascii="宋体" w:hAnsi="宋体" w:eastAsia="宋体" w:cs="Times New Roman"/>
                      <w:kern w:val="2"/>
                      <w:sz w:val="21"/>
                      <w:szCs w:val="24"/>
                      <w:highlight w:val="yellow"/>
                      <w:lang w:val="en-US" w:eastAsia="zh-CN" w:bidi="ar-SA"/>
                    </w:rPr>
                  </w:pPr>
                  <w:r>
                    <w:rPr>
                      <w:rFonts w:hint="eastAsia"/>
                      <w:sz w:val="21"/>
                      <w:szCs w:val="21"/>
                      <w:lang w:eastAsia="zh-CN"/>
                    </w:rPr>
                    <w:t>山西潞安矿业（集团）有限责任公司古城煤矿招待所</w:t>
                  </w:r>
                  <w:r>
                    <w:rPr>
                      <w:rFonts w:hint="eastAsia"/>
                      <w:sz w:val="21"/>
                      <w:szCs w:val="21"/>
                      <w:lang w:val="en-US" w:eastAsia="zh-CN"/>
                    </w:rPr>
                    <w:t>负责供方管理</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12"/>
                    <w:ind w:left="0" w:leftChars="0" w:firstLine="0" w:firstLineChars="0"/>
                    <w:rPr>
                      <w:rFonts w:hint="default" w:ascii="宋体" w:hAnsi="宋体" w:eastAsia="宋体" w:cs="Times New Roman"/>
                      <w:kern w:val="2"/>
                      <w:sz w:val="21"/>
                      <w:szCs w:val="24"/>
                      <w:highlight w:val="yellow"/>
                      <w:lang w:val="en-US" w:eastAsia="zh-CN" w:bidi="ar-SA"/>
                    </w:rPr>
                  </w:pPr>
                  <w:r>
                    <w:rPr>
                      <w:rFonts w:hint="eastAsia"/>
                      <w:sz w:val="21"/>
                      <w:szCs w:val="21"/>
                      <w:lang w:eastAsia="zh-CN"/>
                    </w:rPr>
                    <w:t>山西潞安矿业（集团）有限责任公司古城煤矿招待所</w:t>
                  </w:r>
                  <w:r>
                    <w:rPr>
                      <w:rFonts w:hint="eastAsia"/>
                      <w:sz w:val="21"/>
                      <w:szCs w:val="21"/>
                      <w:lang w:val="en-US" w:eastAsia="zh-CN"/>
                    </w:rPr>
                    <w:t>就餐人员</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普通消费者</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资</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周边为工业园区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highlight w:val="none"/>
              </w:rPr>
              <w:t>《</w:t>
            </w:r>
            <w:r>
              <w:rPr>
                <w:rFonts w:hint="eastAsia" w:asciiTheme="minorEastAsia" w:hAnsiTheme="minorEastAsia" w:eastAsiaTheme="minorEastAsia" w:cstheme="minorEastAsia"/>
                <w:szCs w:val="24"/>
              </w:rPr>
              <w:t>相关方管理控制制程序</w:t>
            </w:r>
            <w:r>
              <w:rPr>
                <w:rFonts w:hint="eastAsia"/>
                <w:highlight w:val="none"/>
              </w:rPr>
              <w:t>》</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如：长治市应急管理局，长治市消防救援大队、长治市消防支队、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爱驰威汽车零部件（海盐）有限公司、精诚工科汽车系统（平湖）有限公司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12"/>
                    <w:ind w:left="0" w:leftChars="0" w:firstLine="0" w:firstLineChars="0"/>
                    <w:rPr>
                      <w:rFonts w:hint="default" w:ascii="宋体" w:hAnsi="宋体" w:eastAsia="宋体" w:cs="Times New Roman"/>
                      <w:kern w:val="2"/>
                      <w:sz w:val="21"/>
                      <w:szCs w:val="24"/>
                      <w:highlight w:val="yellow"/>
                      <w:lang w:val="en-US" w:eastAsia="zh-CN" w:bidi="ar-SA"/>
                    </w:rPr>
                  </w:pPr>
                  <w:r>
                    <w:rPr>
                      <w:rFonts w:hint="eastAsia"/>
                      <w:sz w:val="21"/>
                      <w:szCs w:val="21"/>
                      <w:lang w:eastAsia="zh-CN"/>
                    </w:rPr>
                    <w:t>山西潞安矿业（集团）有限责任公司古城煤矿招待所</w:t>
                  </w:r>
                  <w:r>
                    <w:rPr>
                      <w:rFonts w:hint="eastAsia"/>
                      <w:sz w:val="21"/>
                      <w:szCs w:val="21"/>
                      <w:lang w:val="en-US" w:eastAsia="zh-CN"/>
                    </w:rPr>
                    <w:t>负责供方管理</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pStyle w:val="12"/>
                    <w:ind w:left="0" w:leftChars="0" w:firstLine="0" w:firstLineChars="0"/>
                    <w:rPr>
                      <w:rFonts w:hint="eastAsia" w:ascii="宋体" w:hAnsi="宋体" w:eastAsia="宋体" w:cs="Times New Roman"/>
                      <w:kern w:val="2"/>
                      <w:sz w:val="21"/>
                      <w:szCs w:val="24"/>
                      <w:highlight w:val="yellow"/>
                      <w:lang w:val="en-US" w:eastAsia="zh-CN" w:bidi="ar-SA"/>
                    </w:rPr>
                  </w:pPr>
                  <w:r>
                    <w:rPr>
                      <w:rFonts w:hint="eastAsia"/>
                      <w:sz w:val="21"/>
                      <w:szCs w:val="21"/>
                      <w:lang w:eastAsia="zh-CN"/>
                    </w:rPr>
                    <w:t>山西潞安矿业（集团）有限责任公司古城煤矿招待所</w:t>
                  </w:r>
                  <w:r>
                    <w:rPr>
                      <w:rFonts w:hint="eastAsia"/>
                      <w:sz w:val="21"/>
                      <w:szCs w:val="21"/>
                      <w:lang w:val="en-US" w:eastAsia="zh-CN"/>
                    </w:rPr>
                    <w:t>就餐人员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普通消费者</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周边为工业园区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宋体" w:hAnsi="宋体"/>
                <w:lang w:val="en-US" w:eastAsia="zh-CN"/>
              </w:rPr>
              <w:t>相关方期望要求识别表</w:t>
            </w:r>
            <w:r>
              <w:rPr>
                <w:rFonts w:hint="eastAsia" w:ascii="宋体" w:hAnsi="宋体"/>
              </w:rPr>
              <w:t>》</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确定质量/食品安全管理体系的范围</w:t>
            </w:r>
          </w:p>
        </w:tc>
        <w:tc>
          <w:tcPr>
            <w:tcW w:w="1040" w:type="dxa"/>
            <w:vMerge w:val="restart"/>
            <w:shd w:val="clear" w:color="auto" w:fill="auto"/>
          </w:tcPr>
          <w:p>
            <w:r>
              <w:rPr>
                <w:rFonts w:hint="eastAsia"/>
              </w:rPr>
              <w:t>Q4.3</w:t>
            </w:r>
          </w:p>
          <w:p>
            <w:pPr>
              <w:rPr>
                <w:rFonts w:hint="eastAsia"/>
              </w:rPr>
            </w:pPr>
            <w:r>
              <w:rPr>
                <w:rFonts w:hint="eastAsia"/>
              </w:rPr>
              <w:t>F4.3</w:t>
            </w:r>
          </w:p>
          <w:p>
            <w:pPr>
              <w:pStyle w:val="8"/>
              <w:rPr>
                <w:rFonts w:hint="eastAsia"/>
                <w:lang w:val="en-US" w:eastAsia="zh-CN"/>
              </w:rPr>
            </w:pPr>
            <w:r>
              <w:rPr>
                <w:rFonts w:hint="eastAsia"/>
                <w:lang w:val="en-US" w:eastAsia="zh-CN"/>
              </w:rPr>
              <w:t>E4.3</w:t>
            </w:r>
          </w:p>
          <w:p>
            <w:pPr>
              <w:pStyle w:val="8"/>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8"/>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sz w:val="20"/>
                    </w:rPr>
                  </w:pPr>
                  <w:bookmarkStart w:id="1" w:name="审核范围"/>
                  <w:r>
                    <w:rPr>
                      <w:sz w:val="20"/>
                    </w:rPr>
                    <w:t>Q：热食类食品制售</w:t>
                  </w:r>
                </w:p>
                <w:p>
                  <w:pPr>
                    <w:rPr>
                      <w:sz w:val="20"/>
                    </w:rPr>
                  </w:pPr>
                  <w:r>
                    <w:rPr>
                      <w:sz w:val="20"/>
                    </w:rPr>
                    <w:t>E：热食类食品制售所涉及场所的相关环境管理活动</w:t>
                  </w:r>
                </w:p>
                <w:p>
                  <w:pPr>
                    <w:rPr>
                      <w:sz w:val="20"/>
                    </w:rPr>
                  </w:pPr>
                  <w:r>
                    <w:rPr>
                      <w:sz w:val="20"/>
                    </w:rPr>
                    <w:t>O：热食类食品制售所涉及场所的相关职业健康安全管理活动</w:t>
                  </w:r>
                </w:p>
                <w:p>
                  <w:pPr>
                    <w:rPr>
                      <w:sz w:val="20"/>
                    </w:rPr>
                  </w:pPr>
                  <w:r>
                    <w:rPr>
                      <w:sz w:val="20"/>
                    </w:rPr>
                    <w:t>F：位于山西省长治市屯留县李高乡西李高村西【承包山西潞安矿业（集团）有限责任公司古城煤矿招待所食堂】的长治市德烨通餐饮管理有限公司的热食类食品制售</w:t>
                  </w:r>
                </w:p>
                <w:p>
                  <w:pPr>
                    <w:autoSpaceDE w:val="0"/>
                    <w:autoSpaceDN w:val="0"/>
                    <w:adjustRightInd w:val="0"/>
                    <w:jc w:val="left"/>
                  </w:pPr>
                  <w:r>
                    <w:rPr>
                      <w:sz w:val="20"/>
                    </w:rPr>
                    <w:t>H：位于山西省长治市屯留县李高乡西李高村西【承包山西潞安矿业（集团）有限责任公司古城煤矿招待所食堂】的长治市德烨通餐饮管理有限公司的热食类食品制售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20"/>
                    </w:rPr>
                    <w:t>浙江省嘉兴市平湖市钟埭街道兴平一路1</w:t>
                  </w:r>
                  <w:r>
                    <w:rPr>
                      <w:rFonts w:asciiTheme="minorEastAsia" w:hAnsiTheme="minorEastAsia" w:eastAsiaTheme="minorEastAsia"/>
                      <w:sz w:val="20"/>
                    </w:rPr>
                    <w:t>888</w:t>
                  </w:r>
                  <w:r>
                    <w:rPr>
                      <w:rFonts w:hint="eastAsia" w:asciiTheme="minorEastAsia" w:hAnsiTheme="minorEastAsia" w:eastAsiaTheme="minorEastAsia"/>
                      <w:sz w:val="20"/>
                    </w:rPr>
                    <w:t>号第7栋1楼</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hint="eastAsia" w:cs="Times New Roman" w:asciiTheme="minorEastAsia" w:hAnsiTheme="minorEastAsia" w:eastAsiaTheme="minorEastAsia"/>
                      <w:kern w:val="2"/>
                      <w:sz w:val="18"/>
                      <w:szCs w:val="18"/>
                      <w:lang w:val="en-US" w:eastAsia="zh-CN" w:bidi="ar-SA"/>
                    </w:rPr>
                    <w:t>1）长治市太行北路168号钜星创业大厦2幢10层【办公地址】</w:t>
                  </w:r>
                </w:p>
                <w:p>
                  <w:pPr>
                    <w:rPr>
                      <w:rFonts w:hint="eastAsia" w:cs="Times New Roman" w:asciiTheme="minorEastAsia" w:hAnsiTheme="minorEastAsia" w:eastAsiaTheme="minorEastAsia"/>
                      <w:kern w:val="2"/>
                      <w:sz w:val="18"/>
                      <w:szCs w:val="18"/>
                      <w:lang w:val="en-US" w:eastAsia="zh-CN" w:bidi="ar-SA"/>
                    </w:rPr>
                  </w:pPr>
                  <w:r>
                    <w:rPr>
                      <w:rFonts w:hint="eastAsia" w:cs="Times New Roman" w:asciiTheme="minorEastAsia" w:hAnsiTheme="minorEastAsia" w:eastAsiaTheme="minorEastAsia"/>
                      <w:kern w:val="2"/>
                      <w:sz w:val="18"/>
                      <w:szCs w:val="18"/>
                      <w:lang w:val="en-US" w:eastAsia="zh-CN" w:bidi="ar-SA"/>
                    </w:rPr>
                    <w:t>2）山西省长治市屯留县李高乡西李高村西（承包山西潞安矿业（集团）有限责任公司古城煤矿招待所单位食堂）【热食类食品制售场所】</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2022-09-01日</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auto"/>
          </w:tcPr>
          <w:p>
            <w:pPr>
              <w:shd w:val="clear"/>
            </w:pPr>
            <w:r>
              <w:rPr>
                <w:rFonts w:hint="eastAsia"/>
              </w:rPr>
              <w:t>HACCP体系</w:t>
            </w:r>
          </w:p>
          <w:p>
            <w:pPr>
              <w:shd w:val="clear"/>
            </w:pPr>
            <w:r>
              <w:rPr>
                <w:rFonts w:hint="eastAsia"/>
              </w:rPr>
              <w:t>总要求</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5"/>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9</w:t>
            </w:r>
            <w:r>
              <w:rPr>
                <w:rFonts w:hint="eastAsia"/>
                <w:u w:val="single"/>
              </w:rPr>
              <w:t xml:space="preserve"> 月 </w:t>
            </w:r>
            <w:r>
              <w:rPr>
                <w:rFonts w:hint="eastAsia"/>
                <w:u w:val="single"/>
                <w:lang w:val="en-US" w:eastAsia="zh-CN"/>
              </w:rPr>
              <w:t>1</w:t>
            </w:r>
            <w:r>
              <w:rPr>
                <w:rFonts w:hint="eastAsia"/>
                <w:u w:val="single"/>
              </w:rPr>
              <w:t>日</w:t>
            </w:r>
            <w:r>
              <w:rPr>
                <w:rFonts w:hint="eastAsia"/>
              </w:rPr>
              <w:t>建立了文件化HACCP体系；</w:t>
            </w:r>
          </w:p>
          <w:p>
            <w:pPr>
              <w:pStyle w:val="25"/>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5"/>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5"/>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H：位于山西省长治市屯留县李高乡西李高村西【承包山西潞安矿业（集团）有限责任公司古城煤矿招待所食堂】的长治市德烨通餐饮管理有限公司的热食类食品制售；</w:t>
            </w:r>
          </w:p>
          <w:p>
            <w:pPr>
              <w:pStyle w:val="25"/>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5"/>
              <w:shd w:val="clear"/>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5"/>
              <w:shd w:val="clear"/>
              <w:adjustRightInd w:val="0"/>
              <w:snapToGrid w:val="0"/>
              <w:spacing w:line="360" w:lineRule="auto"/>
              <w:rPr>
                <w:rFonts w:hint="eastAsia"/>
                <w:color w:val="000000"/>
                <w:highlight w:val="none"/>
                <w:u w:val="single"/>
                <w:lang w:val="en-US" w:eastAsia="zh-CN"/>
              </w:rPr>
            </w:pPr>
            <w:r>
              <w:rPr>
                <w:rFonts w:hint="eastAsia"/>
                <w:highlight w:val="none"/>
              </w:rPr>
              <w:t>外包过程包括：</w:t>
            </w:r>
            <w:r>
              <w:rPr>
                <w:rFonts w:hint="eastAsia"/>
                <w:highlight w:val="none"/>
                <w:u w:val="single"/>
                <w:lang w:val="en-US" w:eastAsia="zh-CN"/>
              </w:rPr>
              <w:t xml:space="preserve">  产品</w:t>
            </w:r>
            <w:r>
              <w:rPr>
                <w:rFonts w:hint="eastAsia"/>
                <w:color w:val="000000"/>
                <w:highlight w:val="none"/>
                <w:u w:val="single"/>
                <w:lang w:val="en-US" w:eastAsia="zh-CN"/>
              </w:rPr>
              <w:t xml:space="preserve">第三方检测 </w:t>
            </w:r>
          </w:p>
          <w:p>
            <w:pPr>
              <w:pStyle w:val="25"/>
              <w:shd w:val="clear"/>
              <w:adjustRightInd w:val="0"/>
              <w:snapToGrid w:val="0"/>
              <w:spacing w:line="360" w:lineRule="auto"/>
              <w:rPr>
                <w:rFonts w:hint="default" w:eastAsia="宋体"/>
                <w:color w:val="000000"/>
                <w:highlight w:val="none"/>
                <w:u w:val="single"/>
                <w:lang w:val="en-US" w:eastAsia="zh-CN"/>
              </w:rPr>
            </w:pPr>
            <w:r>
              <w:rPr>
                <w:rFonts w:hint="eastAsia"/>
                <w:color w:val="000000"/>
                <w:sz w:val="21"/>
                <w:szCs w:val="21"/>
                <w:highlight w:val="none"/>
                <w:lang w:val="en-US" w:eastAsia="zh-CN"/>
              </w:rPr>
              <w:t>一阶段问题：</w:t>
            </w:r>
            <w:r>
              <w:rPr>
                <w:rFonts w:hint="eastAsia"/>
                <w:color w:val="000000"/>
                <w:sz w:val="21"/>
                <w:szCs w:val="21"/>
                <w:highlight w:val="none"/>
              </w:rPr>
              <w:t>原辅料采购、厨余垃圾清运为甲方负责，手册中描述不准确</w:t>
            </w:r>
            <w:r>
              <w:rPr>
                <w:rFonts w:hint="eastAsia"/>
                <w:color w:val="000000"/>
                <w:sz w:val="21"/>
                <w:szCs w:val="21"/>
                <w:highlight w:val="none"/>
                <w:lang w:eastAsia="zh-CN"/>
              </w:rPr>
              <w:t>，</w:t>
            </w:r>
            <w:r>
              <w:rPr>
                <w:rFonts w:hint="eastAsia"/>
                <w:color w:val="000000"/>
                <w:sz w:val="21"/>
                <w:szCs w:val="21"/>
                <w:highlight w:val="none"/>
                <w:lang w:val="en-US" w:eastAsia="zh-CN"/>
              </w:rPr>
              <w:t>二阶段验证已整改</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shd w:val="clear"/>
              <w:jc w:val="left"/>
            </w:pPr>
            <w:r>
              <w:rPr>
                <w:rFonts w:hint="eastAsia"/>
              </w:rPr>
              <w:t>质量/食品安全管理体系及其过程</w:t>
            </w:r>
          </w:p>
        </w:tc>
        <w:tc>
          <w:tcPr>
            <w:tcW w:w="1040" w:type="dxa"/>
            <w:vMerge w:val="restart"/>
            <w:shd w:val="clear" w:color="auto" w:fill="auto"/>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2"/>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A3"/>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5"/>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8"/>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5"/>
              <w:shd w:val="clear"/>
              <w:adjustRightInd w:val="0"/>
              <w:snapToGrid w:val="0"/>
              <w:spacing w:line="360" w:lineRule="auto"/>
              <w:rPr>
                <w:rFonts w:hint="default"/>
                <w:highlight w:val="yellow"/>
                <w:u w:val="single"/>
                <w:lang w:val="en-US"/>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u w:val="single"/>
                <w:lang w:val="en-US" w:eastAsia="zh-CN"/>
              </w:rPr>
              <w:t>产品</w:t>
            </w:r>
            <w:r>
              <w:rPr>
                <w:rFonts w:hint="eastAsia"/>
                <w:color w:val="000000"/>
                <w:u w:val="single"/>
                <w:lang w:val="en-US" w:eastAsia="zh-CN"/>
              </w:rPr>
              <w:t xml:space="preserve">第三方检测 </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8"/>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5"/>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u w:val="single"/>
                <w:lang w:val="en-US" w:eastAsia="zh-CN"/>
              </w:rPr>
              <w:t>产品</w:t>
            </w:r>
            <w:r>
              <w:rPr>
                <w:rFonts w:hint="eastAsia"/>
                <w:color w:val="000000"/>
                <w:u w:val="single"/>
                <w:lang w:val="en-US" w:eastAsia="zh-CN"/>
              </w:rPr>
              <w:t xml:space="preserve">第三方检测 </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环境</w:t>
            </w:r>
            <w:r>
              <w:rPr>
                <w:rFonts w:hint="eastAsia"/>
              </w:rPr>
              <w:t>管理体系</w:t>
            </w:r>
          </w:p>
        </w:tc>
        <w:tc>
          <w:tcPr>
            <w:tcW w:w="1040" w:type="dxa"/>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sym w:font="Wingdings 2" w:char="0052"/>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u w:val="single"/>
                <w:lang w:val="en-US" w:eastAsia="zh-CN"/>
              </w:rPr>
              <w:t>产品</w:t>
            </w:r>
            <w:r>
              <w:rPr>
                <w:rFonts w:hint="eastAsia"/>
                <w:color w:val="000000"/>
                <w:u w:val="single"/>
                <w:lang w:val="en-US" w:eastAsia="zh-CN"/>
              </w:rPr>
              <w:t xml:space="preserve">第三方检测 </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sym w:font="Wingdings 2" w:char="0052"/>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u w:val="single"/>
                <w:lang w:val="en-US" w:eastAsia="zh-CN"/>
              </w:rPr>
              <w:t>产品</w:t>
            </w:r>
            <w:r>
              <w:rPr>
                <w:rFonts w:hint="eastAsia"/>
                <w:color w:val="000000"/>
                <w:u w:val="single"/>
                <w:lang w:val="en-US" w:eastAsia="zh-CN"/>
              </w:rPr>
              <w:t>第三方检测 ；</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领导作用与承诺</w:t>
            </w:r>
          </w:p>
        </w:tc>
        <w:tc>
          <w:tcPr>
            <w:tcW w:w="1040"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2"/>
              <w:rPr>
                <w:rFonts w:hint="eastAsia"/>
                <w:color w:val="auto"/>
                <w:szCs w:val="21"/>
                <w:highlight w:val="none"/>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2"/>
              <w:rPr>
                <w:rFonts w:hint="eastAsia"/>
                <w:color w:val="000000"/>
                <w:szCs w:val="21"/>
                <w:u w:val="singl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以顾客为关注焦点</w:t>
            </w:r>
          </w:p>
          <w:p/>
        </w:tc>
        <w:tc>
          <w:tcPr>
            <w:tcW w:w="1040"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pPr>
            <w:r>
              <w:rPr>
                <w:rFonts w:hint="eastAsia"/>
              </w:rPr>
              <w:t>食品安全文化</w:t>
            </w:r>
          </w:p>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计划——每年培训，体系建立以来还未开展培训，已与企业沟通。</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12</w:t>
            </w:r>
            <w:r>
              <w:rPr>
                <w:rFonts w:hint="eastAsia"/>
                <w:highlight w:val="none"/>
                <w:u w:val="single"/>
              </w:rPr>
              <w:t xml:space="preserve"> 月</w:t>
            </w:r>
            <w:r>
              <w:rPr>
                <w:rFonts w:hint="eastAsia"/>
                <w:highlight w:val="none"/>
                <w:u w:val="single"/>
                <w:lang w:val="en-US" w:eastAsia="zh-CN"/>
              </w:rPr>
              <w:t>11-12</w:t>
            </w:r>
            <w:r>
              <w:rPr>
                <w:rFonts w:hint="eastAsia"/>
                <w:highlight w:val="none"/>
                <w:u w:val="single"/>
              </w:rPr>
              <w:t>日</w:t>
            </w:r>
            <w:r>
              <w:rPr>
                <w:rFonts w:hint="eastAsia"/>
                <w:highlight w:val="none"/>
              </w:rPr>
              <w:t>；</w:t>
            </w:r>
            <w:r>
              <w:rPr>
                <w:rFonts w:hint="eastAsia"/>
                <w:highlight w:val="none"/>
                <w:lang w:val="en-US" w:eastAsia="zh-CN"/>
              </w:rPr>
              <w:t>主要体现在内审上；</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管理</w:t>
            </w:r>
            <w:r>
              <w:rPr>
                <w:rFonts w:hint="eastAsia"/>
              </w:rPr>
              <w:t>方针</w:t>
            </w:r>
          </w:p>
        </w:tc>
        <w:tc>
          <w:tcPr>
            <w:tcW w:w="1040" w:type="dxa"/>
            <w:vMerge w:val="restart"/>
            <w:shd w:val="clear" w:color="auto" w:fill="auto"/>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FE"/>
            </w:r>
            <w:r>
              <w:rPr>
                <w:rFonts w:hint="eastAsia"/>
              </w:rPr>
              <w:t>“0.</w:t>
            </w:r>
            <w:r>
              <w:rPr>
                <w:rFonts w:hint="eastAsia"/>
                <w:lang w:val="en-US" w:eastAsia="zh-CN"/>
              </w:rPr>
              <w:t>4</w:t>
            </w:r>
            <w:r>
              <w:rPr>
                <w:rFonts w:hint="eastAsia"/>
              </w:rPr>
              <w:t xml:space="preserve"> 质量</w:t>
            </w:r>
            <w:r>
              <w:rPr>
                <w:rFonts w:hint="eastAsia"/>
                <w:lang w:eastAsia="zh-CN"/>
              </w:rPr>
              <w:t>、</w:t>
            </w:r>
            <w:r>
              <w:rPr>
                <w:rFonts w:hint="eastAsia"/>
              </w:rPr>
              <w:t>食品安全</w:t>
            </w:r>
            <w:r>
              <w:rPr>
                <w:rFonts w:hint="eastAsia"/>
                <w:lang w:eastAsia="zh-CN"/>
              </w:rPr>
              <w:t>、</w:t>
            </w:r>
            <w:r>
              <w:rPr>
                <w:rFonts w:hint="eastAsia"/>
                <w:lang w:val="en-US" w:eastAsia="zh-CN"/>
              </w:rPr>
              <w:t>HACCP、环境和职业健康安全</w:t>
            </w:r>
            <w:r>
              <w:rPr>
                <w:rFonts w:hint="eastAsia"/>
              </w:rPr>
              <w:t>方针</w:t>
            </w:r>
            <w:r>
              <w:rPr>
                <w:rFonts w:hint="eastAsia"/>
                <w:lang w:eastAsia="zh-CN"/>
              </w:rPr>
              <w:t>、</w:t>
            </w:r>
            <w:r>
              <w:rPr>
                <w:rFonts w:hint="eastAsia"/>
                <w:lang w:val="en-US" w:eastAsia="zh-CN"/>
              </w:rPr>
              <w:t>目标发布令</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keepNext w:val="0"/>
              <w:keepLines w:val="0"/>
              <w:widowControl/>
              <w:suppressLineNumbers w:val="0"/>
              <w:jc w:val="left"/>
              <w:rPr>
                <w:sz w:val="21"/>
                <w:szCs w:val="21"/>
                <w:u w:val="single"/>
              </w:rPr>
            </w:pP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服务合同、投标书等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8"/>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领导层</w:t>
                  </w:r>
                </w:p>
              </w:tc>
              <w:tc>
                <w:tcPr>
                  <w:tcW w:w="2580" w:type="dxa"/>
                </w:tcPr>
                <w:p>
                  <w:r>
                    <w:rPr>
                      <w:rFonts w:hint="eastAsia"/>
                    </w:rPr>
                    <w:t>生产/服务设计开发过程</w:t>
                  </w:r>
                </w:p>
              </w:tc>
              <w:tc>
                <w:tcPr>
                  <w:tcW w:w="2261" w:type="dxa"/>
                </w:tcPr>
                <w:p>
                  <w:pPr>
                    <w:rPr>
                      <w:rFonts w:hint="eastAsia"/>
                      <w:lang w:eastAsia="zh-CN"/>
                    </w:rPr>
                  </w:pPr>
                  <w:r>
                    <w:rPr>
                      <w:rFonts w:hint="eastAsia"/>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运营部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甲方负责管理</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王晓东先生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eastAsia"/>
                      <w:highlight w:val="none"/>
                      <w:lang w:eastAsia="zh-CN"/>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lang w:val="en-US" w:eastAsia="zh-CN"/>
                    </w:rPr>
                    <w:t>甲方负责管理</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highlight w:val="none"/>
                    </w:rPr>
                  </w:pPr>
                  <w:r>
                    <w:rPr>
                      <w:rFonts w:hint="eastAsia"/>
                      <w:lang w:val="en-US" w:eastAsia="zh-CN"/>
                    </w:rPr>
                    <w:t>运营部</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lang w:val="en-US" w:eastAsia="zh-CN"/>
                    </w:rPr>
                    <w:t>运营部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highlight w:val="none"/>
                      <w:lang w:val="en-US" w:eastAsia="zh-CN"/>
                    </w:rPr>
                    <w:t>服务部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运营部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服务部、运营部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甲方负责管理</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甲方负责管理</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8"/>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王晓东先生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8"/>
              <w:rPr>
                <w:rFonts w:hint="eastAsia"/>
                <w:sz w:val="21"/>
                <w:szCs w:val="21"/>
                <w:highlight w:val="none"/>
                <w:lang w:val="en-US" w:eastAsia="zh-CN"/>
              </w:rPr>
            </w:pPr>
          </w:p>
          <w:p>
            <w:pPr>
              <w:pStyle w:val="8"/>
              <w:rPr>
                <w:rFonts w:hint="eastAsia"/>
                <w:sz w:val="21"/>
                <w:szCs w:val="21"/>
                <w:highlight w:val="none"/>
                <w:lang w:val="en-US" w:eastAsia="zh-CN"/>
              </w:rPr>
            </w:pPr>
          </w:p>
          <w:p>
            <w:pPr>
              <w:pStyle w:val="8"/>
              <w:rPr>
                <w:rFonts w:hint="default"/>
                <w:sz w:val="21"/>
                <w:szCs w:val="21"/>
                <w:highlight w:val="none"/>
                <w:lang w:val="en-US" w:eastAsia="zh-CN"/>
              </w:rPr>
            </w:pPr>
            <w:r>
              <w:rPr>
                <w:rFonts w:hint="eastAsia"/>
                <w:sz w:val="21"/>
                <w:szCs w:val="21"/>
                <w:highlight w:val="none"/>
                <w:lang w:val="en-US" w:eastAsia="zh-CN"/>
              </w:rPr>
              <w:t>OHSMS：</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运营部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服务部、运营部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甲方负责管理</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王施云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甲方负责管理</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8"/>
              <w:rPr>
                <w:rFonts w:hint="eastAsia"/>
                <w:color w:val="auto"/>
                <w:sz w:val="21"/>
                <w:szCs w:val="21"/>
                <w:highlight w:val="none"/>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王晓东先生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p>
            <w:pPr>
              <w:pStyle w:val="25"/>
              <w:shd w:val="clear"/>
              <w:adjustRightInd w:val="0"/>
              <w:snapToGrid w:val="0"/>
              <w:spacing w:line="360" w:lineRule="auto"/>
              <w:rPr>
                <w:rFonts w:hint="default" w:eastAsia="宋体"/>
                <w:color w:val="000000"/>
                <w:highlight w:val="none"/>
                <w:u w:val="single"/>
                <w:lang w:val="en-US" w:eastAsia="zh-CN"/>
              </w:rPr>
            </w:pPr>
            <w:r>
              <w:rPr>
                <w:rFonts w:hint="eastAsia"/>
                <w:color w:val="000000"/>
                <w:sz w:val="21"/>
                <w:szCs w:val="21"/>
                <w:highlight w:val="none"/>
                <w:lang w:val="en-US" w:eastAsia="zh-CN"/>
              </w:rPr>
              <w:t>一阶段问题：</w:t>
            </w:r>
            <w:r>
              <w:rPr>
                <w:rFonts w:hint="eastAsia"/>
                <w:color w:val="000000"/>
                <w:sz w:val="21"/>
                <w:szCs w:val="21"/>
                <w:highlight w:val="none"/>
              </w:rPr>
              <w:t>原辅料采购、厨余垃圾清运为甲方负责，手册中描述不准确</w:t>
            </w:r>
            <w:r>
              <w:rPr>
                <w:rFonts w:hint="eastAsia"/>
                <w:color w:val="000000"/>
                <w:sz w:val="21"/>
                <w:szCs w:val="21"/>
                <w:highlight w:val="none"/>
                <w:lang w:eastAsia="zh-CN"/>
              </w:rPr>
              <w:t>，</w:t>
            </w:r>
            <w:r>
              <w:rPr>
                <w:rFonts w:hint="eastAsia"/>
                <w:color w:val="000000"/>
                <w:sz w:val="21"/>
                <w:szCs w:val="21"/>
                <w:highlight w:val="none"/>
                <w:lang w:val="en-US" w:eastAsia="zh-CN"/>
              </w:rPr>
              <w:t>二阶段验证已整改</w:t>
            </w:r>
          </w:p>
          <w:p>
            <w:pPr>
              <w:pStyle w:val="8"/>
              <w:rPr>
                <w:rFonts w:hint="default"/>
                <w:color w:val="auto"/>
                <w:sz w:val="21"/>
                <w:szCs w:val="21"/>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auto"/>
          </w:tcPr>
          <w:p/>
        </w:tc>
        <w:tc>
          <w:tcPr>
            <w:tcW w:w="1040"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sz w:val="21"/>
                <w:szCs w:val="21"/>
                <w:highlight w:val="none"/>
                <w:u w:val="single"/>
                <w:lang w:val="en-US" w:eastAsia="zh-CN"/>
              </w:rPr>
              <w:t>王晓东先生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8"/>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4"/>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lang w:val="en-US" w:eastAsia="zh-CN"/>
                    </w:rPr>
                    <w:t>食品安全事故的发生</w:t>
                  </w:r>
                </w:p>
              </w:tc>
              <w:tc>
                <w:tcPr>
                  <w:tcW w:w="4073" w:type="dxa"/>
                </w:tcPr>
                <w:p>
                  <w:pPr>
                    <w:pStyle w:val="8"/>
                    <w:numPr>
                      <w:ilvl w:val="0"/>
                      <w:numId w:val="2"/>
                    </w:numPr>
                    <w:rPr>
                      <w:rFonts w:hint="eastAsia"/>
                      <w:highlight w:val="none"/>
                      <w:lang w:val="en-US" w:eastAsia="zh-CN"/>
                    </w:rPr>
                  </w:pPr>
                  <w:r>
                    <w:rPr>
                      <w:rFonts w:hint="eastAsia"/>
                      <w:highlight w:val="none"/>
                      <w:lang w:val="en-US" w:eastAsia="zh-CN"/>
                    </w:rPr>
                    <w:t>餐食制售服务过程按照公司各类文件要求进行实施；</w:t>
                  </w:r>
                </w:p>
                <w:p>
                  <w:pPr>
                    <w:pStyle w:val="8"/>
                    <w:numPr>
                      <w:ilvl w:val="0"/>
                      <w:numId w:val="2"/>
                    </w:numPr>
                    <w:rPr>
                      <w:rFonts w:hint="default"/>
                      <w:highlight w:val="none"/>
                      <w:lang w:val="en-US" w:eastAsia="zh-CN"/>
                    </w:rPr>
                  </w:pPr>
                  <w:r>
                    <w:rPr>
                      <w:rFonts w:hint="eastAsia"/>
                      <w:highlight w:val="none"/>
                      <w:lang w:val="en-US" w:eastAsia="zh-CN"/>
                    </w:rPr>
                    <w:t>食品安全事故应急预案，撤回召回演练；</w:t>
                  </w:r>
                </w:p>
                <w:p>
                  <w:pPr>
                    <w:pStyle w:val="8"/>
                    <w:numPr>
                      <w:ilvl w:val="0"/>
                      <w:numId w:val="2"/>
                    </w:numPr>
                    <w:rPr>
                      <w:rFonts w:hint="default"/>
                      <w:highlight w:val="none"/>
                      <w:lang w:val="en-US" w:eastAsia="zh-CN"/>
                    </w:rPr>
                  </w:pPr>
                  <w:r>
                    <w:rPr>
                      <w:rFonts w:hint="eastAsia"/>
                      <w:highlight w:val="none"/>
                      <w:lang w:val="en-US" w:eastAsia="zh-CN"/>
                    </w:rPr>
                    <w:t>员工不定期培训</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lang w:val="en-US" w:eastAsia="zh-CN"/>
                    </w:rPr>
                  </w:pPr>
                  <w:r>
                    <w:rPr>
                      <w:rFonts w:hint="eastAsia"/>
                      <w:lang w:val="en-US" w:eastAsia="zh-CN"/>
                    </w:rPr>
                    <w:t>火灾事故，如油烟机清理控制、消防管理不当</w:t>
                  </w:r>
                </w:p>
              </w:tc>
              <w:tc>
                <w:tcPr>
                  <w:tcW w:w="4073" w:type="dxa"/>
                  <w:vAlign w:val="top"/>
                </w:tcPr>
                <w:p>
                  <w:pPr>
                    <w:widowControl/>
                    <w:numPr>
                      <w:ilvl w:val="0"/>
                      <w:numId w:val="3"/>
                    </w:numPr>
                    <w:spacing w:line="360" w:lineRule="exact"/>
                    <w:jc w:val="left"/>
                    <w:textAlignment w:val="center"/>
                    <w:rPr>
                      <w:rFonts w:hint="default"/>
                      <w:lang w:val="en-US" w:eastAsia="zh-CN"/>
                    </w:rPr>
                  </w:pPr>
                  <w:r>
                    <w:rPr>
                      <w:rFonts w:hint="eastAsia"/>
                      <w:lang w:val="en-US" w:eastAsia="zh-CN"/>
                    </w:rPr>
                    <w:t>定期关注，并及时报告甲方进行油烟清理等，同时内部每天进行清洁；</w:t>
                  </w:r>
                </w:p>
                <w:p>
                  <w:pPr>
                    <w:widowControl/>
                    <w:spacing w:line="360" w:lineRule="exact"/>
                    <w:jc w:val="left"/>
                    <w:textAlignment w:val="center"/>
                    <w:rPr>
                      <w:rFonts w:hint="default"/>
                      <w:lang w:val="en-US" w:eastAsia="zh-CN"/>
                    </w:rPr>
                  </w:pPr>
                  <w:r>
                    <w:rPr>
                      <w:rFonts w:hint="eastAsia"/>
                      <w:lang w:val="en-US" w:eastAsia="zh-CN"/>
                    </w:rPr>
                    <w:t>2）参加甲方组织的各类火灾应急预案以及应急演练</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餐食制作过程未烧熟煮透，导致就餐者食物中毒</w:t>
                  </w:r>
                </w:p>
              </w:tc>
              <w:tc>
                <w:tcPr>
                  <w:tcW w:w="4073" w:type="dxa"/>
                  <w:vAlign w:val="top"/>
                </w:tcPr>
                <w:p>
                  <w:pPr>
                    <w:numPr>
                      <w:ilvl w:val="0"/>
                      <w:numId w:val="4"/>
                    </w:numPr>
                    <w:rPr>
                      <w:rFonts w:hint="default"/>
                      <w:highlight w:val="none"/>
                      <w:lang w:val="en-US" w:eastAsia="zh-CN"/>
                    </w:rPr>
                  </w:pPr>
                  <w:r>
                    <w:rPr>
                      <w:rFonts w:hint="eastAsia"/>
                      <w:highlight w:val="none"/>
                      <w:lang w:val="en-US" w:eastAsia="zh-CN"/>
                    </w:rPr>
                    <w:t>食物中毒预案的建立，同时组织员工进行预案培训及预案应急演练；</w:t>
                  </w:r>
                </w:p>
                <w:p>
                  <w:pPr>
                    <w:pStyle w:val="12"/>
                    <w:numPr>
                      <w:ilvl w:val="0"/>
                      <w:numId w:val="4"/>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cs="Times New Roman"/>
                      <w:kern w:val="2"/>
                      <w:sz w:val="21"/>
                      <w:szCs w:val="24"/>
                      <w:highlight w:val="none"/>
                      <w:lang w:val="en-US" w:eastAsia="zh-CN" w:bidi="ar-SA"/>
                    </w:rPr>
                    <w:t>烹饪岗位人员的要求</w:t>
                  </w:r>
                </w:p>
              </w:tc>
              <w:tc>
                <w:tcPr>
                  <w:tcW w:w="1717" w:type="dxa"/>
                </w:tcPr>
                <w:p>
                  <w:pPr>
                    <w:rPr>
                      <w:sz w:val="18"/>
                      <w:szCs w:val="18"/>
                      <w:highlight w:val="none"/>
                    </w:rPr>
                  </w:pPr>
                  <w:r>
                    <w:rPr>
                      <w:rFonts w:hint="eastAsia"/>
                      <w:sz w:val="18"/>
                      <w:szCs w:val="18"/>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8"/>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4"/>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 xml:space="preserve">管理体系的建立，赢得更多投标机会 </w:t>
                  </w:r>
                </w:p>
              </w:tc>
              <w:tc>
                <w:tcPr>
                  <w:tcW w:w="4528" w:type="dxa"/>
                </w:tcPr>
                <w:p>
                  <w:pPr>
                    <w:pStyle w:val="12"/>
                    <w:numPr>
                      <w:ilvl w:val="0"/>
                      <w:numId w:val="0"/>
                    </w:numPr>
                    <w:jc w:val="left"/>
                    <w:rPr>
                      <w:rFonts w:hint="eastAsia"/>
                      <w:highlight w:val="none"/>
                      <w:lang w:val="en-US" w:eastAsia="zh-CN"/>
                    </w:rPr>
                  </w:pPr>
                  <w:r>
                    <w:rPr>
                      <w:rFonts w:hint="eastAsia"/>
                      <w:highlight w:val="none"/>
                      <w:lang w:val="en-US" w:eastAsia="zh-CN"/>
                    </w:rPr>
                    <w:t>1）通过管理体系导入，加强内部管理，提升员工意识；</w:t>
                  </w:r>
                </w:p>
                <w:p>
                  <w:pPr>
                    <w:pStyle w:val="12"/>
                    <w:numPr>
                      <w:ilvl w:val="0"/>
                      <w:numId w:val="0"/>
                    </w:numPr>
                    <w:jc w:val="left"/>
                    <w:rPr>
                      <w:rFonts w:hint="default"/>
                      <w:highlight w:val="none"/>
                      <w:lang w:val="en-US" w:eastAsia="zh-CN"/>
                    </w:rPr>
                  </w:pPr>
                  <w:r>
                    <w:rPr>
                      <w:rFonts w:hint="eastAsia"/>
                      <w:highlight w:val="none"/>
                      <w:lang w:val="en-US" w:eastAsia="zh-CN"/>
                    </w:rPr>
                    <w:t>2）通过第三方证明，获得更多的投标机会，赢得更多的市场</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8"/>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组织环境管理体系范围内的潜在紧急情况，如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法规未识别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违规操作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8"/>
              <w:rPr>
                <w:rFonts w:hint="eastAsia" w:ascii="Times New Roman" w:hAnsi="Times New Roman" w:eastAsia="宋体" w:cs="Times New Roman"/>
                <w:kern w:val="2"/>
                <w:sz w:val="21"/>
                <w:szCs w:val="20"/>
                <w:highlight w:val="none"/>
                <w:lang w:val="en-US" w:eastAsia="zh-CN" w:bidi="ar-SA"/>
              </w:rPr>
            </w:pPr>
          </w:p>
          <w:p>
            <w:pPr>
              <w:pStyle w:val="8"/>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锅炉爆炸</w:t>
            </w:r>
            <w:r>
              <w:rPr>
                <w:rFonts w:hint="eastAsia" w:ascii="Times New Roman" w:hAnsi="Times New Roman" w:eastAsia="宋体" w:cs="Times New Roman"/>
                <w:kern w:val="2"/>
                <w:sz w:val="21"/>
                <w:szCs w:val="20"/>
                <w:highlight w:val="none"/>
                <w:lang w:val="en-US" w:eastAsia="zh-CN" w:bidi="ar-SA"/>
              </w:rPr>
              <w:t xml:space="preserve">  </w:t>
            </w:r>
          </w:p>
          <w:p>
            <w:pPr>
              <w:pStyle w:val="8"/>
              <w:rPr>
                <w:highlight w:val="none"/>
              </w:rPr>
            </w:pPr>
          </w:p>
          <w:p>
            <w:pPr>
              <w:pStyle w:val="8"/>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A8"/>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4"/>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员工岗前培训、每天进行安全方面检查；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定期巡视安全设备如消防栓、灭火器等是否在有效运行，异常及时报告甲方给予处理，参加甲方组织的火灾等应急演练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交通意外事故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default"/>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其他——培训等</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pStyle w:val="2"/>
              <w:rPr>
                <w:rFonts w:hint="eastAsia"/>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4"/>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447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47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91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市场对餐饮管理/餐饮服务等需求增加</w:t>
                  </w:r>
                </w:p>
              </w:tc>
              <w:tc>
                <w:tcPr>
                  <w:tcW w:w="4470" w:type="dxa"/>
                  <w:vAlign w:val="top"/>
                </w:tcPr>
                <w:p>
                  <w:pPr>
                    <w:keepNext w:val="0"/>
                    <w:keepLines w:val="0"/>
                    <w:widowControl w:val="0"/>
                    <w:numPr>
                      <w:ilvl w:val="0"/>
                      <w:numId w:val="5"/>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不发生工伤、火灾等职业健康安全事故；</w:t>
                  </w:r>
                </w:p>
                <w:p>
                  <w:pPr>
                    <w:keepNext w:val="0"/>
                    <w:keepLines w:val="0"/>
                    <w:widowControl w:val="0"/>
                    <w:numPr>
                      <w:ilvl w:val="0"/>
                      <w:numId w:val="5"/>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建立良好声誉、以及为员工提供良好的工作氛围；</w:t>
                  </w:r>
                </w:p>
                <w:p>
                  <w:pPr>
                    <w:pStyle w:val="4"/>
                    <w:ind w:left="0" w:leftChars="0" w:firstLine="0" w:firstLineChars="0"/>
                    <w:rPr>
                      <w:rFonts w:hint="default"/>
                      <w:lang w:val="en-US" w:eastAsia="zh-CN"/>
                    </w:rPr>
                  </w:pPr>
                  <w:r>
                    <w:rPr>
                      <w:rFonts w:hint="eastAsia"/>
                      <w:color w:val="auto"/>
                      <w:sz w:val="21"/>
                      <w:szCs w:val="21"/>
                      <w:highlight w:val="none"/>
                      <w:vertAlign w:val="baseline"/>
                      <w:lang w:val="en-US" w:eastAsia="zh-CN"/>
                    </w:rPr>
                    <w:t>3）及时关注市场动态，关注各类投标信息等；</w:t>
                  </w:r>
                </w:p>
              </w:tc>
              <w:tc>
                <w:tcPr>
                  <w:tcW w:w="19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47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91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47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91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auto"/>
          </w:tcPr>
          <w:p/>
        </w:tc>
        <w:tc>
          <w:tcPr>
            <w:tcW w:w="104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w:t>
            </w:r>
            <w:r>
              <w:rPr>
                <w:rFonts w:hint="eastAsia" w:ascii="CIDFont+F5" w:hAnsi="CIDFont+F5" w:eastAsia="CIDFont+F5"/>
                <w:color w:val="0000FF"/>
                <w:u w:val="single"/>
                <w:lang w:val="en-US" w:eastAsia="zh-CN"/>
              </w:rPr>
              <w:t>《</w:t>
            </w:r>
            <w:r>
              <w:rPr>
                <w:rFonts w:hint="eastAsia"/>
                <w:color w:val="0000FF"/>
                <w:szCs w:val="18"/>
                <w:highlight w:val="none"/>
                <w:u w:val="single"/>
                <w:lang w:val="en-US" w:eastAsia="zh-CN"/>
              </w:rPr>
              <w:t>风险和机遇评估分析及措施表</w:t>
            </w:r>
            <w:r>
              <w:rPr>
                <w:rFonts w:hint="eastAsia" w:ascii="CIDFont+F5" w:hAnsi="CIDFont+F5" w:eastAsia="CIDFont+F5"/>
                <w:color w:val="0000FF"/>
                <w:u w:val="single"/>
                <w:lang w:val="en-US" w:eastAsia="zh-CN"/>
              </w:rPr>
              <w:t>》</w:t>
            </w:r>
            <w:r>
              <w:rPr>
                <w:rFonts w:hint="eastAsia" w:ascii="CIDFont+F5" w:hAnsi="CIDFont+F5" w:eastAsia="CIDFont+F5"/>
                <w:lang w:val="en-US" w:eastAsia="zh-CN"/>
              </w:rPr>
              <w:t>；</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auto"/>
          </w:tcPr>
          <w:p/>
        </w:tc>
        <w:tc>
          <w:tcPr>
            <w:tcW w:w="104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3"/>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pStyle w:val="21"/>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386"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3"/>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通过程序文件、安全管理制度要求、《目标管理方案》等实施</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从策划角度进行管理</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减少员工误操作、降低设备的不安全状态、减少与危险接触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加强对公司员工培训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运营部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auto"/>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012"/>
              <w:gridCol w:w="258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742" w:type="dxa"/>
                  <w:shd w:val="clear" w:color="auto" w:fill="auto"/>
                </w:tcPr>
                <w:p>
                  <w:pPr>
                    <w:widowControl/>
                    <w:spacing w:before="40"/>
                    <w:jc w:val="left"/>
                    <w:rPr>
                      <w:color w:val="000000"/>
                      <w:sz w:val="18"/>
                      <w:szCs w:val="18"/>
                      <w:highlight w:val="none"/>
                    </w:rPr>
                  </w:pPr>
                  <w:r>
                    <w:rPr>
                      <w:rFonts w:hint="eastAsia"/>
                      <w:color w:val="000000"/>
                      <w:sz w:val="18"/>
                      <w:szCs w:val="18"/>
                      <w:highlight w:val="none"/>
                    </w:rPr>
                    <w:t>目标</w:t>
                  </w:r>
                </w:p>
              </w:tc>
              <w:tc>
                <w:tcPr>
                  <w:tcW w:w="1012" w:type="dxa"/>
                  <w:shd w:val="clear" w:color="auto" w:fill="auto"/>
                </w:tcPr>
                <w:p>
                  <w:pPr>
                    <w:widowControl/>
                    <w:spacing w:before="40"/>
                    <w:jc w:val="left"/>
                    <w:rPr>
                      <w:color w:val="000000"/>
                      <w:sz w:val="18"/>
                      <w:szCs w:val="18"/>
                      <w:highlight w:val="none"/>
                    </w:rPr>
                  </w:pPr>
                  <w:r>
                    <w:rPr>
                      <w:rFonts w:hint="eastAsia"/>
                      <w:color w:val="000000"/>
                      <w:sz w:val="18"/>
                      <w:szCs w:val="18"/>
                      <w:highlight w:val="none"/>
                    </w:rPr>
                    <w:t>考核频次</w:t>
                  </w:r>
                </w:p>
              </w:tc>
              <w:tc>
                <w:tcPr>
                  <w:tcW w:w="2589" w:type="dxa"/>
                  <w:shd w:val="clear" w:color="auto" w:fill="auto"/>
                </w:tcPr>
                <w:p>
                  <w:pPr>
                    <w:widowControl/>
                    <w:spacing w:before="40"/>
                    <w:jc w:val="left"/>
                    <w:rPr>
                      <w:color w:val="000000"/>
                      <w:sz w:val="18"/>
                      <w:szCs w:val="18"/>
                      <w:highlight w:val="none"/>
                    </w:rPr>
                  </w:pPr>
                  <w:r>
                    <w:rPr>
                      <w:rFonts w:hint="eastAsia"/>
                      <w:color w:val="000000"/>
                      <w:sz w:val="18"/>
                      <w:szCs w:val="18"/>
                      <w:highlight w:val="none"/>
                    </w:rPr>
                    <w:t>计算方法</w:t>
                  </w:r>
                </w:p>
              </w:tc>
              <w:tc>
                <w:tcPr>
                  <w:tcW w:w="2295" w:type="dxa"/>
                  <w:shd w:val="clear" w:color="auto" w:fill="auto"/>
                </w:tcPr>
                <w:p>
                  <w:pPr>
                    <w:widowControl/>
                    <w:spacing w:before="40"/>
                    <w:jc w:val="left"/>
                    <w:rPr>
                      <w:rFonts w:hint="eastAsia"/>
                      <w:color w:val="000000"/>
                      <w:sz w:val="18"/>
                      <w:szCs w:val="18"/>
                      <w:highlight w:val="none"/>
                    </w:rPr>
                  </w:pPr>
                  <w:r>
                    <w:rPr>
                      <w:rFonts w:hint="eastAsia"/>
                      <w:color w:val="000000"/>
                      <w:sz w:val="18"/>
                      <w:szCs w:val="18"/>
                      <w:highlight w:val="none"/>
                    </w:rPr>
                    <w:t>完成情况</w:t>
                  </w:r>
                </w:p>
                <w:p>
                  <w:pPr>
                    <w:widowControl/>
                    <w:spacing w:before="40"/>
                    <w:jc w:val="left"/>
                    <w:rPr>
                      <w:color w:val="000000"/>
                      <w:sz w:val="18"/>
                      <w:szCs w:val="18"/>
                      <w:highlight w:val="none"/>
                    </w:rPr>
                  </w:pPr>
                  <w:r>
                    <w:rPr>
                      <w:rFonts w:hint="eastAsia"/>
                      <w:color w:val="000000"/>
                      <w:sz w:val="18"/>
                      <w:szCs w:val="18"/>
                      <w:highlight w:val="none"/>
                    </w:rPr>
                    <w:t>（</w:t>
                  </w:r>
                  <w:r>
                    <w:rPr>
                      <w:rFonts w:hint="eastAsia"/>
                      <w:color w:val="000000"/>
                      <w:sz w:val="18"/>
                      <w:szCs w:val="18"/>
                      <w:highlight w:val="none"/>
                      <w:lang w:val="en-US" w:eastAsia="zh-CN"/>
                    </w:rPr>
                    <w:t>2022年第4季度</w:t>
                  </w:r>
                  <w:r>
                    <w:rPr>
                      <w:rFonts w:hint="eastAsia"/>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食品安全事故为 0</w:t>
                  </w:r>
                </w:p>
              </w:tc>
              <w:tc>
                <w:tcPr>
                  <w:tcW w:w="1012" w:type="dxa"/>
                  <w:shd w:val="clear" w:color="auto" w:fill="auto"/>
                  <w:vAlign w:val="center"/>
                </w:tcPr>
                <w:p>
                  <w:pPr>
                    <w:spacing w:line="34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季度</w:t>
                  </w:r>
                </w:p>
              </w:tc>
              <w:tc>
                <w:tcPr>
                  <w:tcW w:w="2589"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统计次数</w:t>
                  </w:r>
                </w:p>
              </w:tc>
              <w:tc>
                <w:tcPr>
                  <w:tcW w:w="2295"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饭菜质量抽检合格率≧98%</w:t>
                  </w:r>
                </w:p>
              </w:tc>
              <w:tc>
                <w:tcPr>
                  <w:tcW w:w="1012" w:type="dxa"/>
                  <w:shd w:val="clear" w:color="auto" w:fill="auto"/>
                  <w:vAlign w:val="center"/>
                </w:tcPr>
                <w:p>
                  <w:pPr>
                    <w:spacing w:line="34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季度</w:t>
                  </w:r>
                </w:p>
              </w:tc>
              <w:tc>
                <w:tcPr>
                  <w:tcW w:w="2589"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抽检合格数量/总数量*100%</w:t>
                  </w:r>
                </w:p>
              </w:tc>
              <w:tc>
                <w:tcPr>
                  <w:tcW w:w="2295"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顾客满意率≧85%</w:t>
                  </w:r>
                </w:p>
              </w:tc>
              <w:tc>
                <w:tcPr>
                  <w:tcW w:w="1012" w:type="dxa"/>
                  <w:shd w:val="clear" w:color="auto" w:fill="auto"/>
                  <w:vAlign w:val="center"/>
                </w:tcPr>
                <w:p>
                  <w:pPr>
                    <w:spacing w:line="34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年度</w:t>
                  </w:r>
                </w:p>
              </w:tc>
              <w:tc>
                <w:tcPr>
                  <w:tcW w:w="2589"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顾客满意度分析报告</w:t>
                  </w:r>
                </w:p>
              </w:tc>
              <w:tc>
                <w:tcPr>
                  <w:tcW w:w="2295"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餐厨固废分类收集合规处理率 100%。</w:t>
                  </w:r>
                </w:p>
              </w:tc>
              <w:tc>
                <w:tcPr>
                  <w:tcW w:w="1012" w:type="dxa"/>
                  <w:shd w:val="clear" w:color="auto" w:fill="auto"/>
                  <w:vAlign w:val="center"/>
                </w:tcPr>
                <w:p>
                  <w:pPr>
                    <w:spacing w:line="34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季度</w:t>
                  </w:r>
                </w:p>
              </w:tc>
              <w:tc>
                <w:tcPr>
                  <w:tcW w:w="2589"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eastAsia="宋体" w:cs="Times New Roman"/>
                      <w:color w:val="0000FF"/>
                      <w:sz w:val="18"/>
                      <w:szCs w:val="18"/>
                      <w:highlight w:val="none"/>
                      <w:lang w:val="en-US" w:eastAsia="zh-CN"/>
                    </w:rPr>
                    <w:t>合规处理数量</w:t>
                  </w:r>
                  <w:r>
                    <w:rPr>
                      <w:rFonts w:hint="default" w:ascii="宋体" w:hAnsi="宋体" w:eastAsia="宋体" w:cs="Times New Roman"/>
                      <w:color w:val="0000FF"/>
                      <w:sz w:val="18"/>
                      <w:szCs w:val="18"/>
                      <w:highlight w:val="none"/>
                      <w:lang w:val="en-US" w:eastAsia="zh-CN"/>
                    </w:rPr>
                    <w:t>/</w:t>
                  </w:r>
                  <w:r>
                    <w:rPr>
                      <w:rFonts w:hint="eastAsia" w:ascii="宋体" w:hAnsi="宋体" w:eastAsia="宋体" w:cs="Times New Roman"/>
                      <w:color w:val="0000FF"/>
                      <w:sz w:val="18"/>
                      <w:szCs w:val="18"/>
                      <w:highlight w:val="none"/>
                      <w:lang w:val="en-US" w:eastAsia="zh-CN"/>
                    </w:rPr>
                    <w:t>固废总数量</w:t>
                  </w:r>
                  <w:r>
                    <w:rPr>
                      <w:rFonts w:hint="default" w:ascii="宋体" w:hAnsi="宋体" w:eastAsia="宋体" w:cs="Times New Roman"/>
                      <w:color w:val="0000FF"/>
                      <w:sz w:val="18"/>
                      <w:szCs w:val="18"/>
                      <w:highlight w:val="none"/>
                      <w:lang w:val="en-US" w:eastAsia="zh-CN"/>
                    </w:rPr>
                    <w:t>×100%</w:t>
                  </w:r>
                </w:p>
              </w:tc>
              <w:tc>
                <w:tcPr>
                  <w:tcW w:w="2295" w:type="dxa"/>
                  <w:shd w:val="clear" w:color="auto" w:fill="auto"/>
                  <w:vAlign w:val="center"/>
                </w:tcPr>
                <w:p>
                  <w:pPr>
                    <w:spacing w:line="340" w:lineRule="exact"/>
                    <w:jc w:val="both"/>
                    <w:rPr>
                      <w:rFonts w:hint="default" w:ascii="宋体" w:hAnsi="宋体"/>
                      <w:sz w:val="18"/>
                      <w:szCs w:val="18"/>
                      <w:highlight w:val="none"/>
                      <w:lang w:val="en-US" w:eastAsia="zh-CN"/>
                    </w:rPr>
                  </w:pPr>
                  <w:r>
                    <w:rPr>
                      <w:rFonts w:hint="eastAsia" w:ascii="宋体" w:hAnsi="宋体"/>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sz w:val="18"/>
                      <w:szCs w:val="18"/>
                      <w:highlight w:val="none"/>
                      <w:lang w:val="en-US" w:eastAsia="zh-CN"/>
                    </w:rPr>
                  </w:pPr>
                  <w:r>
                    <w:rPr>
                      <w:rFonts w:hint="eastAsia" w:ascii="宋体" w:hAnsi="宋体" w:eastAsia="宋体" w:cs="Times New Roman"/>
                      <w:kern w:val="2"/>
                      <w:sz w:val="18"/>
                      <w:szCs w:val="18"/>
                      <w:highlight w:val="none"/>
                      <w:lang w:val="en-US" w:eastAsia="zh-CN" w:bidi="ar-SA"/>
                    </w:rPr>
                    <w:t>重大安全责任事故为：0；</w:t>
                  </w:r>
                </w:p>
              </w:tc>
              <w:tc>
                <w:tcPr>
                  <w:tcW w:w="1012" w:type="dxa"/>
                  <w:shd w:val="clear" w:color="auto" w:fill="auto"/>
                  <w:vAlign w:val="center"/>
                </w:tcPr>
                <w:p>
                  <w:pPr>
                    <w:spacing w:line="40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季度</w:t>
                  </w:r>
                </w:p>
              </w:tc>
              <w:tc>
                <w:tcPr>
                  <w:tcW w:w="2589" w:type="dxa"/>
                  <w:shd w:val="clear" w:color="auto" w:fill="auto"/>
                  <w:vAlign w:val="center"/>
                </w:tcPr>
                <w:p>
                  <w:pPr>
                    <w:spacing w:line="400" w:lineRule="exact"/>
                    <w:rPr>
                      <w:rFonts w:hint="default" w:ascii="宋体" w:hAnsi="宋体"/>
                      <w:sz w:val="18"/>
                      <w:szCs w:val="18"/>
                      <w:highlight w:val="none"/>
                      <w:lang w:val="en-US" w:eastAsia="zh-CN"/>
                    </w:rPr>
                  </w:pPr>
                  <w:r>
                    <w:rPr>
                      <w:rFonts w:hint="eastAsia" w:ascii="宋体" w:hAnsi="宋体"/>
                      <w:sz w:val="18"/>
                      <w:szCs w:val="18"/>
                      <w:highlight w:val="none"/>
                      <w:lang w:val="en-US" w:eastAsia="zh-CN"/>
                    </w:rPr>
                    <w:t>统计次数</w:t>
                  </w:r>
                </w:p>
              </w:tc>
              <w:tc>
                <w:tcPr>
                  <w:tcW w:w="2295"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sz w:val="18"/>
                      <w:szCs w:val="18"/>
                      <w:highlight w:val="none"/>
                      <w:lang w:val="en-US" w:eastAsia="zh-CN"/>
                    </w:rPr>
                  </w:pPr>
                  <w:r>
                    <w:rPr>
                      <w:rFonts w:hint="eastAsia" w:ascii="宋体" w:hAnsi="宋体" w:eastAsia="宋体" w:cs="Times New Roman"/>
                      <w:kern w:val="2"/>
                      <w:sz w:val="18"/>
                      <w:szCs w:val="18"/>
                      <w:highlight w:val="none"/>
                      <w:lang w:val="en-US" w:eastAsia="zh-CN" w:bidi="ar-SA"/>
                    </w:rPr>
                    <w:t>火灾、触电事故发生率为： 0</w:t>
                  </w:r>
                </w:p>
              </w:tc>
              <w:tc>
                <w:tcPr>
                  <w:tcW w:w="1012" w:type="dxa"/>
                  <w:shd w:val="clear" w:color="auto" w:fill="auto"/>
                  <w:vAlign w:val="center"/>
                </w:tcPr>
                <w:p>
                  <w:pPr>
                    <w:spacing w:line="40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季度</w:t>
                  </w:r>
                </w:p>
              </w:tc>
              <w:tc>
                <w:tcPr>
                  <w:tcW w:w="2589" w:type="dxa"/>
                  <w:shd w:val="clear" w:color="auto" w:fill="auto"/>
                  <w:vAlign w:val="center"/>
                </w:tcPr>
                <w:p>
                  <w:pPr>
                    <w:spacing w:line="400" w:lineRule="exact"/>
                    <w:rPr>
                      <w:rFonts w:hint="eastAsia" w:ascii="宋体" w:hAnsi="宋体"/>
                      <w:sz w:val="18"/>
                      <w:szCs w:val="18"/>
                      <w:highlight w:val="none"/>
                      <w:lang w:val="en-US" w:eastAsia="zh-CN"/>
                    </w:rPr>
                  </w:pPr>
                  <w:r>
                    <w:rPr>
                      <w:rFonts w:hint="eastAsia" w:ascii="宋体" w:hAnsi="宋体"/>
                      <w:sz w:val="18"/>
                      <w:szCs w:val="18"/>
                      <w:highlight w:val="none"/>
                      <w:lang w:val="en-US" w:eastAsia="zh-CN"/>
                    </w:rPr>
                    <w:t>统计次数</w:t>
                  </w:r>
                </w:p>
              </w:tc>
              <w:tc>
                <w:tcPr>
                  <w:tcW w:w="2295" w:type="dxa"/>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废水合规排放；</w:t>
                  </w:r>
                </w:p>
              </w:tc>
              <w:tc>
                <w:tcPr>
                  <w:tcW w:w="1012"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sz w:val="18"/>
                      <w:szCs w:val="18"/>
                      <w:highlight w:val="none"/>
                      <w:lang w:val="en-US" w:eastAsia="zh-CN"/>
                    </w:rPr>
                    <w:t>季度</w:t>
                  </w:r>
                </w:p>
              </w:tc>
              <w:tc>
                <w:tcPr>
                  <w:tcW w:w="2589" w:type="dxa"/>
                  <w:shd w:val="clear" w:color="auto" w:fill="auto"/>
                  <w:vAlign w:val="center"/>
                </w:tcPr>
                <w:p>
                  <w:pPr>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餐饮废水达标排放</w:t>
                  </w:r>
                </w:p>
              </w:tc>
              <w:tc>
                <w:tcPr>
                  <w:tcW w:w="2295"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742"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油烟达标排放；</w:t>
                  </w:r>
                </w:p>
              </w:tc>
              <w:tc>
                <w:tcPr>
                  <w:tcW w:w="1012"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季度</w:t>
                  </w:r>
                </w:p>
              </w:tc>
              <w:tc>
                <w:tcPr>
                  <w:tcW w:w="2589"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按（餐饮业油烟污染物排放标准）标准达标排放</w:t>
                  </w:r>
                </w:p>
              </w:tc>
              <w:tc>
                <w:tcPr>
                  <w:tcW w:w="2295"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42"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1012"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589"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2295"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pStyle w:val="8"/>
              <w:rPr>
                <w:rFonts w:hint="eastAsia"/>
                <w:highlight w:val="none"/>
              </w:rPr>
            </w:pPr>
          </w:p>
          <w:p>
            <w:pPr>
              <w:pStyle w:val="8"/>
              <w:rPr>
                <w:rFonts w:hint="default" w:eastAsia="宋体"/>
                <w:color w:val="0000FF"/>
                <w:sz w:val="21"/>
                <w:szCs w:val="21"/>
                <w:highlight w:val="none"/>
                <w:u w:val="single"/>
                <w:lang w:val="en-US" w:eastAsia="zh-CN"/>
              </w:rPr>
            </w:pPr>
            <w:r>
              <w:rPr>
                <w:rFonts w:hint="eastAsia"/>
                <w:color w:val="0000FF"/>
                <w:sz w:val="21"/>
                <w:szCs w:val="21"/>
                <w:highlight w:val="none"/>
                <w:u w:val="single"/>
                <w:lang w:val="en-US" w:eastAsia="zh-CN"/>
              </w:rPr>
              <w:t>一阶段问题：管理目标实际考核周期与规定不一致；二阶段验证已经明确；</w:t>
            </w: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2023年目标在实施中；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8"/>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资源（总则）</w:t>
            </w:r>
          </w:p>
        </w:tc>
        <w:tc>
          <w:tcPr>
            <w:tcW w:w="1040"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8"/>
              <w:rPr>
                <w:rFonts w:hint="eastAsia"/>
                <w:color w:val="000000"/>
                <w:sz w:val="21"/>
                <w:szCs w:val="21"/>
                <w:lang w:val="en-US" w:eastAsia="zh-CN"/>
              </w:rPr>
            </w:pPr>
            <w:r>
              <w:rPr>
                <w:rFonts w:hint="eastAsia"/>
                <w:color w:val="000000"/>
                <w:sz w:val="21"/>
                <w:szCs w:val="21"/>
                <w:lang w:val="en-US" w:eastAsia="zh-CN"/>
              </w:rPr>
              <w:t>E7.1</w:t>
            </w:r>
          </w:p>
          <w:p>
            <w:pPr>
              <w:pStyle w:val="8"/>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6"/>
              </w:numPr>
              <w:rPr>
                <w:color w:val="000000"/>
                <w:szCs w:val="21"/>
              </w:rPr>
            </w:pPr>
            <w:r>
              <w:rPr>
                <w:rFonts w:hint="eastAsia"/>
                <w:color w:val="000000"/>
                <w:szCs w:val="21"/>
              </w:rPr>
              <w:t>现有内部资源的能力；</w:t>
            </w:r>
          </w:p>
          <w:p>
            <w:pPr>
              <w:rPr>
                <w:highlight w:val="none"/>
              </w:rPr>
            </w:pPr>
            <w:r>
              <w:rPr>
                <w:rFonts w:hint="eastAsia"/>
                <w:highlight w:val="none"/>
                <w:lang w:val="en-US" w:eastAsia="zh-CN"/>
              </w:rPr>
              <w:t>公司办公</w:t>
            </w:r>
            <w:r>
              <w:rPr>
                <w:rFonts w:hint="eastAsia"/>
                <w:highlight w:val="none"/>
              </w:rPr>
              <w:t>建筑面积</w:t>
            </w:r>
            <w:r>
              <w:rPr>
                <w:rFonts w:hint="eastAsia"/>
                <w:highlight w:val="none"/>
                <w:u w:val="single"/>
              </w:rPr>
              <w:t xml:space="preserve"> </w:t>
            </w:r>
            <w:r>
              <w:rPr>
                <w:rFonts w:hint="eastAsia"/>
                <w:highlight w:val="none"/>
                <w:u w:val="single"/>
                <w:lang w:val="en-US" w:eastAsia="zh-CN"/>
              </w:rPr>
              <w:t>170</w:t>
            </w:r>
            <w:r>
              <w:rPr>
                <w:rFonts w:hint="eastAsia"/>
                <w:highlight w:val="none"/>
                <w:u w:val="single"/>
              </w:rPr>
              <w:t xml:space="preserve"> </w:t>
            </w:r>
            <w:r>
              <w:rPr>
                <w:rFonts w:hint="eastAsia"/>
                <w:highlight w:val="none"/>
              </w:rPr>
              <w:t>平方米</w:t>
            </w:r>
            <w:r>
              <w:rPr>
                <w:rFonts w:hint="eastAsia"/>
                <w:highlight w:val="none"/>
                <w:lang w:val="en-US" w:eastAsia="zh-CN"/>
              </w:rPr>
              <w:t>左右</w:t>
            </w:r>
            <w:r>
              <w:rPr>
                <w:rFonts w:hint="eastAsia"/>
                <w:highlight w:val="none"/>
              </w:rPr>
              <w:t>；</w:t>
            </w:r>
            <w:r>
              <w:rPr>
                <w:rFonts w:hint="eastAsia"/>
                <w:highlight w:val="none"/>
                <w:lang w:val="en-US" w:eastAsia="zh-CN"/>
              </w:rPr>
              <w:t>热食类食品制售场所建筑面积：</w:t>
            </w:r>
            <w:r>
              <w:rPr>
                <w:rFonts w:hint="eastAsia"/>
                <w:highlight w:val="none"/>
                <w:u w:val="single"/>
                <w:lang w:val="en-US" w:eastAsia="zh-CN"/>
              </w:rPr>
              <w:t xml:space="preserve"> 550 平方米 左右</w:t>
            </w:r>
            <w:r>
              <w:rPr>
                <w:rFonts w:hint="eastAsia"/>
                <w:highlight w:val="none"/>
              </w:rPr>
              <w:t>；</w:t>
            </w:r>
            <w:r>
              <w:rPr>
                <w:rFonts w:hint="eastAsia"/>
                <w:highlight w:val="none"/>
                <w:lang w:val="en-US" w:eastAsia="zh-CN"/>
              </w:rPr>
              <w:t>餐食加工间</w:t>
            </w:r>
            <w:r>
              <w:rPr>
                <w:rFonts w:hint="eastAsia"/>
                <w:highlight w:val="none"/>
                <w:u w:val="single"/>
                <w:lang w:val="en-US" w:eastAsia="zh-CN"/>
              </w:rPr>
              <w:t xml:space="preserve">1 </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就餐大厅</w:t>
            </w:r>
            <w:r>
              <w:rPr>
                <w:rFonts w:hint="eastAsia"/>
                <w:highlight w:val="none"/>
                <w:u w:val="single"/>
                <w:lang w:val="en-US" w:eastAsia="zh-CN"/>
              </w:rPr>
              <w:t>1个</w:t>
            </w:r>
            <w:r>
              <w:rPr>
                <w:rFonts w:hint="eastAsia"/>
                <w:highlight w:val="none"/>
              </w:rPr>
              <w:t>；冷</w:t>
            </w:r>
            <w:r>
              <w:rPr>
                <w:highlight w:val="none"/>
              </w:rPr>
              <w:t>冻</w:t>
            </w:r>
            <w:r>
              <w:rPr>
                <w:rFonts w:hint="eastAsia"/>
                <w:highlight w:val="none"/>
                <w:lang w:val="en-US" w:eastAsia="zh-CN"/>
              </w:rPr>
              <w:t>/冷藏柜</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0</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消毒柜、留样柜、灶台 等</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垃圾桶、油烟机、隔油池、气体报警控制器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灭火器、消防栓、气体报警控制器           （列举2~4种）</w:t>
            </w:r>
          </w:p>
          <w:p>
            <w:pPr>
              <w:pStyle w:val="8"/>
              <w:rPr>
                <w:highlight w:val="yellow"/>
              </w:rPr>
            </w:pPr>
          </w:p>
          <w:p>
            <w:pPr>
              <w:pStyle w:val="8"/>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sym w:font="Wingdings 2" w:char="00A3"/>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8"/>
              <w:rPr>
                <w:highlight w:val="yellow"/>
              </w:rPr>
            </w:pPr>
            <w:bookmarkStart w:id="2" w:name="_GoBack"/>
            <w:bookmarkEnd w:id="2"/>
          </w:p>
          <w:p>
            <w:pPr>
              <w:pStyle w:val="8"/>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办公地址有，甲方管理</w:t>
            </w:r>
            <w:r>
              <w:rPr>
                <w:rFonts w:hint="eastAsia"/>
                <w:highlight w:val="none"/>
                <w:lang w:eastAsia="zh-CN"/>
              </w:rPr>
              <w:t>】</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8"/>
              <w:rPr>
                <w:rFonts w:hint="default"/>
                <w:color w:val="000000"/>
                <w:szCs w:val="21"/>
                <w:highlight w:val="none"/>
                <w:lang w:val="en-US" w:eastAsia="zh-CN"/>
              </w:rPr>
            </w:pPr>
          </w:p>
          <w:p>
            <w:pPr>
              <w:numPr>
                <w:ilvl w:val="0"/>
                <w:numId w:val="7"/>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5"/>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产品</w:t>
            </w:r>
            <w:r>
              <w:rPr>
                <w:rFonts w:hint="eastAsia"/>
                <w:color w:val="000000"/>
                <w:u w:val="single"/>
                <w:lang w:val="en-US" w:eastAsia="zh-CN"/>
              </w:rPr>
              <w:t xml:space="preserve">第三方检测   </w:t>
            </w:r>
          </w:p>
          <w:p>
            <w:pPr>
              <w:numPr>
                <w:ilvl w:val="0"/>
                <w:numId w:val="6"/>
              </w:numPr>
            </w:pPr>
            <w:r>
              <w:rPr>
                <w:rFonts w:hint="eastAsia"/>
                <w:highlight w:val="none"/>
                <w:u w:val="single"/>
                <w:lang w:val="en-US" w:eastAsia="zh-CN"/>
              </w:rPr>
              <w:t xml:space="preserve">其他资源情况： 办公室，热食类食品制售服务场所有签订合同，合同均在有效期内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r>
              <w:rPr>
                <w:rFonts w:hint="eastAsia"/>
              </w:rPr>
              <w:t xml:space="preserve">沟通  </w:t>
            </w:r>
          </w:p>
        </w:tc>
        <w:tc>
          <w:tcPr>
            <w:tcW w:w="1040" w:type="dxa"/>
            <w:vMerge w:val="restart"/>
            <w:shd w:val="clear" w:color="auto" w:fill="auto"/>
          </w:tcPr>
          <w:p>
            <w:r>
              <w:rPr>
                <w:rFonts w:hint="eastAsia"/>
              </w:rPr>
              <w:t>Q</w:t>
            </w:r>
            <w:r>
              <w:rPr>
                <w:rFonts w:hint="eastAsia"/>
                <w:lang w:val="en-US" w:eastAsia="zh-CN"/>
              </w:rPr>
              <w:t>EOF</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内外部</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w:t>
            </w:r>
            <w:r>
              <w:rPr>
                <w:rFonts w:hint="eastAsia"/>
                <w:lang w:val="en-US" w:eastAsia="zh-CN"/>
              </w:rPr>
              <w:t>运营部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A3"/>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1"/>
              <w:ind w:left="0" w:leftChars="0" w:firstLine="0" w:firstLineChars="0"/>
              <w:rPr>
                <w:rFonts w:hint="eastAsia"/>
                <w:lang w:val="en-US" w:eastAsia="zh-CN"/>
              </w:rPr>
            </w:pPr>
            <w:r>
              <w:rPr>
                <w:rFonts w:hint="eastAsia"/>
                <w:lang w:val="en-US" w:eastAsia="zh-CN"/>
              </w:rPr>
              <w:t>E7.5.1</w:t>
            </w:r>
          </w:p>
          <w:p>
            <w:pPr>
              <w:pStyle w:val="11"/>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lang w:val="en-US" w:eastAsia="zh-CN"/>
              </w:rPr>
              <w:t>7.5条款</w:t>
            </w:r>
            <w:r>
              <w:rPr>
                <w:rFonts w:hint="eastAsia"/>
              </w:rPr>
              <w:t>、</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eastAsia="zh-CN"/>
              </w:rPr>
              <w:t>——</w:t>
            </w:r>
            <w:r>
              <w:rPr>
                <w:rFonts w:hint="eastAsia"/>
                <w:lang w:val="en-US" w:eastAsia="zh-CN"/>
              </w:rPr>
              <w:t>见</w:t>
            </w:r>
            <w:r>
              <w:rPr>
                <w:rFonts w:hint="eastAsia"/>
                <w:u w:val="single"/>
              </w:rPr>
              <w:t>《管理手册》</w:t>
            </w:r>
            <w:r>
              <w:rPr>
                <w:rFonts w:hint="eastAsia"/>
                <w:lang w:val="en-US" w:eastAsia="zh-CN"/>
              </w:rPr>
              <w:t>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w:t>
            </w:r>
            <w:r>
              <w:rPr>
                <w:rFonts w:hint="eastAsia"/>
                <w:lang w:eastAsia="zh-CN"/>
              </w:rPr>
              <w:t>——</w:t>
            </w:r>
            <w:r>
              <w:rPr>
                <w:rFonts w:hint="eastAsia"/>
                <w:lang w:val="en-US" w:eastAsia="zh-CN"/>
              </w:rPr>
              <w:t>见各类制度</w:t>
            </w:r>
            <w:r>
              <w:rPr>
                <w:rFonts w:hint="eastAsia"/>
              </w:rPr>
              <w:t>）</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1"/>
              <w:ind w:left="0" w:leftChars="0" w:firstLine="0" w:firstLineChars="0"/>
              <w:rPr>
                <w:rFonts w:hint="eastAsia"/>
                <w:lang w:val="en-US" w:eastAsia="zh-CN"/>
              </w:rPr>
            </w:pPr>
            <w:r>
              <w:rPr>
                <w:rFonts w:hint="eastAsia"/>
                <w:lang w:val="en-US" w:eastAsia="zh-CN"/>
              </w:rPr>
              <w:t>E7.5.1</w:t>
            </w:r>
          </w:p>
          <w:p>
            <w:pPr>
              <w:pStyle w:val="11"/>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 xml:space="preserve">1.2.2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rFonts w:hint="eastAsia"/>
              </w:rPr>
              <w:sym w:font="Wingdings 2" w:char="0052"/>
            </w:r>
            <w:r>
              <w:rPr>
                <w:rFonts w:hint="eastAsia"/>
              </w:rPr>
              <w:t>《</w:t>
            </w:r>
            <w:r>
              <w:rPr>
                <w:rFonts w:hint="eastAsia"/>
                <w:u w:val="none"/>
              </w:rPr>
              <w:t>管理手册》</w:t>
            </w:r>
            <w:r>
              <w:rPr>
                <w:rFonts w:hint="eastAsia"/>
                <w:u w:val="none"/>
                <w:lang w:val="en-US" w:eastAsia="zh-CN"/>
              </w:rPr>
              <w:t>7.5条款</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见4.3条款范围描述</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5"/>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产品</w:t>
            </w:r>
            <w:r>
              <w:rPr>
                <w:rFonts w:hint="eastAsia"/>
                <w:color w:val="000000"/>
                <w:u w:val="single"/>
                <w:lang w:val="en-US" w:eastAsia="zh-CN"/>
              </w:rPr>
              <w:t xml:space="preserve">第三方检测  </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auto"/>
          </w:tcPr>
          <w:p>
            <w:pPr>
              <w:shd w:val="clear"/>
            </w:pPr>
            <w:r>
              <w:rPr>
                <w:rFonts w:hint="eastAsia"/>
              </w:rPr>
              <w:t>运行的策划和控制</w:t>
            </w:r>
          </w:p>
        </w:tc>
        <w:tc>
          <w:tcPr>
            <w:tcW w:w="1040"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 xml:space="preserve">热食类食品制售 </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其他（</w:t>
                  </w:r>
                  <w:r>
                    <w:rPr>
                      <w:rFonts w:hint="eastAsia"/>
                      <w:lang w:val="en-US" w:eastAsia="zh-CN"/>
                    </w:rPr>
                    <w:t>烹饪过程等</w:t>
                  </w:r>
                  <w:r>
                    <w:rPr>
                      <w:rFonts w:hint="eastAsia"/>
                    </w:rPr>
                    <w:t xml:space="preserve">）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eastAsia"/>
                      <w:lang w:val="en-US" w:eastAsia="zh-CN"/>
                    </w:rPr>
                  </w:pPr>
                  <w:r>
                    <w:rPr>
                      <w:rFonts w:hint="eastAsia"/>
                      <w:lang w:val="en-US" w:eastAsia="zh-CN"/>
                    </w:rPr>
                    <w:t>餐具：GB14934标准；</w:t>
                  </w:r>
                </w:p>
                <w:p>
                  <w:pPr>
                    <w:shd w:val="clear"/>
                    <w:rPr>
                      <w:rFonts w:hint="eastAsia"/>
                      <w:lang w:val="en-US" w:eastAsia="zh-CN"/>
                    </w:rPr>
                  </w:pPr>
                  <w:r>
                    <w:rPr>
                      <w:rFonts w:hint="eastAsia"/>
                      <w:lang w:val="en-US" w:eastAsia="zh-CN"/>
                    </w:rPr>
                    <w:t>餐食：危害控制计划要求；</w:t>
                  </w:r>
                </w:p>
                <w:p>
                  <w:pPr>
                    <w:pStyle w:val="4"/>
                    <w:ind w:left="0" w:leftChars="0" w:firstLine="0" w:firstLineChars="0"/>
                    <w:rPr>
                      <w:rFonts w:hint="default"/>
                      <w:lang w:val="en-US" w:eastAsia="zh-CN"/>
                    </w:rPr>
                  </w:pPr>
                  <w:r>
                    <w:rPr>
                      <w:rFonts w:hint="eastAsia"/>
                      <w:lang w:val="en-US" w:eastAsia="zh-CN"/>
                    </w:rPr>
                    <w:t>生产加工用水：GB 5749</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w:t>
                  </w:r>
                  <w:r>
                    <w:rPr>
                      <w:rFonts w:hint="eastAsia"/>
                      <w:lang w:val="en-US" w:eastAsia="zh-CN"/>
                    </w:rPr>
                    <w:t>各类</w:t>
                  </w:r>
                  <w:r>
                    <w:rPr>
                      <w:rFonts w:hint="eastAsia"/>
                    </w:rPr>
                    <w:t>管理制度</w:t>
                  </w:r>
                  <w:r>
                    <w:rPr>
                      <w:rFonts w:hint="eastAsia"/>
                      <w:lang w:eastAsia="zh-CN"/>
                    </w:rPr>
                    <w:t>、</w:t>
                  </w:r>
                  <w:r>
                    <w:rPr>
                      <w:rFonts w:hint="eastAsia"/>
                      <w:lang w:val="en-US" w:eastAsia="zh-CN"/>
                    </w:rPr>
                    <w:t>危害控制计划、前提方案、菜谱等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lang w:val="en-US" w:eastAsia="zh-CN"/>
                    </w:rPr>
                    <w:t>餐食烧熟煮透及中心温度、餐具洗消、席间服务等；</w:t>
                  </w:r>
                </w:p>
                <w:p>
                  <w:pPr>
                    <w:shd w:val="clear"/>
                    <w:rPr>
                      <w:rFonts w:hint="default" w:eastAsia="宋体"/>
                      <w:lang w:val="en-US" w:eastAsia="zh-CN"/>
                    </w:rPr>
                  </w:pPr>
                  <w:r>
                    <w:rPr>
                      <w:rFonts w:hint="eastAsia"/>
                    </w:rPr>
                    <w:t>顾客满意度调查表</w:t>
                  </w:r>
                  <w:r>
                    <w:rPr>
                      <w:rFonts w:hint="eastAsia"/>
                      <w:lang w:eastAsia="zh-CN"/>
                    </w:rPr>
                    <w:t>、</w:t>
                  </w:r>
                  <w:r>
                    <w:rPr>
                      <w:rFonts w:hint="eastAsia"/>
                      <w:lang w:val="en-US" w:eastAsia="zh-CN"/>
                    </w:rPr>
                    <w:t>顾客意见表等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rFonts w:hint="default" w:eastAsia="宋体"/>
                      <w:lang w:val="en-US" w:eastAsia="zh-CN"/>
                    </w:rPr>
                  </w:pPr>
                  <w:r>
                    <w:rPr>
                      <w:rFonts w:hint="eastAsia"/>
                      <w:lang w:val="en-US" w:eastAsia="zh-CN"/>
                    </w:rPr>
                    <w:t>审核周期内未发生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5"/>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产品第三方检测</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8"/>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/良好卫生规范/SSOP</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8"/>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餐食加工制作服务</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产品第三方检测 </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原管理控制程序》、《预防和消除食品欺诈控制程序》、《产品放行控制程序》、《加工过程控制程序》等程序文件，基本满足标准中有关前提计划的要求，详见“H3.2至H3.13的审核记录”，</w:t>
            </w:r>
            <w:r>
              <w:rPr>
                <w:rFonts w:hint="eastAsia"/>
                <w:color w:val="0000FF"/>
                <w:highlight w:val="none"/>
                <w:u w:val="single"/>
                <w:lang w:val="en-US" w:eastAsia="zh-CN"/>
              </w:rPr>
              <w:t>——实施见各门审核记录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eastAsia"/>
                <w:highlight w:val="none"/>
                <w:lang w:val="en-US" w:eastAsia="zh-CN"/>
              </w:rPr>
            </w:pPr>
            <w:r>
              <w:rPr>
                <w:rFonts w:hint="eastAsia"/>
                <w:highlight w:val="none"/>
                <w:lang w:val="en-US" w:eastAsia="zh-CN"/>
              </w:rPr>
              <w:t>E 8.2</w:t>
            </w:r>
          </w:p>
          <w:p>
            <w:pPr>
              <w:pStyle w:val="2"/>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spacing w:line="360" w:lineRule="auto"/>
              <w:rPr>
                <w:highlight w:val="none"/>
              </w:rPr>
            </w:pPr>
            <w:r>
              <w:rPr>
                <w:rFonts w:hint="eastAsia"/>
                <w:highlight w:val="none"/>
                <w:u w:val="single"/>
                <w:lang w:val="en-US" w:eastAsia="zh-CN"/>
              </w:rPr>
              <w:t>经询问：企业负责人表示：审核周期内未发生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公司已建立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并且由管代/食品安全小组组织进行演练，具体“见服务部审核记录”。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监视、测量、分析和评价</w:t>
            </w:r>
          </w:p>
        </w:tc>
        <w:tc>
          <w:tcPr>
            <w:tcW w:w="1040"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7"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541"/>
              <w:gridCol w:w="213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541" w:type="dxa"/>
                </w:tcPr>
                <w:p>
                  <w:pPr>
                    <w:rPr>
                      <w:szCs w:val="21"/>
                    </w:rPr>
                  </w:pPr>
                  <w:r>
                    <w:rPr>
                      <w:rFonts w:hint="eastAsia"/>
                      <w:szCs w:val="21"/>
                    </w:rPr>
                    <w:t>监视和测量的频次和时机</w:t>
                  </w:r>
                </w:p>
              </w:tc>
              <w:tc>
                <w:tcPr>
                  <w:tcW w:w="2135"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9"/>
                    </w:numPr>
                    <w:rPr>
                      <w:rFonts w:hint="eastAsia"/>
                      <w:lang w:val="en-US" w:eastAsia="zh-CN"/>
                    </w:rPr>
                  </w:pPr>
                  <w:r>
                    <w:rPr>
                      <w:rFonts w:hint="eastAsia"/>
                      <w:lang w:val="en-US" w:eastAsia="zh-CN"/>
                    </w:rPr>
                    <w:t>水质：每年委托</w:t>
                  </w:r>
                  <w:r>
                    <w:rPr>
                      <w:rFonts w:hint="eastAsia"/>
                    </w:rPr>
                    <w:t>第三方</w:t>
                  </w:r>
                  <w:r>
                    <w:rPr>
                      <w:rFonts w:hint="eastAsia"/>
                      <w:lang w:val="en-US" w:eastAsia="zh-CN"/>
                    </w:rPr>
                    <w:t>进行水质监测</w:t>
                  </w:r>
                </w:p>
                <w:p>
                  <w:pPr>
                    <w:numPr>
                      <w:ilvl w:val="0"/>
                      <w:numId w:val="9"/>
                    </w:numPr>
                    <w:rPr>
                      <w:rFonts w:hint="default"/>
                      <w:lang w:val="en-US" w:eastAsia="zh-CN"/>
                    </w:rPr>
                  </w:pPr>
                  <w:r>
                    <w:rPr>
                      <w:rFonts w:hint="eastAsia"/>
                      <w:lang w:val="en-US" w:eastAsia="zh-CN"/>
                    </w:rPr>
                    <w:t>餐食每年委托外部第三方进行检测</w:t>
                  </w:r>
                </w:p>
                <w:p>
                  <w:pPr>
                    <w:pStyle w:val="11"/>
                    <w:numPr>
                      <w:ilvl w:val="0"/>
                      <w:numId w:val="9"/>
                    </w:numPr>
                    <w:ind w:left="0" w:leftChars="0" w:firstLine="0" w:firstLineChars="0"/>
                    <w:rPr>
                      <w:rFonts w:hint="default"/>
                      <w:lang w:val="en-US" w:eastAsia="zh-CN"/>
                    </w:rPr>
                  </w:pPr>
                  <w:r>
                    <w:rPr>
                      <w:rFonts w:hint="eastAsia"/>
                      <w:sz w:val="21"/>
                      <w:szCs w:val="21"/>
                      <w:lang w:val="en-US" w:eastAsia="zh-CN"/>
                    </w:rPr>
                    <w:t>餐具每年委托第三方检测</w:t>
                  </w:r>
                </w:p>
              </w:tc>
              <w:tc>
                <w:tcPr>
                  <w:tcW w:w="1541"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135" w:type="dxa"/>
                </w:tcPr>
                <w:p>
                  <w:pPr>
                    <w:rPr>
                      <w:rFonts w:hint="eastAsia"/>
                      <w:szCs w:val="21"/>
                      <w:lang w:val="en-US" w:eastAsia="zh-CN"/>
                    </w:rPr>
                  </w:pPr>
                  <w:r>
                    <w:rPr>
                      <w:rFonts w:hint="eastAsia"/>
                      <w:szCs w:val="21"/>
                      <w:lang w:val="en-US" w:eastAsia="zh-CN"/>
                    </w:rPr>
                    <w:t>GB 5749-2006</w:t>
                  </w:r>
                </w:p>
                <w:p>
                  <w:pPr>
                    <w:pStyle w:val="11"/>
                    <w:ind w:left="0" w:leftChars="0" w:firstLine="0" w:firstLineChars="0"/>
                    <w:rPr>
                      <w:rFonts w:hint="default"/>
                      <w:lang w:val="en-US" w:eastAsia="zh-CN"/>
                    </w:rPr>
                  </w:pPr>
                  <w:r>
                    <w:rPr>
                      <w:rFonts w:hint="eastAsia"/>
                      <w:szCs w:val="21"/>
                      <w:lang w:val="en-US" w:eastAsia="zh-CN"/>
                    </w:rPr>
                    <w:t>GB 14934</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行业的抽查情况、危害控制计划等</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ascii="Segoe UI Emoji" w:hAnsi="Segoe UI Emoji" w:cs="Segoe UI Emoji"/>
                      <w:color w:val="000000"/>
                      <w:sz w:val="15"/>
                      <w:szCs w:val="15"/>
                      <w:lang w:eastAsia="zh-CN"/>
                    </w:rPr>
                    <w:sym w:font="Wingdings 2" w:char="0052"/>
                  </w:r>
                  <w:r>
                    <w:rPr>
                      <w:rFonts w:hint="eastAsia"/>
                      <w:szCs w:val="21"/>
                    </w:rPr>
                    <w:t>现场巡视</w:t>
                  </w:r>
                </w:p>
                <w:p>
                  <w:pPr>
                    <w:rPr>
                      <w:rFonts w:hint="default" w:eastAsia="宋体"/>
                      <w:szCs w:val="21"/>
                      <w:lang w:val="en-US" w:eastAsia="zh-CN"/>
                    </w:rPr>
                  </w:pPr>
                  <w:r>
                    <w:rPr>
                      <w:rFonts w:hint="eastAsia" w:ascii="Segoe UI Emoji" w:hAnsi="Segoe UI Emoji" w:cs="Segoe UI Emoji"/>
                      <w:color w:val="000000"/>
                      <w:sz w:val="15"/>
                      <w:szCs w:val="15"/>
                      <w:lang w:eastAsia="zh-CN"/>
                    </w:rPr>
                    <w:sym w:font="Wingdings 2" w:char="0052"/>
                  </w:r>
                  <w:r>
                    <w:rPr>
                      <w:rFonts w:hint="eastAsia"/>
                      <w:szCs w:val="21"/>
                    </w:rPr>
                    <w:t>抽查记录</w:t>
                  </w:r>
                  <w:r>
                    <w:rPr>
                      <w:rFonts w:hint="eastAsia"/>
                      <w:szCs w:val="21"/>
                      <w:lang w:val="en-US" w:eastAsia="zh-CN"/>
                    </w:rPr>
                    <w:t>/检查记录等</w:t>
                  </w:r>
                </w:p>
                <w:p>
                  <w:pPr>
                    <w:rPr>
                      <w:szCs w:val="21"/>
                    </w:rPr>
                  </w:pPr>
                  <w:r>
                    <w:rPr>
                      <w:rFonts w:hint="eastAsia" w:ascii="Segoe UI Emoji" w:hAnsi="Segoe UI Emoji" w:cs="Segoe UI Emoji"/>
                      <w:color w:val="000000"/>
                      <w:sz w:val="15"/>
                      <w:szCs w:val="15"/>
                      <w:lang w:eastAsia="zh-CN"/>
                    </w:rPr>
                    <w:sym w:font="Wingdings 2" w:char="0052"/>
                  </w:r>
                  <w:r>
                    <w:rPr>
                      <w:rFonts w:hint="eastAsia"/>
                      <w:szCs w:val="21"/>
                    </w:rPr>
                    <w:t>对目标、</w:t>
                  </w:r>
                  <w:r>
                    <w:rPr>
                      <w:rFonts w:hint="eastAsia"/>
                      <w:strike/>
                      <w:dstrike w:val="0"/>
                      <w:szCs w:val="21"/>
                    </w:rPr>
                    <w:t>供方业绩、</w:t>
                  </w:r>
                  <w:r>
                    <w:rPr>
                      <w:rFonts w:hint="eastAsia"/>
                      <w:szCs w:val="21"/>
                    </w:rPr>
                    <w:t>过程业绩、满意度进行统计</w:t>
                  </w:r>
                </w:p>
              </w:tc>
              <w:tc>
                <w:tcPr>
                  <w:tcW w:w="1541" w:type="dxa"/>
                </w:tcPr>
                <w:p>
                  <w:pPr>
                    <w:rPr>
                      <w:szCs w:val="21"/>
                    </w:rPr>
                  </w:pPr>
                  <w:r>
                    <w:rPr>
                      <w:rFonts w:hint="eastAsia" w:ascii="Segoe UI Emoji" w:hAnsi="Segoe UI Emoji" w:cs="Segoe UI Emoji"/>
                      <w:color w:val="000000"/>
                      <w:sz w:val="15"/>
                      <w:szCs w:val="15"/>
                      <w:lang w:eastAsia="zh-CN"/>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135" w:type="dxa"/>
                </w:tcPr>
                <w:p>
                  <w:pPr>
                    <w:rPr>
                      <w:rFonts w:hint="default" w:eastAsia="宋体"/>
                      <w:szCs w:val="21"/>
                      <w:lang w:val="en-US" w:eastAsia="zh-CN"/>
                    </w:rPr>
                  </w:pPr>
                  <w:r>
                    <w:rPr>
                      <w:rFonts w:hint="eastAsia"/>
                      <w:szCs w:val="21"/>
                      <w:lang w:val="en-US" w:eastAsia="zh-CN"/>
                    </w:rPr>
                    <w:t>PRP/良好卫生规范、危害控制计划、操作规程、SSOP等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r>
                    <w:rPr>
                      <w:rFonts w:hint="eastAsia"/>
                    </w:rPr>
                    <w:t>GB/T19001-2016</w:t>
                  </w:r>
                </w:p>
                <w:p>
                  <w:pPr>
                    <w:rPr>
                      <w:rFonts w:hint="eastAsia"/>
                    </w:rPr>
                  </w:pPr>
                  <w:r>
                    <w:rPr>
                      <w:rFonts w:hint="eastAsia"/>
                    </w:rPr>
                    <w:t>ISO22000：2018</w:t>
                  </w:r>
                </w:p>
                <w:p>
                  <w:pPr>
                    <w:pStyle w:val="2"/>
                    <w:rPr>
                      <w:rFonts w:hint="eastAsia"/>
                      <w:szCs w:val="21"/>
                      <w:lang w:val="en-US" w:eastAsia="zh-CN"/>
                    </w:rPr>
                  </w:pPr>
                  <w:r>
                    <w:rPr>
                      <w:rFonts w:hint="eastAsia"/>
                      <w:szCs w:val="21"/>
                      <w:lang w:val="en-US" w:eastAsia="zh-CN"/>
                    </w:rPr>
                    <w:t>HACCP体系（V1.0）</w:t>
                  </w:r>
                </w:p>
                <w:p>
                  <w:pPr>
                    <w:pStyle w:val="2"/>
                    <w:rPr>
                      <w:rFonts w:hint="default"/>
                      <w:szCs w:val="21"/>
                      <w:lang w:val="en-US" w:eastAsia="zh-CN"/>
                    </w:rPr>
                  </w:pPr>
                  <w:r>
                    <w:rPr>
                      <w:rFonts w:hint="eastAsia"/>
                      <w:szCs w:val="21"/>
                      <w:lang w:val="en-US" w:eastAsia="zh-CN"/>
                    </w:rPr>
                    <w:t>《内审控制程序》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GB/T19001-2016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ISO22000：2018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w:t>
                  </w:r>
                  <w:r>
                    <w:rPr>
                      <w:rFonts w:hint="eastAsia"/>
                      <w:lang w:val="en-US" w:eastAsia="zh-CN"/>
                    </w:rPr>
                    <w:t>管理评审控制程序</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135"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顾客满意度调查、顾客意见表等的信息及时进行处理</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0"/>
              <w:gridCol w:w="1852"/>
              <w:gridCol w:w="220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dxa"/>
                </w:tcPr>
                <w:p>
                  <w:pPr>
                    <w:rPr>
                      <w:rFonts w:hint="default"/>
                      <w:highlight w:val="none"/>
                      <w:vertAlign w:val="baseline"/>
                      <w:lang w:val="en-US" w:eastAsia="zh-CN"/>
                    </w:rPr>
                  </w:pPr>
                  <w:r>
                    <w:rPr>
                      <w:rFonts w:hint="eastAsia"/>
                      <w:highlight w:val="none"/>
                      <w:lang w:val="en-US" w:eastAsia="zh-CN"/>
                    </w:rPr>
                    <w:t>监视和测量的对象</w:t>
                  </w:r>
                </w:p>
              </w:tc>
              <w:tc>
                <w:tcPr>
                  <w:tcW w:w="2350"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852" w:type="dxa"/>
                </w:tcPr>
                <w:p>
                  <w:pPr>
                    <w:rPr>
                      <w:rFonts w:hint="eastAsia"/>
                      <w:highlight w:val="none"/>
                      <w:lang w:val="en-US" w:eastAsia="zh-CN"/>
                    </w:rPr>
                  </w:pPr>
                  <w:r>
                    <w:rPr>
                      <w:rFonts w:hint="eastAsia"/>
                      <w:highlight w:val="none"/>
                      <w:lang w:val="en-US" w:eastAsia="zh-CN"/>
                    </w:rPr>
                    <w:t>监视和测量的频次和时机</w:t>
                  </w:r>
                </w:p>
              </w:tc>
              <w:tc>
                <w:tcPr>
                  <w:tcW w:w="2208"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1713"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350" w:type="dxa"/>
                </w:tcPr>
                <w:p>
                  <w:pPr>
                    <w:rPr>
                      <w:rFonts w:hint="default"/>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852"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A3"/>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2208" w:type="dxa"/>
                </w:tcPr>
                <w:p>
                  <w:pPr>
                    <w:rPr>
                      <w:rFonts w:hint="default"/>
                      <w:highlight w:val="none"/>
                      <w:vertAlign w:val="baseline"/>
                      <w:lang w:val="en-US" w:eastAsia="zh-CN"/>
                    </w:rPr>
                  </w:pPr>
                  <w:r>
                    <w:rPr>
                      <w:rFonts w:hint="eastAsia"/>
                      <w:highlight w:val="none"/>
                      <w:vertAlign w:val="baseline"/>
                      <w:lang w:val="en-US" w:eastAsia="zh-CN"/>
                    </w:rPr>
                    <w:t>相关标准、公司各类规章制度要求管控等</w:t>
                  </w:r>
                </w:p>
              </w:tc>
              <w:tc>
                <w:tcPr>
                  <w:tcW w:w="1713"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350"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default"/>
                      <w:highlight w:val="none"/>
                      <w:vertAlign w:val="baseline"/>
                      <w:lang w:val="en-US" w:eastAsia="zh-CN"/>
                    </w:rPr>
                  </w:pPr>
                  <w:r>
                    <w:rPr>
                      <w:rFonts w:hint="eastAsia"/>
                      <w:highlight w:val="none"/>
                      <w:vertAlign w:val="baseline"/>
                      <w:lang w:val="en-US" w:eastAsia="zh-CN"/>
                    </w:rPr>
                    <w:t>抽查记录/检查运行记录等</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852"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220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运行控制相关要求等</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sym w:font="Wingdings 2" w:char="0052"/>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350"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852"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2208"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A3"/>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350"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852"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2208" w:type="dxa"/>
                  <w:vAlign w:val="top"/>
                </w:tcPr>
                <w:p>
                  <w:pPr>
                    <w:pStyle w:val="2"/>
                    <w:rPr>
                      <w:rFonts w:hint="eastAsia"/>
                      <w:szCs w:val="21"/>
                      <w:lang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p>
                <w:p>
                  <w:pPr>
                    <w:pStyle w:val="2"/>
                    <w:rPr>
                      <w:rFonts w:hint="eastAsia" w:eastAsia="宋体"/>
                      <w:lang w:val="en-US" w:eastAsia="zh-CN"/>
                    </w:rPr>
                  </w:pPr>
                  <w:r>
                    <w:rPr>
                      <w:rFonts w:hint="eastAsia" w:cs="Times New Roman"/>
                      <w:kern w:val="2"/>
                      <w:sz w:val="21"/>
                      <w:highlight w:val="none"/>
                      <w:vertAlign w:val="baseline"/>
                      <w:lang w:val="en-US" w:eastAsia="zh-CN" w:bidi="ar-SA"/>
                    </w:rPr>
                    <w:t>GB/T24001-2016</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A3"/>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350"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852"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sym w:font="Wingdings 2" w:char="0052"/>
                  </w:r>
                  <w:r>
                    <w:rPr>
                      <w:rFonts w:hint="eastAsia"/>
                      <w:color w:val="000000"/>
                      <w:szCs w:val="21"/>
                      <w:lang w:val="en-US" w:eastAsia="zh-CN"/>
                    </w:rPr>
                    <w:t>随时</w:t>
                  </w:r>
                </w:p>
              </w:tc>
              <w:tc>
                <w:tcPr>
                  <w:tcW w:w="220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法律法规要求、甲方要求</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A3"/>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相关标准，合规性评价等证据</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sym w:font="Wingdings 2" w:char="0052"/>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的规定、运行相关要求</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公司OHS目标、目标考核及完成情况等</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相关法规或客户要求</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991" w:type="dxa"/>
            <w:vMerge w:val="restart"/>
            <w:shd w:val="clear" w:color="auto" w:fill="auto"/>
            <w:noWrap w:val="0"/>
            <w:vAlign w:val="top"/>
          </w:tcPr>
          <w:p>
            <w:pPr>
              <w:rPr>
                <w:highlight w:val="none"/>
              </w:rPr>
            </w:pPr>
            <w:r>
              <w:rPr>
                <w:rFonts w:hint="eastAsia"/>
                <w:highlight w:val="none"/>
              </w:rPr>
              <w:t>内部审核</w:t>
            </w:r>
          </w:p>
        </w:tc>
        <w:tc>
          <w:tcPr>
            <w:tcW w:w="1040" w:type="dxa"/>
            <w:vMerge w:val="restart"/>
            <w:shd w:val="clear" w:color="auto" w:fill="auto"/>
            <w:noWrap w:val="0"/>
            <w:vAlign w:val="top"/>
          </w:tcPr>
          <w:p>
            <w:pPr>
              <w:rPr>
                <w:rFonts w:hint="eastAsia"/>
                <w:highlight w:val="none"/>
                <w:lang w:val="en-US" w:eastAsia="zh-CN"/>
              </w:rPr>
            </w:pPr>
            <w:r>
              <w:rPr>
                <w:rFonts w:hint="eastAsia"/>
                <w:highlight w:val="none"/>
                <w:lang w:val="en-US" w:eastAsia="zh-CN"/>
              </w:rPr>
              <w:t>Q9.2</w:t>
            </w:r>
          </w:p>
          <w:p>
            <w:pPr>
              <w:pStyle w:val="2"/>
              <w:rPr>
                <w:rFonts w:hint="eastAsia"/>
                <w:highlight w:val="none"/>
                <w:lang w:val="en-US" w:eastAsia="zh-CN"/>
              </w:rPr>
            </w:pPr>
            <w:r>
              <w:rPr>
                <w:rFonts w:hint="eastAsia"/>
                <w:highlight w:val="none"/>
                <w:lang w:val="en-US" w:eastAsia="zh-CN"/>
              </w:rPr>
              <w:t>E9.2</w:t>
            </w:r>
          </w:p>
          <w:p>
            <w:pPr>
              <w:pStyle w:val="2"/>
              <w:rPr>
                <w:rFonts w:hint="default"/>
                <w:highlight w:val="none"/>
                <w:lang w:val="en-US" w:eastAsia="zh-CN"/>
              </w:rPr>
            </w:pPr>
            <w:r>
              <w:rPr>
                <w:rFonts w:hint="eastAsia"/>
                <w:highlight w:val="none"/>
                <w:lang w:val="en-US" w:eastAsia="zh-CN"/>
              </w:rPr>
              <w:t>O9.2</w:t>
            </w:r>
          </w:p>
          <w:p>
            <w:pPr>
              <w:rPr>
                <w:highlight w:val="none"/>
              </w:rPr>
            </w:pPr>
            <w:r>
              <w:rPr>
                <w:rFonts w:hint="eastAsia"/>
                <w:highlight w:val="none"/>
              </w:rPr>
              <w:t>F9.2</w:t>
            </w:r>
          </w:p>
          <w:p>
            <w:pPr>
              <w:rPr>
                <w:color w:val="000000"/>
                <w:szCs w:val="21"/>
                <w:highlight w:val="none"/>
              </w:rPr>
            </w:pPr>
            <w:r>
              <w:rPr>
                <w:rFonts w:hint="eastAsia"/>
                <w:color w:val="000000"/>
                <w:szCs w:val="21"/>
                <w:highlight w:val="none"/>
              </w:rPr>
              <w:t>H (V1.0)</w:t>
            </w:r>
          </w:p>
          <w:p>
            <w:pPr>
              <w:rPr>
                <w:rFonts w:hint="default" w:eastAsia="宋体"/>
                <w:highlight w:val="none"/>
                <w:lang w:val="en-US" w:eastAsia="zh-CN"/>
              </w:rPr>
            </w:pPr>
            <w:r>
              <w:rPr>
                <w:rFonts w:hint="eastAsia"/>
                <w:highlight w:val="none"/>
                <w:lang w:val="en-US" w:eastAsia="zh-CN"/>
              </w:rPr>
              <w:t>5.3</w:t>
            </w:r>
          </w:p>
          <w:p>
            <w:pPr>
              <w:rPr>
                <w:rFonts w:hint="eastAsia" w:eastAsia="宋体"/>
                <w:highlight w:val="none"/>
                <w:lang w:val="en-US" w:eastAsia="zh-CN"/>
              </w:rPr>
            </w:pPr>
          </w:p>
        </w:tc>
        <w:tc>
          <w:tcPr>
            <w:tcW w:w="745" w:type="dxa"/>
            <w:shd w:val="clear" w:color="auto" w:fill="auto"/>
            <w:noWrap w:val="0"/>
            <w:vAlign w:val="top"/>
          </w:tcPr>
          <w:p>
            <w:pPr>
              <w:rPr>
                <w:highlight w:val="none"/>
              </w:rPr>
            </w:pPr>
            <w:r>
              <w:rPr>
                <w:rFonts w:hint="eastAsia"/>
                <w:highlight w:val="none"/>
              </w:rPr>
              <w:t>文件名称</w:t>
            </w:r>
          </w:p>
        </w:tc>
        <w:tc>
          <w:tcPr>
            <w:tcW w:w="9260" w:type="dxa"/>
            <w:gridSpan w:val="2"/>
            <w:shd w:val="clear" w:color="auto" w:fill="auto"/>
            <w:noWrap w:val="0"/>
            <w:vAlign w:val="top"/>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585" w:type="dxa"/>
            <w:vMerge w:val="restart"/>
            <w:shd w:val="clear" w:color="auto" w:fill="auto"/>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991" w:type="dxa"/>
            <w:vMerge w:val="continue"/>
            <w:shd w:val="clear" w:color="auto" w:fill="auto"/>
            <w:noWrap w:val="0"/>
            <w:vAlign w:val="top"/>
          </w:tcPr>
          <w:p>
            <w:pPr>
              <w:rPr>
                <w:highlight w:val="none"/>
              </w:rPr>
            </w:pPr>
          </w:p>
        </w:tc>
        <w:tc>
          <w:tcPr>
            <w:tcW w:w="1040" w:type="dxa"/>
            <w:vMerge w:val="continue"/>
            <w:shd w:val="clear" w:color="auto" w:fill="auto"/>
            <w:noWrap w:val="0"/>
            <w:vAlign w:val="top"/>
          </w:tcPr>
          <w:p>
            <w:pPr>
              <w:rPr>
                <w:highlight w:val="none"/>
              </w:rPr>
            </w:pPr>
          </w:p>
        </w:tc>
        <w:tc>
          <w:tcPr>
            <w:tcW w:w="745" w:type="dxa"/>
            <w:shd w:val="clear" w:color="auto" w:fill="auto"/>
            <w:noWrap w:val="0"/>
            <w:vAlign w:val="top"/>
          </w:tcPr>
          <w:p>
            <w:pPr>
              <w:rPr>
                <w:highlight w:val="none"/>
              </w:rPr>
            </w:pPr>
            <w:r>
              <w:rPr>
                <w:rFonts w:hint="eastAsia"/>
                <w:highlight w:val="none"/>
              </w:rPr>
              <w:t>运行证据</w:t>
            </w:r>
          </w:p>
        </w:tc>
        <w:tc>
          <w:tcPr>
            <w:tcW w:w="9260" w:type="dxa"/>
            <w:gridSpan w:val="2"/>
            <w:shd w:val="clear" w:color="auto" w:fill="auto"/>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11-12</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A3"/>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A3"/>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领导层/食品安全小组、服务部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default" w:ascii="宋体" w:hAnsi="宋体"/>
                <w:color w:val="000000"/>
                <w:szCs w:val="21"/>
                <w:highlight w:val="none"/>
                <w:u w:val="single"/>
                <w:lang w:val="en-US"/>
              </w:rPr>
            </w:pPr>
            <w:r>
              <w:rPr>
                <w:rFonts w:hint="eastAsia" w:ascii="宋体" w:hAnsi="宋体"/>
                <w:color w:val="000000"/>
                <w:szCs w:val="21"/>
                <w:highlight w:val="none"/>
              </w:rPr>
              <w:t>涉及的条款号或问题简述：</w:t>
            </w:r>
            <w:r>
              <w:rPr>
                <w:rFonts w:hint="eastAsia" w:ascii="宋体" w:hAnsi="宋体"/>
                <w:color w:val="000000"/>
                <w:szCs w:val="21"/>
                <w:highlight w:val="none"/>
                <w:lang w:val="en-US" w:eastAsia="zh-CN"/>
              </w:rPr>
              <w:t>现场询问运营部一名员工，不清楚部门职责，</w:t>
            </w:r>
            <w:r>
              <w:rPr>
                <w:rFonts w:hint="eastAsia" w:ascii="宋体" w:hAnsi="宋体"/>
                <w:color w:val="000000"/>
                <w:szCs w:val="21"/>
                <w:highlight w:val="none"/>
                <w:u w:val="single"/>
              </w:rPr>
              <w:t>不符合：</w:t>
            </w:r>
            <w:r>
              <w:rPr>
                <w:rFonts w:hint="eastAsia" w:ascii="宋体" w:hAnsi="宋体"/>
                <w:color w:val="000000"/>
                <w:szCs w:val="21"/>
                <w:highlight w:val="none"/>
                <w:u w:val="single"/>
                <w:lang w:val="en-US" w:eastAsia="zh-CN"/>
              </w:rPr>
              <w:t>ISO 22000:2018标准 5.3条款、HACCP体系2.5.1条款、GB/T19001-2016标准5.3条款、GB/T24001-2016标准的5.3条款、GB/T45001-2020标准的5.3条款</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olor w:val="000000"/>
                <w:szCs w:val="21"/>
                <w:highlight w:val="none"/>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w:t>
            </w:r>
            <w:r>
              <w:rPr>
                <w:rFonts w:hint="eastAsia" w:ascii="宋体" w:hAnsi="宋体" w:cs="Times New Roman"/>
                <w:color w:val="000000"/>
                <w:szCs w:val="21"/>
                <w:highlight w:val="none"/>
                <w:u w:val="single"/>
                <w:lang w:val="en-US" w:eastAsia="zh-CN"/>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lang w:eastAsia="zh-CN"/>
              </w:rPr>
              <w:t>□</w:t>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585" w:type="dxa"/>
            <w:vMerge w:val="continue"/>
            <w:shd w:val="clear" w:color="auto" w:fill="auto"/>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auto"/>
          </w:tcPr>
          <w:p>
            <w:pPr>
              <w:rPr>
                <w:highlight w:val="none"/>
              </w:rPr>
            </w:pPr>
            <w:r>
              <w:rPr>
                <w:rFonts w:hint="eastAsia"/>
                <w:highlight w:val="none"/>
              </w:rPr>
              <w:t>管理评审</w:t>
            </w:r>
          </w:p>
          <w:p>
            <w:pPr>
              <w:rPr>
                <w:highlight w:val="none"/>
              </w:rPr>
            </w:pPr>
          </w:p>
        </w:tc>
        <w:tc>
          <w:tcPr>
            <w:tcW w:w="1040" w:type="dxa"/>
            <w:vMerge w:val="restart"/>
            <w:shd w:val="clear" w:color="auto" w:fill="auto"/>
          </w:tcPr>
          <w:p>
            <w:pPr>
              <w:rPr>
                <w:rFonts w:hint="eastAsia"/>
              </w:rPr>
            </w:pPr>
            <w:r>
              <w:rPr>
                <w:rFonts w:hint="eastAsia"/>
              </w:rPr>
              <w:t>Q9.3</w:t>
            </w:r>
          </w:p>
          <w:p>
            <w:pPr>
              <w:pStyle w:val="2"/>
              <w:rPr>
                <w:rFonts w:hint="eastAsia"/>
                <w:lang w:val="en-US" w:eastAsia="zh-CN"/>
              </w:rPr>
            </w:pPr>
            <w:r>
              <w:rPr>
                <w:rFonts w:hint="eastAsia"/>
                <w:lang w:val="en-US" w:eastAsia="zh-CN"/>
              </w:rPr>
              <w:t>E9.3</w:t>
            </w:r>
          </w:p>
          <w:p>
            <w:pPr>
              <w:pStyle w:val="2"/>
              <w:rPr>
                <w:rFonts w:hint="eastAsia"/>
                <w:lang w:val="en-US" w:eastAsia="zh-CN"/>
              </w:rPr>
            </w:pPr>
            <w:r>
              <w:rPr>
                <w:rFonts w:hint="eastAsia"/>
                <w:lang w:val="en-US" w:eastAsia="zh-CN"/>
              </w:rPr>
              <w:t>O9.3</w:t>
            </w:r>
          </w:p>
          <w:p>
            <w:pPr>
              <w:rPr>
                <w:rFonts w:hint="eastAsia"/>
                <w:lang w:val="en-US" w:eastAsia="zh-CN"/>
              </w:rPr>
            </w:pPr>
            <w:r>
              <w:rPr>
                <w:rFonts w:hint="eastAsia"/>
                <w:lang w:val="en-US" w:eastAsia="zh-CN"/>
              </w:rPr>
              <w:t>F9.3</w:t>
            </w:r>
          </w:p>
          <w:p>
            <w:pPr>
              <w:rPr>
                <w:color w:val="000000"/>
                <w:szCs w:val="21"/>
                <w:highlight w:val="none"/>
              </w:rPr>
            </w:pPr>
            <w:r>
              <w:rPr>
                <w:rFonts w:hint="eastAsia"/>
                <w:color w:val="000000"/>
                <w:szCs w:val="21"/>
                <w:highlight w:val="none"/>
              </w:rPr>
              <w:t>H (V1.0)</w:t>
            </w:r>
          </w:p>
          <w:p>
            <w:pPr>
              <w:pStyle w:val="11"/>
              <w:ind w:left="0" w:leftChars="0" w:firstLine="0" w:firstLineChars="0"/>
              <w:rPr>
                <w:rFonts w:hint="default"/>
                <w:lang w:val="en-US"/>
              </w:rPr>
            </w:pPr>
            <w:r>
              <w:rPr>
                <w:rFonts w:hint="eastAsia"/>
                <w:highlight w:val="none"/>
                <w:lang w:val="en-US" w:eastAsia="zh-CN"/>
              </w:rPr>
              <w:t>5.4</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31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4"/>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甲方负责管理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sym w:font="Wingdings 2" w:char="0052"/>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u w:val="single"/>
              </w:rPr>
            </w:pPr>
            <w:r>
              <w:rPr>
                <w:rFonts w:hint="eastAsia"/>
                <w:u w:val="single"/>
              </w:rPr>
              <w:t>提交给最高管理者的信息的形式，应能使其理解所含信息与已声明的HACCP体系目标之间的关系。</w:t>
            </w:r>
          </w:p>
          <w:p>
            <w:pPr>
              <w:pStyle w:val="2"/>
              <w:rPr>
                <w:rFonts w:hint="eastAsia"/>
                <w:u w:val="single"/>
                <w:lang w:val="en-US" w:eastAsia="zh-CN"/>
              </w:rPr>
            </w:pPr>
            <w:r>
              <w:rPr>
                <w:rFonts w:hint="eastAsia"/>
                <w:u w:val="single"/>
                <w:lang w:val="en-US" w:eastAsia="zh-CN"/>
              </w:rPr>
              <w:t>经询问基本了解。</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0"/>
                    </w:numPr>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暂无，体系首次导入，对管理评审的总体策划还需要加强，同时对有效性把握不足，已现场与企业沟通</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暂暂无，体系首次导入，对管理评审的总体策划还需要加强，同时对有效性把握不足，已现场与企业沟通</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暂无，体系首次导入，对管理评审的总体策划还需要加强，同时对有效性把握不足，已现场与企业沟通</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暂无，体系首次导入，对管理评审的总体策划还需要加强，同时对有效性把握不足，已现场与企业沟通</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A3"/>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改进</w:t>
            </w:r>
          </w:p>
        </w:tc>
        <w:tc>
          <w:tcPr>
            <w:tcW w:w="104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rPr>
              <w:sym w:font="Wingdings" w:char="00A8"/>
            </w:r>
            <w:r>
              <w:rPr>
                <w:rFonts w:hint="eastAsia"/>
              </w:rPr>
              <w:t>突破性变革、</w:t>
            </w:r>
            <w:r>
              <w:rPr>
                <w:rFonts w:hint="eastAsia"/>
              </w:rPr>
              <w:sym w:font="Wingdings" w:char="00A8"/>
            </w:r>
            <w:r>
              <w:rPr>
                <w:rFonts w:hint="eastAsia"/>
              </w:rPr>
              <w:t xml:space="preserve">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default" w:eastAsia="宋体"/>
                <w:lang w:val="en-US" w:eastAsia="zh-CN"/>
              </w:rPr>
            </w:pPr>
            <w:r>
              <w:rPr>
                <w:rFonts w:hint="eastAsia"/>
                <w:lang w:val="en-US" w:eastAsia="zh-CN"/>
              </w:rPr>
              <w:t>改进</w:t>
            </w:r>
          </w:p>
        </w:tc>
        <w:tc>
          <w:tcPr>
            <w:tcW w:w="1040"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rPr>
              <w:sym w:font="Wingdings" w:char="00A8"/>
            </w:r>
            <w:r>
              <w:rPr>
                <w:rFonts w:hint="eastAsia"/>
              </w:rPr>
              <w:t>突破性变革、</w:t>
            </w:r>
            <w:r>
              <w:rPr>
                <w:rFonts w:hint="eastAsia"/>
              </w:rPr>
              <w:sym w:font="Wingdings" w:char="00A8"/>
            </w:r>
            <w:r>
              <w:rPr>
                <w:rFonts w:hint="eastAsia"/>
              </w:rPr>
              <w:t xml:space="preserve">创新和重组。 </w:t>
            </w:r>
            <w:r>
              <w:rPr>
                <w:rFonts w:hint="eastAsia"/>
                <w:highlight w:val="none"/>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持续改进</w:t>
            </w:r>
          </w:p>
        </w:tc>
        <w:tc>
          <w:tcPr>
            <w:tcW w:w="1040"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8"/>
              <w:rPr>
                <w:rFonts w:hint="eastAsia"/>
                <w:sz w:val="21"/>
                <w:szCs w:val="21"/>
                <w:lang w:val="en-US" w:eastAsia="zh-CN"/>
              </w:rPr>
            </w:pPr>
            <w:r>
              <w:rPr>
                <w:rFonts w:hint="eastAsia"/>
                <w:sz w:val="21"/>
                <w:szCs w:val="21"/>
                <w:lang w:val="en-US" w:eastAsia="zh-CN"/>
              </w:rPr>
              <w:t>E10.3</w:t>
            </w:r>
          </w:p>
          <w:p>
            <w:pPr>
              <w:pStyle w:val="8"/>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pPr>
              <w:rPr>
                <w:rFonts w:hint="eastAsia"/>
              </w:rPr>
            </w:pPr>
            <w:r>
              <w:rPr>
                <w:rFonts w:hint="eastAsia"/>
              </w:rPr>
              <w:t>组织考虑了分析和评价的结果以及管理评审的输出，确定是否存在需求或机遇，这些需求或机遇应作为持续改进的一部分加以应对。</w:t>
            </w:r>
          </w:p>
          <w:p>
            <w:pPr>
              <w:rPr>
                <w:rFonts w:hint="eastAsia"/>
                <w:u w:val="single"/>
                <w:lang w:val="en-US" w:eastAsia="zh-CN"/>
              </w:rPr>
            </w:pPr>
            <w:r>
              <w:rPr>
                <w:rFonts w:hint="eastAsia"/>
                <w:u w:val="single"/>
              </w:rPr>
              <w:sym w:font="Wingdings" w:char="00FE"/>
            </w:r>
            <w:r>
              <w:rPr>
                <w:rFonts w:hint="eastAsia"/>
                <w:u w:val="single"/>
              </w:rPr>
              <w:t xml:space="preserve"> </w:t>
            </w:r>
            <w:r>
              <w:rPr>
                <w:rFonts w:hint="eastAsia"/>
                <w:u w:val="single"/>
                <w:lang w:val="en-US" w:eastAsia="zh-CN"/>
              </w:rPr>
              <w:t>管理评审输出：暂无，体系首次导入，对管理评审的总体策划还需要加强，同时对有效性把握不足，已现场与企业沟通</w:t>
            </w:r>
          </w:p>
          <w:p>
            <w:pPr>
              <w:rPr>
                <w:rFonts w:hint="eastAsia"/>
                <w:u w:val="single"/>
                <w:lang w:val="en-US" w:eastAsia="zh-CN"/>
              </w:rPr>
            </w:pP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8"/>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rPr>
                <w:rFonts w:hint="default" w:eastAsia="宋体"/>
                <w:lang w:val="en-US" w:eastAsia="zh-CN"/>
              </w:rP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4"/>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eastAsia"/>
                      <w:lang w:val="en-US" w:eastAsia="zh-CN"/>
                    </w:rPr>
                  </w:pPr>
                  <w:r>
                    <w:rPr>
                      <w:rFonts w:hint="eastAsia"/>
                    </w:rPr>
                    <w:sym w:font="Wingdings" w:char="00FE"/>
                  </w:r>
                  <w:r>
                    <w:rPr>
                      <w:rFonts w:hint="eastAsia"/>
                      <w:lang w:val="en-US" w:eastAsia="zh-CN"/>
                    </w:rPr>
                    <w:t xml:space="preserve"> 见OHS意识的培养</w:t>
                  </w:r>
                </w:p>
                <w:p>
                  <w:pPr>
                    <w:rPr>
                      <w:rFonts w:hint="default"/>
                      <w:lang w:val="en-US"/>
                    </w:rPr>
                  </w:pPr>
                  <w:r>
                    <w:rPr>
                      <w:rFonts w:hint="eastAsia"/>
                    </w:rPr>
                    <w:sym w:font="Wingdings" w:char="00FE"/>
                  </w:r>
                  <w:r>
                    <w:rPr>
                      <w:rFonts w:hint="eastAsia"/>
                      <w:lang w:val="en-US" w:eastAsia="zh-CN"/>
                    </w:rPr>
                    <w:t xml:space="preserve"> 见OHS的相关培训</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eastAsia"/>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lang w:eastAsia="zh-CN"/>
              </w:rPr>
              <w:t>——</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食品安全管理体系的更新</w:t>
            </w:r>
          </w:p>
          <w:p/>
        </w:tc>
        <w:tc>
          <w:tcPr>
            <w:tcW w:w="104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首次建立体系，未发生系统性的更新活动</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3D8E6"/>
    <w:multiLevelType w:val="singleLevel"/>
    <w:tmpl w:val="8A33D8E6"/>
    <w:lvl w:ilvl="0" w:tentative="0">
      <w:start w:val="1"/>
      <w:numFmt w:val="decimal"/>
      <w:suff w:val="nothing"/>
      <w:lvlText w:val="%1）"/>
      <w:lvlJc w:val="left"/>
    </w:lvl>
  </w:abstractNum>
  <w:abstractNum w:abstractNumId="1">
    <w:nsid w:val="B507E252"/>
    <w:multiLevelType w:val="singleLevel"/>
    <w:tmpl w:val="B507E252"/>
    <w:lvl w:ilvl="0" w:tentative="0">
      <w:start w:val="1"/>
      <w:numFmt w:val="decimal"/>
      <w:suff w:val="nothing"/>
      <w:lvlText w:val="%1）"/>
      <w:lvlJc w:val="left"/>
    </w:lvl>
  </w:abstractNum>
  <w:abstractNum w:abstractNumId="2">
    <w:nsid w:val="C22A6EF6"/>
    <w:multiLevelType w:val="singleLevel"/>
    <w:tmpl w:val="C22A6EF6"/>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4D003148"/>
    <w:multiLevelType w:val="singleLevel"/>
    <w:tmpl w:val="4D003148"/>
    <w:lvl w:ilvl="0" w:tentative="0">
      <w:start w:val="1"/>
      <w:numFmt w:val="decimal"/>
      <w:lvlText w:val="%1."/>
      <w:lvlJc w:val="left"/>
      <w:pPr>
        <w:tabs>
          <w:tab w:val="left" w:pos="312"/>
        </w:tabs>
      </w:pPr>
    </w:lvl>
  </w:abstractNum>
  <w:abstractNum w:abstractNumId="6">
    <w:nsid w:val="56645777"/>
    <w:multiLevelType w:val="singleLevel"/>
    <w:tmpl w:val="56645777"/>
    <w:lvl w:ilvl="0" w:tentative="0">
      <w:start w:val="1"/>
      <w:numFmt w:val="lowerLetter"/>
      <w:suff w:val="space"/>
      <w:lvlText w:val="%1）"/>
      <w:lvlJc w:val="left"/>
    </w:lvl>
  </w:abstractNum>
  <w:abstractNum w:abstractNumId="7">
    <w:nsid w:val="6BCA0B2C"/>
    <w:multiLevelType w:val="singleLevel"/>
    <w:tmpl w:val="6BCA0B2C"/>
    <w:lvl w:ilvl="0" w:tentative="0">
      <w:start w:val="1"/>
      <w:numFmt w:val="decimal"/>
      <w:suff w:val="nothing"/>
      <w:lvlText w:val="%1）"/>
      <w:lvlJc w:val="left"/>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735" w:firstLine="0"/>
      </w:pPr>
      <w:rPr>
        <w:rFonts w:hint="eastAsia" w:ascii="黑体" w:hAnsi="Times New Roman" w:eastAsia="黑体"/>
        <w:b w:val="0"/>
        <w:i w:val="0"/>
        <w:sz w:val="21"/>
      </w:rPr>
    </w:lvl>
    <w:lvl w:ilvl="3" w:tentative="0">
      <w:start w:val="1"/>
      <w:numFmt w:val="decimal"/>
      <w:pStyle w:val="22"/>
      <w:suff w:val="nothing"/>
      <w:lvlText w:val="%1%2.%3.%4　"/>
      <w:lvlJc w:val="left"/>
      <w:pPr>
        <w:ind w:left="1050" w:firstLine="0"/>
      </w:pPr>
      <w:rPr>
        <w:rFonts w:hint="eastAsia" w:ascii="黑体" w:hAnsi="Times New Roman" w:eastAsia="黑体"/>
        <w:b w:val="0"/>
        <w:i w:val="0"/>
        <w:sz w:val="21"/>
      </w:rPr>
    </w:lvl>
    <w:lvl w:ilvl="4" w:tentative="0">
      <w:start w:val="1"/>
      <w:numFmt w:val="decimal"/>
      <w:pStyle w:val="21"/>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7"/>
  </w:num>
  <w:num w:numId="3">
    <w:abstractNumId w:val="0"/>
  </w:num>
  <w:num w:numId="4">
    <w:abstractNumId w:val="2"/>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3a15d629-70f3-4a0f-8dda-f81f28716e56"/>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E73BC0"/>
    <w:rsid w:val="05F6270F"/>
    <w:rsid w:val="0605101B"/>
    <w:rsid w:val="061B4460"/>
    <w:rsid w:val="065A01DF"/>
    <w:rsid w:val="067B702D"/>
    <w:rsid w:val="06893122"/>
    <w:rsid w:val="06994A8D"/>
    <w:rsid w:val="06AA7E97"/>
    <w:rsid w:val="06ED612A"/>
    <w:rsid w:val="08767210"/>
    <w:rsid w:val="08851DD7"/>
    <w:rsid w:val="08C22483"/>
    <w:rsid w:val="08ED1EE8"/>
    <w:rsid w:val="09005957"/>
    <w:rsid w:val="096333C5"/>
    <w:rsid w:val="09933EF9"/>
    <w:rsid w:val="09AA0CA5"/>
    <w:rsid w:val="09D43B87"/>
    <w:rsid w:val="09FA6045"/>
    <w:rsid w:val="0A0F142E"/>
    <w:rsid w:val="0A1C56C1"/>
    <w:rsid w:val="0A904067"/>
    <w:rsid w:val="0ACA6ED2"/>
    <w:rsid w:val="0AEF4D8D"/>
    <w:rsid w:val="0B8C3FEE"/>
    <w:rsid w:val="0BE64DFF"/>
    <w:rsid w:val="0BF422B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A64372"/>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EF6843"/>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0E6103"/>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BA709B"/>
    <w:rsid w:val="33F07155"/>
    <w:rsid w:val="33F2372F"/>
    <w:rsid w:val="340C6245"/>
    <w:rsid w:val="34167371"/>
    <w:rsid w:val="343C4522"/>
    <w:rsid w:val="347A0336"/>
    <w:rsid w:val="34F92D63"/>
    <w:rsid w:val="34FA44D5"/>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941552"/>
    <w:rsid w:val="3BEE1D6F"/>
    <w:rsid w:val="3BF1473C"/>
    <w:rsid w:val="3CA475E5"/>
    <w:rsid w:val="3CA717F2"/>
    <w:rsid w:val="3CC56579"/>
    <w:rsid w:val="3DAB460B"/>
    <w:rsid w:val="3DAE633A"/>
    <w:rsid w:val="3DDA7DB2"/>
    <w:rsid w:val="3DF2719F"/>
    <w:rsid w:val="3E342793"/>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9B0822"/>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2D6794"/>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327BDD"/>
    <w:rsid w:val="5C4D2649"/>
    <w:rsid w:val="5C8D6CFF"/>
    <w:rsid w:val="5C966EB6"/>
    <w:rsid w:val="5CB9068F"/>
    <w:rsid w:val="5CD22C71"/>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1FF1449"/>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B322D9"/>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7CD01C2"/>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next w:val="1"/>
    <w:qFormat/>
    <w:uiPriority w:val="0"/>
    <w:pPr>
      <w:ind w:firstLine="420" w:firstLineChars="200"/>
      <w:jc w:val="both"/>
    </w:pPr>
    <w:rPr>
      <w:kern w:val="2"/>
      <w:sz w:val="21"/>
      <w:szCs w:val="20"/>
      <w:lang w:eastAsia="zh-CN"/>
    </w:rPr>
  </w:style>
  <w:style w:type="paragraph" w:styleId="5">
    <w:name w:val="Body Text"/>
    <w:basedOn w:val="1"/>
    <w:qFormat/>
    <w:uiPriority w:val="1"/>
    <w:pPr>
      <w:ind w:left="220"/>
    </w:pPr>
    <w:rPr>
      <w:rFonts w:ascii="宋体" w:hAnsi="宋体" w:eastAsia="宋体" w:cs="宋体"/>
      <w:sz w:val="24"/>
      <w:szCs w:val="24"/>
      <w:lang w:val="zh-CN" w:eastAsia="zh-CN" w:bidi="zh-CN"/>
    </w:rPr>
  </w:style>
  <w:style w:type="paragraph" w:styleId="6">
    <w:name w:val="Body Text Indent"/>
    <w:basedOn w:val="1"/>
    <w:qFormat/>
    <w:uiPriority w:val="0"/>
    <w:pPr>
      <w:ind w:left="420" w:firstLine="744"/>
    </w:pPr>
    <w:rPr>
      <w:rFonts w:ascii="宋体" w:hAnsi="宋体"/>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szCs w:val="20"/>
    </w:rPr>
  </w:style>
  <w:style w:type="paragraph" w:styleId="12">
    <w:name w:val="Body Text First Indent 2"/>
    <w:basedOn w:val="6"/>
    <w:unhideWhenUsed/>
    <w:qFormat/>
    <w:uiPriority w:val="99"/>
    <w:pPr>
      <w:tabs>
        <w:tab w:val="left" w:pos="540"/>
      </w:tabs>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9"/>
    <w:qFormat/>
    <w:uiPriority w:val="99"/>
    <w:rPr>
      <w:rFonts w:ascii="Times New Roman" w:hAnsi="Times New Roman" w:eastAsia="宋体" w:cs="Times New Roman"/>
      <w:sz w:val="18"/>
      <w:szCs w:val="18"/>
    </w:rPr>
  </w:style>
  <w:style w:type="character" w:customStyle="1" w:styleId="17">
    <w:name w:val="页脚 字符"/>
    <w:basedOn w:val="15"/>
    <w:link w:val="8"/>
    <w:qFormat/>
    <w:uiPriority w:val="99"/>
    <w:rPr>
      <w:rFonts w:ascii="Times New Roman" w:hAnsi="Times New Roman" w:eastAsia="宋体" w:cs="Times New Roman"/>
      <w:sz w:val="18"/>
      <w:szCs w:val="18"/>
    </w:rPr>
  </w:style>
  <w:style w:type="character" w:customStyle="1" w:styleId="18">
    <w:name w:val="批注框文本 字符"/>
    <w:basedOn w:val="15"/>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三级条标题"/>
    <w:basedOn w:val="22"/>
    <w:next w:val="24"/>
    <w:qFormat/>
    <w:uiPriority w:val="0"/>
    <w:pPr>
      <w:numPr>
        <w:ilvl w:val="4"/>
        <w:numId w:val="1"/>
      </w:numPr>
      <w:outlineLvl w:val="4"/>
    </w:pPr>
  </w:style>
  <w:style w:type="paragraph" w:customStyle="1" w:styleId="22">
    <w:name w:val="二级条标题"/>
    <w:basedOn w:val="23"/>
    <w:next w:val="24"/>
    <w:qFormat/>
    <w:uiPriority w:val="0"/>
    <w:pPr>
      <w:numPr>
        <w:ilvl w:val="3"/>
        <w:numId w:val="1"/>
      </w:numPr>
      <w:outlineLvl w:val="3"/>
    </w:pPr>
  </w:style>
  <w:style w:type="paragraph" w:customStyle="1" w:styleId="23">
    <w:name w:val="一级条标题"/>
    <w:next w:val="2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17422</Words>
  <Characters>18990</Characters>
  <Lines>79</Lines>
  <Paragraphs>22</Paragraphs>
  <TotalTime>6</TotalTime>
  <ScaleCrop>false</ScaleCrop>
  <LinksUpToDate>false</LinksUpToDate>
  <CharactersWithSpaces>20411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2023-02-18T08:12:01Z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11C484B161C942D78A603EAF5EE88846</vt:lpwstr>
  </property>
</Properties>
</file>