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潜油电泵胶囊中间接头</w:t>
      </w:r>
      <w:r>
        <w:rPr>
          <w:rFonts w:hint="eastAsia" w:ascii="宋体" w:hAnsi="宋体"/>
          <w:b/>
          <w:sz w:val="30"/>
          <w:szCs w:val="30"/>
        </w:rPr>
        <w:t>尺寸测量过程有效性确认记录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</w:rPr>
              <w:t>2021-01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潜油电泵胶囊中间接头</w:t>
            </w:r>
            <w:r>
              <w:rPr>
                <w:rFonts w:hint="eastAsia" w:ascii="宋体" w:hAnsi="宋体"/>
                <w:kern w:val="0"/>
                <w:sz w:val="20"/>
              </w:rPr>
              <w:t>尺寸测量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LHDB</w:t>
            </w:r>
            <w:r>
              <w:rPr>
                <w:rFonts w:hint="eastAsia" w:ascii="宋体" w:hAnsi="宋体"/>
                <w:kern w:val="0"/>
                <w:sz w:val="20"/>
              </w:rPr>
              <w:t>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量技术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检测尺寸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测量设备：（0-150）mm游标卡尺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测量方法：游标卡尺测量采用直接接触法，将被测工件表面机械加工到图纸规定尺寸，表面粗糙度达到规定标准后，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将游标卡尺置于被测工件表面上，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按照游标卡尺操作规程要求进行外径测量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，游标卡尺显示被测量数据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用重复测量法对下连接套测量过程进行有效性确认：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/>
                <w:kern w:val="0"/>
                <w:sz w:val="20"/>
              </w:rPr>
              <w:t>（0-150）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游标卡尺进行复现性检测，对长度48.00mm的量块组进行检测，取三次测量的平均值为48.02mm</w:t>
            </w:r>
          </w:p>
          <w:p>
            <w:pPr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游标卡尺的扩展不确定度U为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E=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>
                <v:shape id="_x0000_i1025" o:spt="75" type="#_x0000_t75" style="height:35.15pt;width:41.4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=0.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1≤1</w:t>
            </w:r>
          </w:p>
          <w:p>
            <w:pPr>
              <w:ind w:firstLine="800" w:firstLineChars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当E≤1时, 测量过程有效。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/>
                <w:szCs w:val="22"/>
                <w:lang w:val="en-US" w:eastAsia="zh-CN"/>
              </w:rPr>
              <w:t>周宁宁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47700" cy="260350"/>
                  <wp:effectExtent l="0" t="0" r="0" b="6350"/>
                  <wp:docPr id="31" name="图片 31" descr="ab912cfe938f75d8ee9fb37410a98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ab912cfe938f75d8ee9fb37410a98f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4158" t="60061" r="60793" b="32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日期：202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.2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5BF4"/>
    <w:rsid w:val="000B6AAC"/>
    <w:rsid w:val="000E4EDC"/>
    <w:rsid w:val="00141AAE"/>
    <w:rsid w:val="00155CCF"/>
    <w:rsid w:val="00164E9B"/>
    <w:rsid w:val="00171F23"/>
    <w:rsid w:val="00174A3A"/>
    <w:rsid w:val="00181538"/>
    <w:rsid w:val="001C6D48"/>
    <w:rsid w:val="002803EE"/>
    <w:rsid w:val="002F2552"/>
    <w:rsid w:val="00300752"/>
    <w:rsid w:val="00320068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6F593F"/>
    <w:rsid w:val="007039D5"/>
    <w:rsid w:val="00736F8E"/>
    <w:rsid w:val="00741D08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3B2D"/>
    <w:rsid w:val="00A166DA"/>
    <w:rsid w:val="00A347F0"/>
    <w:rsid w:val="00A44560"/>
    <w:rsid w:val="00A67C41"/>
    <w:rsid w:val="00A7552B"/>
    <w:rsid w:val="00A921C5"/>
    <w:rsid w:val="00AF12AF"/>
    <w:rsid w:val="00B42A3A"/>
    <w:rsid w:val="00B56BFF"/>
    <w:rsid w:val="00B65ABC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5626512"/>
    <w:rsid w:val="06E50764"/>
    <w:rsid w:val="08895713"/>
    <w:rsid w:val="0A5C58D6"/>
    <w:rsid w:val="18501CF9"/>
    <w:rsid w:val="23514B96"/>
    <w:rsid w:val="31F45C36"/>
    <w:rsid w:val="384B6E38"/>
    <w:rsid w:val="3BDD3C1C"/>
    <w:rsid w:val="3CD145E8"/>
    <w:rsid w:val="42B508C5"/>
    <w:rsid w:val="432D4547"/>
    <w:rsid w:val="465305B9"/>
    <w:rsid w:val="49EF72A3"/>
    <w:rsid w:val="4C716AE0"/>
    <w:rsid w:val="4CDD5015"/>
    <w:rsid w:val="520E59D4"/>
    <w:rsid w:val="532802BA"/>
    <w:rsid w:val="54483FDB"/>
    <w:rsid w:val="590A069F"/>
    <w:rsid w:val="5D4F7C8B"/>
    <w:rsid w:val="5DB330BC"/>
    <w:rsid w:val="5ED61B50"/>
    <w:rsid w:val="5FA05DB4"/>
    <w:rsid w:val="65C26927"/>
    <w:rsid w:val="6E586E2A"/>
    <w:rsid w:val="72F8233F"/>
    <w:rsid w:val="74935054"/>
    <w:rsid w:val="7A2306FF"/>
    <w:rsid w:val="7A6409BB"/>
    <w:rsid w:val="7D3258D7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401</Words>
  <Characters>457</Characters>
  <Lines>4</Lines>
  <Paragraphs>1</Paragraphs>
  <TotalTime>8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yingjie</cp:lastModifiedBy>
  <cp:lastPrinted>2017-05-16T07:28:00Z</cp:lastPrinted>
  <dcterms:modified xsi:type="dcterms:W3CDTF">2023-02-13T01:09:16Z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B783A709F2D84B47A8E5093237E1ED05</vt:lpwstr>
  </property>
</Properties>
</file>