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5"/>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58"/>
        <w:gridCol w:w="10596"/>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160" w:type="dxa"/>
            <w:vMerge w:val="restart"/>
            <w:vAlign w:val="top"/>
          </w:tcPr>
          <w:p>
            <w:pPr>
              <w:spacing w:before="120"/>
              <w:jc w:val="both"/>
              <w:rPr>
                <w:sz w:val="24"/>
                <w:szCs w:val="24"/>
              </w:rPr>
            </w:pPr>
            <w:r>
              <w:rPr>
                <w:rFonts w:hint="eastAsia"/>
                <w:sz w:val="24"/>
                <w:szCs w:val="24"/>
              </w:rPr>
              <w:t>过程与活动、</w:t>
            </w:r>
          </w:p>
          <w:p>
            <w:pPr>
              <w:jc w:val="both"/>
            </w:pPr>
            <w:r>
              <w:rPr>
                <w:rFonts w:hint="eastAsia"/>
                <w:sz w:val="24"/>
                <w:szCs w:val="24"/>
              </w:rPr>
              <w:t>抽样计划</w:t>
            </w:r>
          </w:p>
        </w:tc>
        <w:tc>
          <w:tcPr>
            <w:tcW w:w="1058" w:type="dxa"/>
            <w:vMerge w:val="restart"/>
            <w:vAlign w:val="top"/>
          </w:tcPr>
          <w:p>
            <w:pPr>
              <w:jc w:val="both"/>
              <w:rPr>
                <w:sz w:val="24"/>
                <w:szCs w:val="24"/>
              </w:rPr>
            </w:pPr>
            <w:r>
              <w:rPr>
                <w:rFonts w:hint="eastAsia"/>
                <w:sz w:val="24"/>
                <w:szCs w:val="24"/>
              </w:rPr>
              <w:t>涉及</w:t>
            </w:r>
          </w:p>
          <w:p>
            <w:pPr>
              <w:jc w:val="both"/>
            </w:pPr>
            <w:r>
              <w:rPr>
                <w:rFonts w:hint="eastAsia"/>
                <w:sz w:val="24"/>
                <w:szCs w:val="24"/>
              </w:rPr>
              <w:t>条款</w:t>
            </w:r>
          </w:p>
        </w:tc>
        <w:tc>
          <w:tcPr>
            <w:tcW w:w="10596" w:type="dxa"/>
            <w:vAlign w:val="top"/>
          </w:tcPr>
          <w:p>
            <w:pPr>
              <w:jc w:val="both"/>
              <w:rPr>
                <w:rFonts w:hint="default" w:eastAsia="宋体"/>
                <w:sz w:val="24"/>
                <w:szCs w:val="24"/>
                <w:lang w:val="en-US" w:eastAsia="zh-CN"/>
              </w:rPr>
            </w:pPr>
            <w:r>
              <w:rPr>
                <w:rFonts w:hint="eastAsia"/>
                <w:sz w:val="24"/>
                <w:szCs w:val="24"/>
              </w:rPr>
              <w:t>受审核部门：</w:t>
            </w:r>
            <w:r>
              <w:rPr>
                <w:rFonts w:hint="eastAsia"/>
                <w:sz w:val="24"/>
                <w:szCs w:val="24"/>
                <w:lang w:eastAsia="zh-CN"/>
              </w:rPr>
              <w:t>办公室</w:t>
            </w:r>
            <w:r>
              <w:rPr>
                <w:rFonts w:hint="eastAsia"/>
                <w:sz w:val="24"/>
                <w:szCs w:val="24"/>
                <w:lang w:val="en-US" w:eastAsia="zh-CN"/>
              </w:rPr>
              <w:t xml:space="preserve">  </w:t>
            </w:r>
            <w:r>
              <w:rPr>
                <w:rFonts w:hint="eastAsia"/>
                <w:sz w:val="24"/>
                <w:szCs w:val="24"/>
              </w:rPr>
              <w:t xml:space="preserve">   </w:t>
            </w:r>
            <w:r>
              <w:rPr>
                <w:rFonts w:hint="eastAsia"/>
                <w:sz w:val="24"/>
                <w:szCs w:val="24"/>
                <w:highlight w:val="none"/>
              </w:rPr>
              <w:t>主管领导：</w:t>
            </w:r>
            <w:r>
              <w:rPr>
                <w:rFonts w:hint="eastAsia"/>
                <w:sz w:val="24"/>
                <w:szCs w:val="24"/>
                <w:highlight w:val="none"/>
                <w:lang w:val="en-US" w:eastAsia="zh-CN"/>
              </w:rPr>
              <w:t>陈丽丽</w:t>
            </w:r>
            <w:r>
              <w:rPr>
                <w:rFonts w:hint="eastAsia"/>
                <w:sz w:val="24"/>
                <w:szCs w:val="24"/>
                <w:highlight w:val="none"/>
              </w:rPr>
              <w:t xml:space="preserve"> </w:t>
            </w:r>
            <w:r>
              <w:rPr>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陪同人员：贾明顺</w:t>
            </w:r>
          </w:p>
        </w:tc>
        <w:tc>
          <w:tcPr>
            <w:tcW w:w="895" w:type="dxa"/>
            <w:vMerge w:val="restart"/>
            <w:vAlign w:val="top"/>
          </w:tcPr>
          <w:p>
            <w:pPr>
              <w:jc w:val="both"/>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160" w:type="dxa"/>
            <w:vMerge w:val="continue"/>
            <w:vAlign w:val="top"/>
          </w:tcPr>
          <w:p>
            <w:pPr>
              <w:jc w:val="both"/>
            </w:pPr>
          </w:p>
        </w:tc>
        <w:tc>
          <w:tcPr>
            <w:tcW w:w="1058" w:type="dxa"/>
            <w:vMerge w:val="continue"/>
            <w:vAlign w:val="top"/>
          </w:tcPr>
          <w:p>
            <w:pPr>
              <w:jc w:val="both"/>
            </w:pPr>
          </w:p>
        </w:tc>
        <w:tc>
          <w:tcPr>
            <w:tcW w:w="10596" w:type="dxa"/>
            <w:vAlign w:val="top"/>
          </w:tcPr>
          <w:p>
            <w:pPr>
              <w:jc w:val="both"/>
              <w:rPr>
                <w:sz w:val="24"/>
                <w:szCs w:val="24"/>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 赵丽萍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3.2.13</w:t>
            </w:r>
          </w:p>
        </w:tc>
        <w:tc>
          <w:tcPr>
            <w:tcW w:w="895" w:type="dxa"/>
            <w:vMerge w:val="continue"/>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0" w:type="dxa"/>
            <w:vMerge w:val="continue"/>
            <w:vAlign w:val="top"/>
          </w:tcPr>
          <w:p>
            <w:pPr>
              <w:jc w:val="both"/>
            </w:pPr>
          </w:p>
        </w:tc>
        <w:tc>
          <w:tcPr>
            <w:tcW w:w="1058" w:type="dxa"/>
            <w:vMerge w:val="continue"/>
            <w:vAlign w:val="top"/>
          </w:tcPr>
          <w:p>
            <w:pPr>
              <w:jc w:val="both"/>
            </w:pPr>
          </w:p>
        </w:tc>
        <w:tc>
          <w:tcPr>
            <w:tcW w:w="10596" w:type="dxa"/>
            <w:vAlign w:val="top"/>
          </w:tcPr>
          <w:p>
            <w:pPr>
              <w:spacing w:line="300" w:lineRule="exact"/>
              <w:jc w:val="both"/>
              <w:rPr>
                <w:rFonts w:hint="eastAsia"/>
                <w:sz w:val="21"/>
                <w:szCs w:val="21"/>
              </w:rPr>
            </w:pPr>
            <w:r>
              <w:rPr>
                <w:rFonts w:hint="eastAsia"/>
              </w:rPr>
              <w:t>审核条款：</w:t>
            </w:r>
          </w:p>
          <w:p>
            <w:pPr>
              <w:spacing w:line="300" w:lineRule="exact"/>
              <w:rPr>
                <w:sz w:val="21"/>
                <w:szCs w:val="21"/>
              </w:rPr>
            </w:pPr>
            <w:r>
              <w:rPr>
                <w:rFonts w:hint="eastAsia" w:cs="Arial"/>
                <w:sz w:val="21"/>
                <w:szCs w:val="21"/>
              </w:rPr>
              <w:t>QMS:</w:t>
            </w:r>
            <w:r>
              <w:rPr>
                <w:rFonts w:hint="eastAsia"/>
                <w:bCs/>
                <w:spacing w:val="10"/>
                <w:sz w:val="21"/>
                <w:szCs w:val="21"/>
              </w:rPr>
              <w:t>5.3，6.2、</w:t>
            </w:r>
            <w:r>
              <w:rPr>
                <w:rFonts w:hint="eastAsia" w:cs="Arial"/>
                <w:sz w:val="21"/>
                <w:szCs w:val="21"/>
              </w:rPr>
              <w:t>7.1.2，</w:t>
            </w:r>
            <w:r>
              <w:rPr>
                <w:rFonts w:hint="eastAsia"/>
                <w:sz w:val="21"/>
                <w:szCs w:val="21"/>
              </w:rPr>
              <w:t>7.1.6、7.2、7.3，7.4，7.5，8.4</w:t>
            </w:r>
            <w:r>
              <w:rPr>
                <w:rFonts w:hint="eastAsia"/>
                <w:sz w:val="21"/>
                <w:szCs w:val="21"/>
                <w:lang w:eastAsia="zh-CN"/>
              </w:rPr>
              <w:t>，</w:t>
            </w:r>
            <w:r>
              <w:rPr>
                <w:rFonts w:hint="eastAsia"/>
                <w:sz w:val="21"/>
                <w:szCs w:val="21"/>
              </w:rPr>
              <w:t>9.2，</w:t>
            </w:r>
            <w:r>
              <w:rPr>
                <w:sz w:val="21"/>
                <w:szCs w:val="21"/>
              </w:rPr>
              <w:t xml:space="preserve"> </w:t>
            </w:r>
          </w:p>
          <w:p>
            <w:pPr>
              <w:spacing w:line="300" w:lineRule="exact"/>
            </w:pPr>
            <w:r>
              <w:rPr>
                <w:rFonts w:hint="eastAsia" w:cs="Arial"/>
                <w:sz w:val="21"/>
                <w:szCs w:val="21"/>
              </w:rPr>
              <w:t>EMS:5.3，6.2，7.2，7.3，7.4 、7.5，9.2</w:t>
            </w:r>
            <w:r>
              <w:rPr>
                <w:rFonts w:hint="eastAsia"/>
                <w:sz w:val="21"/>
                <w:szCs w:val="21"/>
              </w:rPr>
              <w:t>，10.2</w:t>
            </w:r>
            <w:r>
              <w:rPr>
                <w:rFonts w:hint="eastAsia" w:cs="Arial"/>
                <w:sz w:val="21"/>
                <w:szCs w:val="21"/>
              </w:rPr>
              <w:t>，</w:t>
            </w:r>
          </w:p>
          <w:p>
            <w:pPr>
              <w:pStyle w:val="12"/>
              <w:bidi w:val="0"/>
              <w:ind w:left="0" w:leftChars="0" w:firstLine="0" w:firstLineChars="0"/>
              <w:jc w:val="both"/>
            </w:pPr>
            <w:r>
              <w:rPr>
                <w:rFonts w:hint="eastAsia"/>
                <w:sz w:val="21"/>
                <w:szCs w:val="21"/>
              </w:rPr>
              <w:t>OHS：</w:t>
            </w:r>
            <w:r>
              <w:rPr>
                <w:rFonts w:hint="eastAsia" w:cs="Arial"/>
                <w:sz w:val="21"/>
                <w:szCs w:val="21"/>
              </w:rPr>
              <w:t>5.3，6.2，7.2，7.3，7.4，7.5，9.2</w:t>
            </w:r>
            <w:r>
              <w:rPr>
                <w:rFonts w:hint="eastAsia"/>
                <w:sz w:val="21"/>
                <w:szCs w:val="21"/>
              </w:rPr>
              <w:t>，10.2</w:t>
            </w:r>
            <w:r>
              <w:rPr>
                <w:rFonts w:hint="eastAsia" w:cs="Arial"/>
                <w:sz w:val="21"/>
                <w:szCs w:val="21"/>
              </w:rPr>
              <w:t>，</w:t>
            </w:r>
          </w:p>
        </w:tc>
        <w:tc>
          <w:tcPr>
            <w:tcW w:w="895" w:type="dxa"/>
            <w:vMerge w:val="continue"/>
            <w:vAlign w:val="top"/>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160" w:type="dxa"/>
            <w:vAlign w:val="top"/>
          </w:tcPr>
          <w:p>
            <w:pPr>
              <w:jc w:val="both"/>
            </w:pPr>
            <w:r>
              <w:rPr>
                <w:rFonts w:hint="eastAsia"/>
                <w:szCs w:val="21"/>
              </w:rPr>
              <w:t>组织的岗位、职责权限</w:t>
            </w:r>
          </w:p>
        </w:tc>
        <w:tc>
          <w:tcPr>
            <w:tcW w:w="1058" w:type="dxa"/>
            <w:vAlign w:val="top"/>
          </w:tcPr>
          <w:p>
            <w:pPr>
              <w:jc w:val="both"/>
              <w:rPr>
                <w:szCs w:val="21"/>
              </w:rPr>
            </w:pPr>
            <w:r>
              <w:rPr>
                <w:rFonts w:hint="eastAsia"/>
                <w:szCs w:val="21"/>
              </w:rPr>
              <w:t>QEO5.3</w:t>
            </w:r>
          </w:p>
          <w:p>
            <w:pPr>
              <w:pStyle w:val="2"/>
              <w:jc w:val="both"/>
            </w:pPr>
          </w:p>
        </w:tc>
        <w:tc>
          <w:tcPr>
            <w:tcW w:w="10596" w:type="dxa"/>
            <w:vAlign w:val="top"/>
          </w:tcPr>
          <w:p>
            <w:pPr>
              <w:keepNext w:val="0"/>
              <w:keepLines w:val="0"/>
              <w:pageBreakBefore w:val="0"/>
              <w:kinsoku/>
              <w:wordWrap/>
              <w:overflowPunct/>
              <w:topLinePunct w:val="0"/>
              <w:autoSpaceDE/>
              <w:autoSpaceDN/>
              <w:bidi w:val="0"/>
              <w:adjustRightInd/>
              <w:snapToGrid/>
              <w:spacing w:line="240" w:lineRule="auto"/>
              <w:ind w:firstLine="420" w:firstLineChars="200"/>
              <w:jc w:val="both"/>
              <w:rPr>
                <w:rFonts w:hint="eastAsia" w:eastAsia="宋体"/>
                <w:sz w:val="21"/>
                <w:szCs w:val="21"/>
                <w:lang w:eastAsia="zh-CN"/>
              </w:rPr>
            </w:pPr>
            <w:r>
              <w:rPr>
                <w:rFonts w:hint="eastAsia" w:asciiTheme="minorEastAsia" w:hAnsiTheme="minorEastAsia" w:eastAsiaTheme="minorEastAsia" w:cstheme="minorEastAsia"/>
                <w:sz w:val="21"/>
                <w:szCs w:val="21"/>
                <w:lang w:val="en-US" w:eastAsia="zh-CN"/>
              </w:rPr>
              <w:t>通过与负责人沟通了解到,本部门主要职责：</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—协助做好公司管理体系建立、实施、保持工作；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—协助做好公司的环境因素/危险源的识别、评价、更新及涉及本部门的重要环境因素/重大危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险源的运行控制；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—负责公司管理体系内外部交流，并做好抱怨处理； </w:t>
            </w:r>
            <w:bookmarkStart w:id="0" w:name="_GoBack"/>
            <w:bookmarkEnd w:id="0"/>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—负责环保法律、法规及有关标准的获取、评价、确认及更新，并对适用于公司的环境法律、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法规及其他要求进行合规性评价；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—组织做好内审和管理评审工作；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—负责劳保用品的采购、发放、职业病预防和职工健康档案建立；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—负责人员招聘、对关键岗位人员的能力进行评定，确定培训需求，制定、落实年度质量，环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境／安全的培训计划，并对培训情况进行效果验证检查；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—负责公司体系文件的管理工作；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—负责本部门运行过程中风险和机遇的识别及控制措施的建立与实施，并对其有效性进行评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价；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—负责编制收集组织管理体系要求形成的文件化信息。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—汇总全公司各项费用支出，为领导决策提供数据依据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—负责应对财务方面的风险和机遇。 </w:t>
            </w:r>
          </w:p>
          <w:p>
            <w:pPr>
              <w:keepNext w:val="0"/>
              <w:keepLines w:val="0"/>
              <w:widowControl/>
              <w:suppressLineNumbers w:val="0"/>
              <w:jc w:val="left"/>
              <w:rPr>
                <w:rFonts w:hint="eastAsia"/>
                <w:sz w:val="21"/>
                <w:szCs w:val="21"/>
              </w:rPr>
            </w:pPr>
            <w:r>
              <w:rPr>
                <w:rFonts w:hint="eastAsia" w:ascii="宋体" w:hAnsi="宋体" w:eastAsia="宋体" w:cs="宋体"/>
                <w:color w:val="000000"/>
                <w:kern w:val="0"/>
                <w:sz w:val="21"/>
                <w:szCs w:val="21"/>
                <w:lang w:val="en-US" w:eastAsia="zh-CN" w:bidi="ar"/>
              </w:rPr>
              <w:t>—负责本部门环境因素和危险源识别与评价，参与重要环境因素和重大危险源的评价；负责本部门重要环境因素和重大危险源管理方案实施。</w:t>
            </w:r>
          </w:p>
          <w:p>
            <w:pPr>
              <w:keepNext w:val="0"/>
              <w:keepLines w:val="0"/>
              <w:pageBreakBefore w:val="0"/>
              <w:kinsoku/>
              <w:wordWrap/>
              <w:overflowPunct/>
              <w:topLinePunct w:val="0"/>
              <w:autoSpaceDE/>
              <w:autoSpaceDN/>
              <w:bidi w:val="0"/>
              <w:adjustRightInd/>
              <w:snapToGrid/>
              <w:spacing w:line="240" w:lineRule="auto"/>
              <w:ind w:firstLine="630" w:firstLineChars="300"/>
              <w:jc w:val="both"/>
              <w:rPr>
                <w:sz w:val="21"/>
                <w:szCs w:val="21"/>
              </w:rPr>
            </w:pPr>
            <w:r>
              <w:rPr>
                <w:rFonts w:hint="eastAsia"/>
                <w:sz w:val="21"/>
                <w:szCs w:val="21"/>
              </w:rPr>
              <w:t>询问</w:t>
            </w:r>
            <w:r>
              <w:rPr>
                <w:rFonts w:hint="eastAsia"/>
                <w:sz w:val="21"/>
                <w:szCs w:val="21"/>
                <w:lang w:eastAsia="zh-CN"/>
              </w:rPr>
              <w:t>办公室</w:t>
            </w:r>
            <w:r>
              <w:rPr>
                <w:rFonts w:hint="eastAsia"/>
                <w:sz w:val="21"/>
                <w:szCs w:val="21"/>
              </w:rPr>
              <w:t>负责人</w:t>
            </w:r>
            <w:r>
              <w:rPr>
                <w:rFonts w:hint="eastAsia"/>
                <w:sz w:val="21"/>
                <w:szCs w:val="21"/>
                <w:lang w:eastAsia="zh-CN"/>
              </w:rPr>
              <w:t>陈丽丽</w:t>
            </w:r>
            <w:r>
              <w:rPr>
                <w:rFonts w:hint="eastAsia"/>
                <w:sz w:val="21"/>
                <w:szCs w:val="21"/>
              </w:rPr>
              <w:t>，职责明确。</w:t>
            </w:r>
          </w:p>
        </w:tc>
        <w:tc>
          <w:tcPr>
            <w:tcW w:w="895" w:type="dxa"/>
            <w:vAlign w:val="top"/>
          </w:tcPr>
          <w:p>
            <w:pPr>
              <w:jc w:val="both"/>
              <w:rPr>
                <w:rFonts w:hint="default" w:eastAsia="宋体"/>
                <w:lang w:val="en-US" w:eastAsia="zh-CN"/>
              </w:rPr>
            </w:pPr>
            <w:r>
              <w:rPr>
                <w:rFonts w:hint="eastAsia"/>
                <w:lang w:val="en-US" w:eastAsia="zh-CN"/>
              </w:rPr>
              <w:t xml:space="preserve">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60" w:type="dxa"/>
            <w:vAlign w:val="top"/>
          </w:tcPr>
          <w:p>
            <w:pPr>
              <w:spacing w:line="2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管理目标及其实现的策划</w:t>
            </w:r>
          </w:p>
          <w:p>
            <w:pPr>
              <w:spacing w:line="280" w:lineRule="exact"/>
              <w:rPr>
                <w:rFonts w:hint="eastAsia" w:asciiTheme="minorEastAsia" w:hAnsiTheme="minorEastAsia" w:eastAsiaTheme="minorEastAsia" w:cstheme="minorEastAsia"/>
                <w:kern w:val="2"/>
                <w:sz w:val="24"/>
                <w:szCs w:val="24"/>
                <w:lang w:val="en-US" w:eastAsia="zh-CN" w:bidi="ar-SA"/>
              </w:rPr>
            </w:pPr>
          </w:p>
        </w:tc>
        <w:tc>
          <w:tcPr>
            <w:tcW w:w="1058" w:type="dxa"/>
            <w:vAlign w:val="top"/>
          </w:tcPr>
          <w:p>
            <w:pPr>
              <w:spacing w:line="2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QEO6.2</w:t>
            </w:r>
          </w:p>
          <w:p>
            <w:pPr>
              <w:spacing w:line="280" w:lineRule="exact"/>
              <w:rPr>
                <w:rFonts w:hint="eastAsia" w:asciiTheme="minorEastAsia" w:hAnsiTheme="minorEastAsia" w:eastAsiaTheme="minorEastAsia" w:cstheme="minorEastAsia"/>
                <w:kern w:val="2"/>
                <w:sz w:val="24"/>
                <w:szCs w:val="24"/>
                <w:lang w:val="en-US" w:eastAsia="zh-CN" w:bidi="ar-SA"/>
              </w:rPr>
            </w:pPr>
          </w:p>
        </w:tc>
        <w:tc>
          <w:tcPr>
            <w:tcW w:w="10596"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分解到本部门</w:t>
            </w:r>
            <w:r>
              <w:rPr>
                <w:rFonts w:hint="eastAsia" w:asciiTheme="minorEastAsia" w:hAnsiTheme="minorEastAsia" w:eastAsiaTheme="minorEastAsia" w:cstheme="minorEastAsia"/>
                <w:sz w:val="21"/>
                <w:szCs w:val="21"/>
              </w:rPr>
              <w:t>目标为：</w:t>
            </w:r>
          </w:p>
          <w:p>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质量目标： </w:t>
            </w:r>
          </w:p>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1)培训计划完成率100%（培训实际次数/培训计划数×100%）</w:t>
            </w:r>
          </w:p>
          <w:p>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环境目标： </w:t>
            </w:r>
          </w:p>
          <w:p>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1）火灾发生为零； </w:t>
            </w:r>
          </w:p>
          <w:p>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2）固体废弃物分类收集合规处置率100%； </w:t>
            </w:r>
          </w:p>
          <w:p>
            <w:pPr>
              <w:keepNext w:val="0"/>
              <w:keepLines w:val="0"/>
              <w:widowControl/>
              <w:suppressLineNumbers w:val="0"/>
              <w:jc w:val="left"/>
              <w:rPr>
                <w:b w:val="0"/>
                <w:bCs w:val="0"/>
                <w:color w:val="auto"/>
                <w:sz w:val="21"/>
                <w:szCs w:val="21"/>
              </w:rPr>
            </w:pPr>
            <w:r>
              <w:rPr>
                <w:rFonts w:hint="eastAsia" w:ascii="宋体" w:hAnsi="宋体" w:eastAsia="宋体" w:cs="宋体"/>
                <w:b w:val="0"/>
                <w:bCs w:val="0"/>
                <w:color w:val="auto"/>
                <w:kern w:val="0"/>
                <w:sz w:val="21"/>
                <w:szCs w:val="21"/>
                <w:lang w:val="en-US" w:eastAsia="zh-CN" w:bidi="ar"/>
              </w:rPr>
              <w:t xml:space="preserve">职业健康安全目标： </w:t>
            </w:r>
          </w:p>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 xml:space="preserve">1)火灾发生为零； </w:t>
            </w:r>
          </w:p>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2)意外伤害事故发生次数为0。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公司的目标已分解到相关职能</w:t>
            </w:r>
            <w:r>
              <w:rPr>
                <w:rFonts w:hint="eastAsia" w:asciiTheme="minorEastAsia" w:hAnsiTheme="minorEastAsia" w:eastAsiaTheme="minorEastAsia" w:cstheme="minorEastAsia"/>
                <w:color w:val="auto"/>
                <w:sz w:val="21"/>
                <w:szCs w:val="21"/>
              </w:rPr>
              <w:t>部门，规定了计算方法及统计周期，</w:t>
            </w:r>
            <w:r>
              <w:rPr>
                <w:rFonts w:hint="eastAsia" w:asciiTheme="minorEastAsia" w:hAnsiTheme="minorEastAsia" w:eastAsiaTheme="minorEastAsia" w:cstheme="minorEastAsia"/>
                <w:color w:val="auto"/>
                <w:sz w:val="21"/>
                <w:szCs w:val="21"/>
                <w:lang w:val="en-US" w:eastAsia="zh-CN"/>
              </w:rPr>
              <w:t>查看</w:t>
            </w:r>
            <w:r>
              <w:rPr>
                <w:rFonts w:hint="eastAsia" w:asciiTheme="minorEastAsia" w:hAnsiTheme="minorEastAsia" w:eastAsiaTheme="minorEastAsia" w:cstheme="minorEastAsia"/>
                <w:color w:val="auto"/>
                <w:sz w:val="21"/>
                <w:szCs w:val="21"/>
              </w:rPr>
              <w:t>202</w:t>
            </w:r>
            <w:r>
              <w:rPr>
                <w:rFonts w:hint="eastAsia" w:asciiTheme="minorEastAsia" w:hAnsiTheme="minorEastAsia" w:eastAsiaTheme="minorEastAsia" w:cstheme="minorEastAsia"/>
                <w:color w:val="auto"/>
                <w:sz w:val="21"/>
                <w:szCs w:val="21"/>
                <w:lang w:val="en-US" w:eastAsia="zh-CN"/>
              </w:rPr>
              <w:t>2年12月</w:t>
            </w:r>
            <w:r>
              <w:rPr>
                <w:rFonts w:hint="eastAsia" w:asciiTheme="minorEastAsia" w:hAnsiTheme="minorEastAsia" w:eastAsiaTheme="minorEastAsia" w:cstheme="minorEastAsia"/>
                <w:color w:val="auto"/>
                <w:sz w:val="21"/>
                <w:szCs w:val="21"/>
              </w:rPr>
              <w:t>目标</w:t>
            </w:r>
            <w:r>
              <w:rPr>
                <w:rFonts w:hint="eastAsia" w:asciiTheme="minorEastAsia" w:hAnsiTheme="minorEastAsia" w:eastAsiaTheme="minorEastAsia" w:cstheme="minorEastAsia"/>
                <w:color w:val="auto"/>
                <w:sz w:val="21"/>
                <w:szCs w:val="21"/>
                <w:lang w:val="en-US" w:eastAsia="zh-CN"/>
              </w:rPr>
              <w:t>完成情况统考，</w:t>
            </w:r>
            <w:r>
              <w:rPr>
                <w:rFonts w:hint="eastAsia" w:asciiTheme="minorEastAsia" w:hAnsiTheme="minorEastAsia" w:eastAsiaTheme="minorEastAsia" w:cstheme="minorEastAsia"/>
                <w:color w:val="auto"/>
                <w:sz w:val="21"/>
                <w:szCs w:val="21"/>
              </w:rPr>
              <w:t>均符合指标要求。</w:t>
            </w:r>
          </w:p>
        </w:tc>
        <w:tc>
          <w:tcPr>
            <w:tcW w:w="895" w:type="dxa"/>
            <w:vAlign w:val="top"/>
          </w:tcPr>
          <w:p>
            <w:pPr>
              <w:jc w:val="both"/>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人员</w:t>
            </w:r>
          </w:p>
        </w:tc>
        <w:tc>
          <w:tcPr>
            <w:tcW w:w="1058"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Q7.1.2</w:t>
            </w:r>
          </w:p>
        </w:tc>
        <w:tc>
          <w:tcPr>
            <w:tcW w:w="10596" w:type="dxa"/>
            <w:vAlign w:val="top"/>
          </w:tcPr>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企业配置了适宜的人员：如</w:t>
            </w:r>
            <w:r>
              <w:rPr>
                <w:rFonts w:hint="eastAsia" w:asciiTheme="minorEastAsia" w:hAnsiTheme="minorEastAsia" w:eastAsiaTheme="minorEastAsia" w:cstheme="minorEastAsia"/>
                <w:sz w:val="21"/>
                <w:szCs w:val="21"/>
                <w:lang w:eastAsia="zh-CN"/>
              </w:rPr>
              <w:t>办公室</w:t>
            </w:r>
            <w:r>
              <w:rPr>
                <w:rFonts w:hint="eastAsia" w:asciiTheme="minorEastAsia" w:hAnsiTheme="minorEastAsia" w:eastAsiaTheme="minorEastAsia" w:cstheme="minorEastAsia"/>
                <w:sz w:val="21"/>
                <w:szCs w:val="21"/>
              </w:rPr>
              <w:t>人员、管理人员、</w:t>
            </w:r>
            <w:r>
              <w:rPr>
                <w:rFonts w:hint="eastAsia" w:asciiTheme="minorEastAsia" w:hAnsiTheme="minorEastAsia" w:eastAsiaTheme="minorEastAsia" w:cstheme="minorEastAsia"/>
                <w:sz w:val="21"/>
                <w:szCs w:val="21"/>
                <w:lang w:val="en-US" w:eastAsia="zh-CN"/>
              </w:rPr>
              <w:t>技术人员</w:t>
            </w:r>
            <w:r>
              <w:rPr>
                <w:rFonts w:hint="eastAsia" w:asciiTheme="minorEastAsia" w:hAnsiTheme="minorEastAsia" w:eastAsiaTheme="minorEastAsia" w:cstheme="minorEastAsia"/>
                <w:sz w:val="21"/>
                <w:szCs w:val="21"/>
              </w:rPr>
              <w:t>等；人员配置基本满足日常管理体系运行要求；现场确认该企业未涉及到特殊作业，以及特种作业人员。</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编制了《</w:t>
            </w:r>
            <w:r>
              <w:rPr>
                <w:rFonts w:hint="eastAsia" w:asciiTheme="minorEastAsia" w:hAnsiTheme="minorEastAsia" w:eastAsiaTheme="minorEastAsia" w:cstheme="minorEastAsia"/>
                <w:color w:val="auto"/>
                <w:sz w:val="21"/>
                <w:szCs w:val="21"/>
                <w:lang w:eastAsia="zh-CN"/>
              </w:rPr>
              <w:t>岗位职责与任职要求</w:t>
            </w:r>
            <w:r>
              <w:rPr>
                <w:rFonts w:hint="eastAsia" w:asciiTheme="minorEastAsia" w:hAnsiTheme="minorEastAsia" w:eastAsiaTheme="minorEastAsia" w:cstheme="minorEastAsia"/>
                <w:sz w:val="21"/>
                <w:szCs w:val="21"/>
              </w:rPr>
              <w:t>》，对总经理、管代、各部门负责人等岗位规定了年龄、学历、工作经历、工作能力、培训等方面的任职要求及岗位职责。</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查</w:t>
            </w:r>
            <w:r>
              <w:rPr>
                <w:rFonts w:hint="eastAsia" w:asciiTheme="minorEastAsia" w:hAnsiTheme="minorEastAsia" w:eastAsiaTheme="minorEastAsia" w:cstheme="minorEastAsia"/>
                <w:color w:val="auto"/>
                <w:sz w:val="21"/>
                <w:szCs w:val="21"/>
                <w:lang w:val="en-US" w:eastAsia="zh-CN"/>
              </w:rPr>
              <w:t>技术</w:t>
            </w:r>
            <w:r>
              <w:rPr>
                <w:rFonts w:hint="eastAsia" w:asciiTheme="minorEastAsia" w:hAnsiTheme="minorEastAsia" w:eastAsiaTheme="minorEastAsia" w:cstheme="minorEastAsia"/>
                <w:color w:val="auto"/>
                <w:sz w:val="21"/>
                <w:szCs w:val="21"/>
              </w:rPr>
              <w:t>人员的资格：</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提供了时东风：危险与可操作性分析主席、功能安全仪表工程师证书；张喆：危险与可操作性分析主席、功能安全工程师</w:t>
            </w:r>
            <w:r>
              <w:rPr>
                <w:rFonts w:hint="eastAsia" w:asciiTheme="minorEastAsia" w:hAnsiTheme="minorEastAsia" w:eastAsiaTheme="minorEastAsia" w:cstheme="minorEastAsia"/>
                <w:sz w:val="21"/>
                <w:szCs w:val="21"/>
                <w:lang w:val="en-US" w:eastAsia="zh-CN"/>
              </w:rPr>
              <w:t>证书，人员能力满足要求。</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企业员工目前</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人，均具有多年同类</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rPr>
              <w:t>工作经验，</w:t>
            </w:r>
            <w:r>
              <w:rPr>
                <w:rFonts w:hint="eastAsia" w:asciiTheme="minorEastAsia" w:hAnsiTheme="minorEastAsia" w:eastAsiaTheme="minorEastAsia" w:cstheme="minorEastAsia"/>
                <w:sz w:val="21"/>
                <w:szCs w:val="21"/>
                <w:lang w:val="en-US" w:eastAsia="zh-CN"/>
              </w:rPr>
              <w:t>满足经营需要。</w:t>
            </w:r>
          </w:p>
        </w:tc>
        <w:tc>
          <w:tcPr>
            <w:tcW w:w="89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组织知识</w:t>
            </w:r>
          </w:p>
        </w:tc>
        <w:tc>
          <w:tcPr>
            <w:tcW w:w="1058"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Q7.1.6</w:t>
            </w:r>
          </w:p>
        </w:tc>
        <w:tc>
          <w:tcPr>
            <w:tcW w:w="10596"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在《管理手册》中规定了组织知识的来源，分别来自内部和外部。</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企业制定了《</w:t>
            </w:r>
            <w:r>
              <w:rPr>
                <w:rFonts w:hint="eastAsia" w:asciiTheme="minorEastAsia" w:hAnsiTheme="minorEastAsia" w:eastAsiaTheme="minorEastAsia" w:cstheme="minorEastAsia"/>
                <w:bCs/>
                <w:sz w:val="21"/>
                <w:szCs w:val="21"/>
                <w:lang w:val="en-US" w:eastAsia="zh-CN"/>
              </w:rPr>
              <w:t>组织</w:t>
            </w:r>
            <w:r>
              <w:rPr>
                <w:rFonts w:hint="eastAsia" w:asciiTheme="minorEastAsia" w:hAnsiTheme="minorEastAsia" w:eastAsiaTheme="minorEastAsia" w:cstheme="minorEastAsia"/>
                <w:bCs/>
                <w:sz w:val="21"/>
                <w:szCs w:val="21"/>
                <w:lang w:val="zh-CN"/>
              </w:rPr>
              <w:t>知识控制程序</w:t>
            </w:r>
            <w:r>
              <w:rPr>
                <w:rFonts w:hint="eastAsia" w:asciiTheme="minorEastAsia" w:hAnsiTheme="minorEastAsia" w:eastAsiaTheme="minorEastAsia" w:cstheme="minorEastAsia"/>
                <w:bCs/>
                <w:sz w:val="21"/>
                <w:szCs w:val="21"/>
              </w:rPr>
              <w:t>》详细规定了组织知识的获取渠道。</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内部知识：技术人员以往的经验累积；现有工作中的缺失的经验汇总；.部门内部相互学习，相互培训的经验交流；部门间的经验交流。</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外部知识：组织外部培训,学习前沿的学术及技术；对客户的资料分析，学习；从互联网上下载所需要的技术资料。</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lang w:eastAsia="zh-CN"/>
              </w:rPr>
              <w:t>办公室</w:t>
            </w:r>
            <w:r>
              <w:rPr>
                <w:rFonts w:hint="eastAsia" w:asciiTheme="minorEastAsia" w:hAnsiTheme="minorEastAsia" w:eastAsiaTheme="minorEastAsia" w:cstheme="minorEastAsia"/>
                <w:bCs/>
                <w:sz w:val="21"/>
                <w:szCs w:val="21"/>
              </w:rPr>
              <w:t>负责组织知识的管理及协调工作，通过组织学习，建立资料库对组织的知识进行保持和传承。</w:t>
            </w:r>
          </w:p>
        </w:tc>
        <w:tc>
          <w:tcPr>
            <w:tcW w:w="89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能力</w:t>
            </w:r>
          </w:p>
        </w:tc>
        <w:tc>
          <w:tcPr>
            <w:tcW w:w="1058"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QEO7.2</w:t>
            </w:r>
          </w:p>
        </w:tc>
        <w:tc>
          <w:tcPr>
            <w:tcW w:w="10596"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企业提供《</w:t>
            </w:r>
            <w:r>
              <w:rPr>
                <w:rFonts w:hint="eastAsia" w:asciiTheme="minorEastAsia" w:hAnsiTheme="minorEastAsia" w:eastAsiaTheme="minorEastAsia" w:cstheme="minorEastAsia"/>
                <w:bCs/>
                <w:sz w:val="21"/>
                <w:szCs w:val="21"/>
                <w:lang w:val="en-US" w:eastAsia="zh-CN"/>
              </w:rPr>
              <w:t>员工</w:t>
            </w:r>
            <w:r>
              <w:rPr>
                <w:rFonts w:hint="eastAsia" w:asciiTheme="minorEastAsia" w:hAnsiTheme="minorEastAsia" w:eastAsiaTheme="minorEastAsia" w:cstheme="minorEastAsia"/>
                <w:bCs/>
                <w:sz w:val="21"/>
                <w:szCs w:val="21"/>
              </w:rPr>
              <w:t>能力</w:t>
            </w:r>
            <w:r>
              <w:rPr>
                <w:rFonts w:hint="eastAsia" w:asciiTheme="minorEastAsia" w:hAnsiTheme="minorEastAsia" w:eastAsiaTheme="minorEastAsia" w:cstheme="minorEastAsia"/>
                <w:bCs/>
                <w:sz w:val="21"/>
                <w:szCs w:val="21"/>
                <w:lang w:val="en-US" w:eastAsia="zh-CN"/>
              </w:rPr>
              <w:t>确认</w:t>
            </w:r>
            <w:r>
              <w:rPr>
                <w:rFonts w:hint="eastAsia" w:asciiTheme="minorEastAsia" w:hAnsiTheme="minorEastAsia" w:eastAsiaTheme="minorEastAsia" w:cstheme="minorEastAsia"/>
                <w:bCs/>
                <w:sz w:val="21"/>
                <w:szCs w:val="21"/>
              </w:rPr>
              <w:t>表》</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抽</w:t>
            </w:r>
            <w:r>
              <w:rPr>
                <w:rFonts w:hint="eastAsia" w:asciiTheme="minorEastAsia" w:hAnsiTheme="minorEastAsia" w:eastAsiaTheme="minorEastAsia" w:cstheme="minorEastAsia"/>
                <w:bCs/>
                <w:sz w:val="21"/>
                <w:szCs w:val="21"/>
                <w:lang w:val="en-US" w:eastAsia="zh-CN"/>
              </w:rPr>
              <w:t>查张志东、刘娟娟、高丙帅等</w:t>
            </w:r>
            <w:r>
              <w:rPr>
                <w:rFonts w:hint="eastAsia" w:ascii="宋体" w:hAnsi="宋体" w:cs="宋体"/>
                <w:szCs w:val="21"/>
                <w:lang w:val="en-US" w:eastAsia="zh-CN"/>
              </w:rPr>
              <w:t>人员能力评价结果，</w:t>
            </w:r>
            <w:r>
              <w:rPr>
                <w:rFonts w:hint="eastAsia" w:asciiTheme="minorEastAsia" w:hAnsiTheme="minorEastAsia" w:eastAsiaTheme="minorEastAsia" w:cstheme="minorEastAsia"/>
                <w:bCs/>
                <w:sz w:val="21"/>
                <w:szCs w:val="21"/>
              </w:rPr>
              <w:t>考核合格，可</w:t>
            </w:r>
            <w:r>
              <w:rPr>
                <w:rFonts w:hint="eastAsia" w:asciiTheme="minorEastAsia" w:hAnsiTheme="minorEastAsia" w:eastAsiaTheme="minorEastAsia" w:cstheme="minorEastAsia"/>
                <w:bCs/>
                <w:sz w:val="21"/>
                <w:szCs w:val="21"/>
                <w:lang w:val="en-US" w:eastAsia="zh-CN"/>
              </w:rPr>
              <w:t>胜任</w:t>
            </w:r>
            <w:r>
              <w:rPr>
                <w:rFonts w:hint="eastAsia" w:asciiTheme="minorEastAsia" w:hAnsiTheme="minorEastAsia" w:eastAsiaTheme="minorEastAsia" w:cstheme="minorEastAsia"/>
                <w:bCs/>
                <w:sz w:val="21"/>
                <w:szCs w:val="21"/>
              </w:rPr>
              <w:t>。</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抽提供的培训记录</w:t>
            </w:r>
          </w:p>
          <w:p>
            <w:pPr>
              <w:pStyle w:val="2"/>
              <w:rPr>
                <w:rFonts w:hint="default" w:eastAsia="宋体"/>
                <w:lang w:val="en-US" w:eastAsia="zh-CN"/>
              </w:rPr>
            </w:pPr>
            <w:r>
              <w:rPr>
                <w:rFonts w:hint="eastAsia" w:asciiTheme="minorEastAsia" w:hAnsiTheme="minorEastAsia" w:eastAsiaTheme="minorEastAsia" w:cstheme="minorEastAsia"/>
                <w:bCs/>
                <w:sz w:val="21"/>
                <w:szCs w:val="21"/>
                <w:lang w:val="en-US" w:eastAsia="zh-CN"/>
              </w:rPr>
              <w:t>抽查2022年培训计划，列入了7项培训计划，包括标准培训、内审员培训、</w:t>
            </w:r>
            <w:r>
              <w:rPr>
                <w:rFonts w:hint="eastAsia" w:ascii="宋体" w:hAnsi="宋体"/>
                <w:szCs w:val="21"/>
              </w:rPr>
              <w:t>环境因素危险源识别</w:t>
            </w:r>
            <w:r>
              <w:rPr>
                <w:rFonts w:hint="eastAsia" w:ascii="宋体" w:hAnsi="宋体"/>
                <w:szCs w:val="21"/>
                <w:lang w:eastAsia="zh-CN"/>
              </w:rPr>
              <w:t>、</w:t>
            </w:r>
            <w:r>
              <w:rPr>
                <w:rFonts w:hint="eastAsia" w:ascii="宋体" w:hAnsi="宋体"/>
                <w:szCs w:val="21"/>
                <w:lang w:val="en-US" w:eastAsia="zh-CN"/>
              </w:rPr>
              <w:t>销售服务技巧培训等。抽查培训记录：</w:t>
            </w:r>
          </w:p>
          <w:p>
            <w:pP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1、培训日期：2022.</w:t>
            </w:r>
            <w:r>
              <w:rPr>
                <w:rFonts w:hint="eastAsia" w:asciiTheme="minorEastAsia" w:hAnsiTheme="minorEastAsia" w:eastAsiaTheme="minorEastAsia" w:cstheme="minorEastAsia"/>
                <w:bCs/>
                <w:sz w:val="21"/>
                <w:szCs w:val="21"/>
                <w:lang w:val="en-US" w:eastAsia="zh-CN"/>
              </w:rPr>
              <w:t>10</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bCs/>
                <w:sz w:val="21"/>
                <w:szCs w:val="21"/>
                <w:lang w:val="en-US" w:eastAsia="zh-CN"/>
              </w:rPr>
              <w:t>22</w:t>
            </w:r>
            <w:r>
              <w:rPr>
                <w:rFonts w:hint="eastAsia" w:asciiTheme="minorEastAsia" w:hAnsiTheme="minorEastAsia" w:eastAsiaTheme="minorEastAsia" w:cstheme="minorEastAsia"/>
                <w:bCs/>
                <w:sz w:val="21"/>
                <w:szCs w:val="21"/>
              </w:rPr>
              <w:t>，参加部门：各部门，参加人员：公司各部门负责人，培训内容：</w:t>
            </w:r>
            <w:r>
              <w:rPr>
                <w:rFonts w:hint="eastAsia" w:ascii="宋体" w:hAnsi="宋体"/>
              </w:rPr>
              <w:t>环境因素、危险源识别及</w:t>
            </w:r>
            <w:r>
              <w:rPr>
                <w:rFonts w:hint="eastAsia" w:ascii="宋体" w:hAnsi="宋体"/>
                <w:lang w:val="en-US"/>
              </w:rPr>
              <w:t>运行要求</w:t>
            </w:r>
            <w:r>
              <w:rPr>
                <w:rFonts w:hint="eastAsia" w:ascii="宋体" w:hAnsi="宋体"/>
              </w:rPr>
              <w:t>培训</w:t>
            </w:r>
            <w:r>
              <w:rPr>
                <w:rFonts w:hint="eastAsia" w:asciiTheme="minorEastAsia" w:hAnsiTheme="minorEastAsia" w:eastAsiaTheme="minorEastAsia" w:cstheme="minorEastAsia"/>
                <w:bCs/>
                <w:sz w:val="21"/>
                <w:szCs w:val="21"/>
              </w:rPr>
              <w:t>，考核方式：现场口头提问，培训效果：达到目的</w:t>
            </w:r>
            <w:r>
              <w:rPr>
                <w:rFonts w:hint="eastAsia" w:asciiTheme="minorEastAsia" w:hAnsiTheme="minorEastAsia" w:eastAsiaTheme="minorEastAsia" w:cstheme="minorEastAsia"/>
                <w:bCs/>
                <w:sz w:val="21"/>
                <w:szCs w:val="21"/>
                <w:lang w:eastAsia="zh-CN"/>
              </w:rPr>
              <w:t>。</w:t>
            </w:r>
          </w:p>
          <w:p>
            <w:pP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2、2022</w:t>
            </w:r>
            <w:r>
              <w:rPr>
                <w:rFonts w:hint="eastAsia" w:asciiTheme="minorEastAsia" w:hAnsiTheme="minorEastAsia" w:eastAsiaTheme="minorEastAsia" w:cstheme="minorEastAsia"/>
                <w:bCs/>
                <w:sz w:val="21"/>
                <w:szCs w:val="21"/>
                <w:lang w:val="en-US" w:eastAsia="zh-CN"/>
              </w:rPr>
              <w:t>.11.12，</w:t>
            </w:r>
            <w:r>
              <w:rPr>
                <w:rFonts w:hint="eastAsia" w:ascii="宋体" w:hAnsi="宋体"/>
                <w:szCs w:val="21"/>
                <w:lang w:val="en-US"/>
              </w:rPr>
              <w:t>销售服务技巧培训</w:t>
            </w:r>
            <w:r>
              <w:rPr>
                <w:rFonts w:hint="eastAsia" w:asciiTheme="minorEastAsia" w:hAnsiTheme="minorEastAsia" w:eastAsiaTheme="minorEastAsia" w:cstheme="minorEastAsia"/>
                <w:bCs/>
                <w:sz w:val="21"/>
                <w:szCs w:val="21"/>
              </w:rPr>
              <w:t>，参加培训：公司各部门负责人</w:t>
            </w:r>
            <w:r>
              <w:rPr>
                <w:rFonts w:hint="eastAsia" w:asciiTheme="minorEastAsia" w:hAnsiTheme="minorEastAsia" w:eastAsiaTheme="minorEastAsia" w:cstheme="minorEastAsia"/>
                <w:bCs/>
                <w:sz w:val="21"/>
                <w:szCs w:val="21"/>
                <w:lang w:val="en-US" w:eastAsia="zh-CN"/>
              </w:rPr>
              <w:t>及业务</w:t>
            </w:r>
            <w:r>
              <w:rPr>
                <w:rFonts w:hint="eastAsia" w:asciiTheme="minorEastAsia" w:hAnsiTheme="minorEastAsia" w:eastAsiaTheme="minorEastAsia" w:cstheme="minorEastAsia"/>
                <w:bCs/>
                <w:sz w:val="21"/>
                <w:szCs w:val="21"/>
              </w:rPr>
              <w:t>人员 ，考核方式：现场口头提问，培训效果：达到目的</w:t>
            </w:r>
            <w:r>
              <w:rPr>
                <w:rFonts w:hint="eastAsia" w:asciiTheme="minorEastAsia" w:hAnsiTheme="minorEastAsia" w:eastAsiaTheme="minorEastAsia" w:cstheme="minorEastAsia"/>
                <w:bCs/>
                <w:sz w:val="21"/>
                <w:szCs w:val="21"/>
                <w:lang w:eastAsia="zh-CN"/>
              </w:rPr>
              <w:t>。</w:t>
            </w:r>
          </w:p>
          <w:p>
            <w:pP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3、2022</w:t>
            </w:r>
            <w:r>
              <w:rPr>
                <w:rFonts w:hint="eastAsia" w:asciiTheme="minorEastAsia" w:hAnsiTheme="minorEastAsia" w:eastAsiaTheme="minorEastAsia" w:cstheme="minorEastAsia"/>
                <w:bCs/>
                <w:sz w:val="21"/>
                <w:szCs w:val="21"/>
                <w:lang w:val="en-US" w:eastAsia="zh-CN"/>
              </w:rPr>
              <w:t>.9.24</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内审员培训记录，参加培训：</w:t>
            </w:r>
            <w:r>
              <w:rPr>
                <w:rFonts w:hint="eastAsia" w:ascii="Arial" w:cs="Arial"/>
              </w:rPr>
              <w:t>刘娟娟</w:t>
            </w:r>
            <w:r>
              <w:rPr>
                <w:rFonts w:hint="eastAsia" w:ascii="Arial" w:cs="Arial"/>
                <w:lang w:eastAsia="zh-CN"/>
              </w:rPr>
              <w:t>、</w:t>
            </w:r>
            <w:r>
              <w:rPr>
                <w:rFonts w:hint="eastAsia" w:ascii="Arial" w:cs="Arial"/>
              </w:rPr>
              <w:t>高丙帅</w:t>
            </w:r>
            <w:r>
              <w:rPr>
                <w:rFonts w:hint="eastAsia" w:asciiTheme="minorEastAsia" w:hAnsiTheme="minorEastAsia" w:eastAsiaTheme="minorEastAsia" w:cstheme="minorEastAsia"/>
                <w:bCs/>
                <w:sz w:val="21"/>
                <w:szCs w:val="21"/>
              </w:rPr>
              <w:t>等，考核方式：现场口头提问，培训效果：达到目的</w:t>
            </w:r>
            <w:r>
              <w:rPr>
                <w:rFonts w:hint="eastAsia" w:asciiTheme="minorEastAsia" w:hAnsiTheme="minorEastAsia" w:eastAsiaTheme="minorEastAsia" w:cstheme="minorEastAsia"/>
                <w:bCs/>
                <w:sz w:val="21"/>
                <w:szCs w:val="21"/>
                <w:lang w:eastAsia="zh-CN"/>
              </w:rPr>
              <w:t>。</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p>
            <w:pP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kern w:val="2"/>
                <w:sz w:val="21"/>
                <w:szCs w:val="21"/>
                <w:lang w:val="en-US" w:eastAsia="zh-CN" w:bidi="ar-SA"/>
              </w:rPr>
              <w:t>基本符合要求。</w:t>
            </w:r>
          </w:p>
        </w:tc>
        <w:tc>
          <w:tcPr>
            <w:tcW w:w="89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意识</w:t>
            </w:r>
          </w:p>
        </w:tc>
        <w:tc>
          <w:tcPr>
            <w:tcW w:w="1058" w:type="dxa"/>
            <w:vAlign w:val="top"/>
          </w:tcPr>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rPr>
              <w:t>QEO7.3</w:t>
            </w:r>
          </w:p>
        </w:tc>
        <w:tc>
          <w:tcPr>
            <w:tcW w:w="10596" w:type="dxa"/>
            <w:vAlign w:val="top"/>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组织通过培训学习、宣传等方法使在组织控制范围内的相关工作人员了解到：质量、环境、职业健康安全方针的意义；熟悉相关的质量、环境、职业健康安全目标；员工对质量、环境、职业健康安全管理体系有效性的贡献包括改进质量环境绩效的益处；不符合质量环境和职业健康安全管理体系要求的后果。</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在企业制定的《年度培训计划》中，通过培训《管理手册》《</w:t>
            </w:r>
            <w:r>
              <w:rPr>
                <w:rFonts w:hint="eastAsia" w:asciiTheme="minorEastAsia" w:hAnsiTheme="minorEastAsia" w:eastAsiaTheme="minorEastAsia" w:cstheme="minorEastAsia"/>
                <w:sz w:val="21"/>
                <w:szCs w:val="21"/>
              </w:rPr>
              <w:t>管理体系标准宣贯培训</w:t>
            </w:r>
            <w:r>
              <w:rPr>
                <w:rFonts w:hint="eastAsia" w:asciiTheme="minorEastAsia" w:hAnsiTheme="minorEastAsia" w:eastAsiaTheme="minorEastAsia" w:cstheme="minorEastAsia"/>
                <w:bCs/>
                <w:sz w:val="21"/>
                <w:szCs w:val="21"/>
              </w:rPr>
              <w:t>》《内审员培训》等对人员的质量管理意识进行提升，培训考核合格率均为100%。</w:t>
            </w:r>
          </w:p>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w:t>
            </w:r>
            <w:r>
              <w:rPr>
                <w:rFonts w:hint="eastAsia" w:asciiTheme="minorEastAsia" w:hAnsiTheme="minorEastAsia" w:eastAsiaTheme="minorEastAsia" w:cstheme="minorEastAsia"/>
                <w:bCs/>
                <w:sz w:val="21"/>
                <w:szCs w:val="21"/>
              </w:rPr>
              <w:t>通过培训使每一位员工都能认识到自己所从事的活动或工作对质量管理体系的相关性和重要性，以及如何为实现质量目标作出贡献。其对组织方针和所在工作岗位的质量、环境、职业健康安全目标基本熟悉，也了解自己的工作效益会影响组织质量、环境、职业健康安全管理体系的有效运行。</w:t>
            </w:r>
          </w:p>
          <w:p>
            <w:pP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综合现场</w:t>
            </w:r>
            <w:r>
              <w:rPr>
                <w:rFonts w:hint="eastAsia" w:asciiTheme="minorEastAsia" w:hAnsiTheme="minorEastAsia" w:eastAsiaTheme="minorEastAsia" w:cstheme="minorEastAsia"/>
                <w:bCs/>
                <w:sz w:val="21"/>
                <w:szCs w:val="21"/>
                <w:lang w:val="en-US" w:eastAsia="zh-CN"/>
              </w:rPr>
              <w:t>了解</w:t>
            </w:r>
            <w:r>
              <w:rPr>
                <w:rFonts w:hint="eastAsia" w:asciiTheme="minorEastAsia" w:hAnsiTheme="minorEastAsia" w:eastAsiaTheme="minorEastAsia" w:cstheme="minorEastAsia"/>
                <w:bCs/>
                <w:sz w:val="21"/>
                <w:szCs w:val="21"/>
              </w:rPr>
              <w:t>情况，组织员工具备基本的质量意识、环保意识和职业健康安全意识，满足要求。</w:t>
            </w:r>
          </w:p>
        </w:tc>
        <w:tc>
          <w:tcPr>
            <w:tcW w:w="89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60" w:type="dxa"/>
            <w:vAlign w:val="top"/>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成文信息</w:t>
            </w:r>
          </w:p>
        </w:tc>
        <w:tc>
          <w:tcPr>
            <w:tcW w:w="1058" w:type="dxa"/>
            <w:vAlign w:val="top"/>
          </w:tcPr>
          <w:p>
            <w:pPr>
              <w:jc w:val="both"/>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sz w:val="21"/>
                <w:szCs w:val="21"/>
              </w:rPr>
              <w:t>QEO7.5</w:t>
            </w:r>
          </w:p>
        </w:tc>
        <w:tc>
          <w:tcPr>
            <w:tcW w:w="10596" w:type="dxa"/>
            <w:vAlign w:val="center"/>
          </w:tcPr>
          <w:p>
            <w:pPr>
              <w:rPr>
                <w:rFonts w:hint="eastAsia"/>
              </w:rPr>
            </w:pPr>
            <w:r>
              <w:rPr>
                <w:rFonts w:hint="eastAsia" w:asciiTheme="minorEastAsia" w:hAnsiTheme="minorEastAsia" w:eastAsiaTheme="minorEastAsia" w:cstheme="minorEastAsia"/>
                <w:bCs/>
                <w:sz w:val="21"/>
                <w:szCs w:val="21"/>
                <w:lang w:val="en-US" w:eastAsia="zh-CN"/>
              </w:rPr>
              <w:t>----</w:t>
            </w:r>
            <w:r>
              <w:rPr>
                <w:rFonts w:hint="eastAsia"/>
              </w:rPr>
              <w:t>策划了公司管理体系文件，包括以下层次：</w:t>
            </w:r>
          </w:p>
          <w:p>
            <w:pPr>
              <w:keepNext w:val="0"/>
              <w:keepLines w:val="0"/>
              <w:widowControl/>
              <w:suppressLineNumbers w:val="0"/>
              <w:jc w:val="left"/>
              <w:rPr>
                <w:rFonts w:hint="eastAsia"/>
              </w:rPr>
            </w:pPr>
            <w:r>
              <w:rPr>
                <w:rFonts w:hint="eastAsia"/>
              </w:rPr>
              <w:t>1.管理手</w:t>
            </w:r>
            <w:r>
              <w:rPr>
                <w:rFonts w:hint="eastAsia" w:eastAsia="宋体"/>
              </w:rPr>
              <w:t>册</w:t>
            </w:r>
            <w:r>
              <w:rPr>
                <w:rFonts w:hint="eastAsia" w:eastAsia="宋体"/>
                <w:lang w:val="en-US" w:eastAsia="zh-CN"/>
              </w:rPr>
              <w:t>PSM-SC-2020</w:t>
            </w:r>
            <w:r>
              <w:rPr>
                <w:rFonts w:hint="eastAsia" w:eastAsia="宋体"/>
              </w:rPr>
              <w:t>版本号</w:t>
            </w:r>
            <w:r>
              <w:rPr>
                <w:rFonts w:hint="eastAsia"/>
              </w:rPr>
              <w:t>为A</w:t>
            </w:r>
            <w:r>
              <w:rPr>
                <w:rFonts w:hint="eastAsia"/>
                <w:lang w:val="en-US" w:eastAsia="zh-CN"/>
              </w:rPr>
              <w:t>/</w:t>
            </w:r>
            <w:r>
              <w:rPr>
                <w:rFonts w:hint="eastAsia"/>
              </w:rPr>
              <w:t>0，生效日期为20</w:t>
            </w:r>
            <w:r>
              <w:rPr>
                <w:rFonts w:hint="eastAsia"/>
                <w:lang w:val="en-US" w:eastAsia="zh-CN"/>
              </w:rPr>
              <w:t>20</w:t>
            </w:r>
            <w:r>
              <w:rPr>
                <w:rFonts w:hint="eastAsia"/>
              </w:rPr>
              <w:t>.</w:t>
            </w:r>
            <w:r>
              <w:rPr>
                <w:rFonts w:hint="eastAsia"/>
                <w:lang w:val="en-US" w:eastAsia="zh-CN"/>
              </w:rPr>
              <w:t>9</w:t>
            </w:r>
            <w:r>
              <w:rPr>
                <w:rFonts w:hint="eastAsia"/>
              </w:rPr>
              <w:t>.</w:t>
            </w:r>
            <w:r>
              <w:rPr>
                <w:rFonts w:hint="eastAsia"/>
                <w:lang w:val="en-US" w:eastAsia="zh-CN"/>
              </w:rPr>
              <w:t>1</w:t>
            </w:r>
            <w:r>
              <w:rPr>
                <w:rFonts w:hint="eastAsia"/>
              </w:rPr>
              <w:t>，由总经理批准（含质量方针、目标）</w:t>
            </w:r>
          </w:p>
          <w:p>
            <w:pPr>
              <w:keepNext w:val="0"/>
              <w:keepLines w:val="0"/>
              <w:widowControl/>
              <w:suppressLineNumbers w:val="0"/>
              <w:jc w:val="left"/>
              <w:rPr>
                <w:rFonts w:hint="eastAsia"/>
                <w:lang w:eastAsia="zh-CN"/>
              </w:rPr>
            </w:pPr>
            <w:r>
              <w:rPr>
                <w:rFonts w:hint="eastAsia"/>
              </w:rPr>
              <w:t>2.程序</w:t>
            </w:r>
            <w:r>
              <w:rPr>
                <w:rFonts w:hint="eastAsia"/>
                <w:lang w:val="en-US" w:eastAsia="zh-CN"/>
              </w:rPr>
              <w:t>文件汇编</w:t>
            </w:r>
            <w:r>
              <w:rPr>
                <w:rFonts w:hint="eastAsia" w:eastAsia="宋体"/>
                <w:lang w:val="en-US" w:eastAsia="zh-CN"/>
              </w:rPr>
              <w:t>PSM-CX-2020版</w:t>
            </w:r>
            <w:r>
              <w:rPr>
                <w:rFonts w:hint="eastAsia"/>
                <w:lang w:val="en-US" w:eastAsia="zh-CN"/>
              </w:rPr>
              <w:t>本号为A/0</w:t>
            </w:r>
            <w:r>
              <w:rPr>
                <w:rFonts w:hint="eastAsia"/>
              </w:rPr>
              <w:t>，生效日期为20</w:t>
            </w:r>
            <w:r>
              <w:rPr>
                <w:rFonts w:hint="eastAsia"/>
                <w:lang w:val="en-US" w:eastAsia="zh-CN"/>
              </w:rPr>
              <w:t>20</w:t>
            </w:r>
            <w:r>
              <w:rPr>
                <w:rFonts w:hint="eastAsia"/>
              </w:rPr>
              <w:t>.</w:t>
            </w:r>
            <w:r>
              <w:rPr>
                <w:rFonts w:hint="eastAsia"/>
                <w:lang w:val="en-US" w:eastAsia="zh-CN"/>
              </w:rPr>
              <w:t>9</w:t>
            </w:r>
            <w:r>
              <w:rPr>
                <w:rFonts w:hint="eastAsia"/>
              </w:rPr>
              <w:t>.</w:t>
            </w:r>
            <w:r>
              <w:rPr>
                <w:rFonts w:hint="eastAsia"/>
                <w:lang w:val="en-US" w:eastAsia="zh-CN"/>
              </w:rPr>
              <w:t>1</w:t>
            </w:r>
            <w:r>
              <w:rPr>
                <w:rFonts w:hint="eastAsia"/>
              </w:rPr>
              <w:t>，由管理者代表制定，含</w:t>
            </w:r>
            <w:r>
              <w:rPr>
                <w:rFonts w:hint="eastAsia"/>
                <w:lang w:val="en-US" w:eastAsia="zh-CN"/>
              </w:rPr>
              <w:t>30</w:t>
            </w:r>
            <w:r>
              <w:rPr>
                <w:rFonts w:hint="eastAsia"/>
              </w:rPr>
              <w:t>个文件，包括标准要求的程序</w:t>
            </w:r>
            <w:r>
              <w:rPr>
                <w:rFonts w:hint="eastAsia"/>
                <w:lang w:eastAsia="zh-CN"/>
              </w:rPr>
              <w:t>。</w:t>
            </w:r>
          </w:p>
          <w:p>
            <w:pPr>
              <w:rPr>
                <w:rFonts w:hint="default"/>
                <w:lang w:val="en-US" w:eastAsia="zh-CN"/>
              </w:rPr>
            </w:pPr>
            <w:r>
              <w:rPr>
                <w:rFonts w:hint="eastAsia"/>
              </w:rPr>
              <w:t>3.管理文件汇编包括：三体系目标分解考核办法、岗位任职要求</w:t>
            </w:r>
            <w:r>
              <w:rPr>
                <w:rFonts w:hint="eastAsia"/>
                <w:lang w:eastAsia="zh-CN"/>
              </w:rPr>
              <w:t>、</w:t>
            </w:r>
            <w:r>
              <w:rPr>
                <w:rFonts w:hint="eastAsia"/>
              </w:rPr>
              <w:t>安全管理制度</w:t>
            </w:r>
            <w:r>
              <w:rPr>
                <w:rFonts w:hint="eastAsia"/>
                <w:lang w:eastAsia="zh-CN"/>
              </w:rPr>
              <w:t>、</w:t>
            </w:r>
            <w:r>
              <w:rPr>
                <w:rFonts w:hint="eastAsia"/>
              </w:rPr>
              <w:t>消防管理制度</w:t>
            </w:r>
            <w:r>
              <w:rPr>
                <w:rFonts w:hint="eastAsia"/>
                <w:lang w:val="en-US" w:eastAsia="zh-CN"/>
              </w:rPr>
              <w:t>等10个文件。</w:t>
            </w:r>
          </w:p>
          <w:p>
            <w:pPr>
              <w:rPr>
                <w:rFonts w:hint="eastAsia"/>
              </w:rPr>
            </w:pPr>
            <w:r>
              <w:rPr>
                <w:rFonts w:hint="eastAsia"/>
              </w:rPr>
              <w:t>4.体系运行所需要的记录</w:t>
            </w:r>
          </w:p>
          <w:p>
            <w:pPr>
              <w:rPr>
                <w:rFonts w:hint="eastAsia"/>
                <w:lang w:val="zh-CN"/>
              </w:rPr>
            </w:pPr>
            <w:r>
              <w:rPr>
                <w:rFonts w:hint="eastAsia"/>
              </w:rPr>
              <w:t>5.对外来文件进行了识别收集，</w:t>
            </w:r>
            <w:r>
              <w:rPr>
                <w:rFonts w:hint="eastAsia"/>
                <w:lang w:val="zh-CN"/>
              </w:rPr>
              <w:t>现场提供有包括</w:t>
            </w:r>
            <w:r>
              <w:rPr>
                <w:rFonts w:hint="eastAsia"/>
              </w:rPr>
              <w:t>收集的相关法律法规、技术标准：产品质量法、标准化法、SB/T 11222-2018《管理咨询服务规范》</w:t>
            </w:r>
            <w:r>
              <w:rPr>
                <w:rFonts w:hint="eastAsia"/>
                <w:lang w:eastAsia="zh-CN"/>
              </w:rPr>
              <w:t>、T/CCPITCSC 025-2019《管理咨询服务对象的分类与代码》、GB/T 35320-2017《危险与可操作性分析（HAZOP分析） 应用指南》</w:t>
            </w:r>
            <w:r>
              <w:rPr>
                <w:rFonts w:hint="eastAsia"/>
              </w:rPr>
              <w:t>等，经常网上查阅、及时与顾客沟通确保最新版本</w:t>
            </w:r>
            <w:r>
              <w:rPr>
                <w:rFonts w:hint="eastAsia"/>
                <w:lang w:val="zh-CN"/>
              </w:rPr>
              <w:t>。</w:t>
            </w:r>
          </w:p>
          <w:p>
            <w:pPr>
              <w:rPr>
                <w:rFonts w:hint="eastAsia"/>
                <w:lang w:val="zh-CN"/>
              </w:rPr>
            </w:pPr>
            <w:r>
              <w:rPr>
                <w:rFonts w:hint="eastAsia"/>
                <w:lang w:val="zh-CN"/>
              </w:rPr>
              <w:t>变更：暂无记录。</w:t>
            </w:r>
          </w:p>
          <w:p>
            <w:pPr>
              <w:rPr>
                <w:rFonts w:hint="eastAsia"/>
                <w:lang w:val="zh-CN"/>
              </w:rPr>
            </w:pPr>
            <w:r>
              <w:rPr>
                <w:rFonts w:hint="eastAsia"/>
                <w:lang w:val="zh-CN"/>
              </w:rPr>
              <w:t>作废：暂无记录。</w:t>
            </w:r>
          </w:p>
          <w:p>
            <w:pPr>
              <w:pStyle w:val="2"/>
              <w:rPr>
                <w:rFonts w:hint="default" w:ascii="Times New Roman" w:hAnsi="Times New Roman" w:eastAsia="宋体" w:cs="Times New Roman"/>
                <w:bCs w:val="0"/>
                <w:spacing w:val="0"/>
                <w:kern w:val="2"/>
                <w:sz w:val="21"/>
                <w:lang w:val="en-US" w:eastAsia="zh-CN" w:bidi="ar-SA"/>
              </w:rPr>
            </w:pPr>
            <w:r>
              <w:rPr>
                <w:rFonts w:hint="eastAsia" w:asciiTheme="minorEastAsia" w:hAnsiTheme="minorEastAsia" w:eastAsiaTheme="minorEastAsia" w:cstheme="minorEastAsia"/>
                <w:sz w:val="21"/>
                <w:szCs w:val="21"/>
                <w:lang w:val="en-US" w:eastAsia="zh-CN"/>
              </w:rPr>
              <w:t>----</w:t>
            </w:r>
            <w:r>
              <w:rPr>
                <w:rFonts w:hint="eastAsia" w:ascii="Times New Roman" w:hAnsi="Times New Roman" w:eastAsia="宋体" w:cs="Times New Roman"/>
                <w:bCs w:val="0"/>
                <w:spacing w:val="0"/>
                <w:kern w:val="2"/>
                <w:sz w:val="21"/>
                <w:lang w:val="en-US" w:eastAsia="zh-CN" w:bidi="ar-SA"/>
              </w:rPr>
              <w:t>提供了《文件发放记录》，所有文件均由办公室发放，发放有管理手册、程序文件、三级文件等文件。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查文件编制及更新要求：</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1、查管理手册：内容包括：标题、编制人员、日期，文件编号等；</w:t>
            </w:r>
          </w:p>
          <w:p>
            <w:pPr>
              <w:pStyle w:val="2"/>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2、查程序文件：内容包括：标题、编制人员、日期，文件编号等。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各成文信息由各部门负责保存，以便查阅，</w:t>
            </w:r>
            <w:r>
              <w:rPr>
                <w:rFonts w:hint="eastAsia" w:asciiTheme="minorEastAsia" w:hAnsiTheme="minorEastAsia" w:eastAsiaTheme="minorEastAsia" w:cstheme="minorEastAsia"/>
                <w:sz w:val="21"/>
                <w:szCs w:val="21"/>
                <w:lang w:eastAsia="zh-CN"/>
              </w:rPr>
              <w:t>办公室</w:t>
            </w:r>
            <w:r>
              <w:rPr>
                <w:rFonts w:hint="eastAsia" w:asciiTheme="minorEastAsia" w:hAnsiTheme="minorEastAsia" w:eastAsiaTheme="minorEastAsia" w:cstheme="minorEastAsia"/>
                <w:sz w:val="21"/>
                <w:szCs w:val="21"/>
              </w:rPr>
              <w:t xml:space="preserve"> 定期检查记录的使用、保管情况，目前尚无文件销毁的记录。</w:t>
            </w:r>
          </w:p>
          <w:p>
            <w:pPr>
              <w:pStyle w:val="2"/>
              <w:rPr>
                <w:rFonts w:hint="eastAsia" w:asciiTheme="minorEastAsia" w:hAnsiTheme="minorEastAsia" w:eastAsiaTheme="minorEastAsia" w:cstheme="minorEastAsia"/>
                <w:bCs/>
                <w:spacing w:val="10"/>
                <w:kern w:val="2"/>
                <w:sz w:val="21"/>
                <w:szCs w:val="21"/>
                <w:lang w:val="en-US" w:eastAsia="zh-CN" w:bidi="ar-SA"/>
              </w:rPr>
            </w:pPr>
            <w:r>
              <w:rPr>
                <w:rFonts w:hint="eastAsia" w:asciiTheme="minorEastAsia" w:hAnsiTheme="minorEastAsia" w:eastAsiaTheme="minorEastAsia" w:cstheme="minorEastAsia"/>
                <w:sz w:val="21"/>
                <w:szCs w:val="21"/>
              </w:rPr>
              <w:t>成文信息管理基本满足要求</w:t>
            </w:r>
          </w:p>
        </w:tc>
        <w:tc>
          <w:tcPr>
            <w:tcW w:w="89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外部提供的过程、产品和服务的</w:t>
            </w:r>
            <w:r>
              <w:rPr>
                <w:rFonts w:hint="eastAsia" w:asciiTheme="minorEastAsia" w:hAnsiTheme="minorEastAsia" w:eastAsiaTheme="minorEastAsia" w:cstheme="minorEastAsia"/>
                <w:sz w:val="21"/>
                <w:szCs w:val="21"/>
                <w:lang w:val="en-US" w:eastAsia="zh-CN"/>
              </w:rPr>
              <w:t>控制</w:t>
            </w:r>
          </w:p>
        </w:tc>
        <w:tc>
          <w:tcPr>
            <w:tcW w:w="1058" w:type="dxa"/>
            <w:vAlign w:val="top"/>
          </w:tcPr>
          <w:p>
            <w:pPr>
              <w:rPr>
                <w:rFonts w:hint="eastAsia" w:asciiTheme="minorEastAsia" w:hAnsiTheme="minorEastAsia" w:eastAsiaTheme="minorEastAsia" w:cstheme="minorEastAsia"/>
                <w:kern w:val="2"/>
                <w:sz w:val="21"/>
                <w:szCs w:val="21"/>
                <w:u w:val="none"/>
                <w:lang w:val="en-US" w:eastAsia="zh-CN" w:bidi="ar-SA"/>
              </w:rPr>
            </w:pPr>
            <w:r>
              <w:rPr>
                <w:rFonts w:hint="eastAsia" w:asciiTheme="minorEastAsia" w:hAnsiTheme="minorEastAsia" w:eastAsiaTheme="minorEastAsia" w:cstheme="minorEastAsia"/>
                <w:sz w:val="21"/>
                <w:szCs w:val="21"/>
                <w:lang w:val="en-US" w:eastAsia="zh-CN"/>
              </w:rPr>
              <w:t>Q</w:t>
            </w:r>
            <w:r>
              <w:rPr>
                <w:rFonts w:hint="eastAsia" w:asciiTheme="minorEastAsia" w:hAnsiTheme="minorEastAsia" w:eastAsiaTheme="minorEastAsia" w:cstheme="minorEastAsia"/>
                <w:sz w:val="21"/>
                <w:szCs w:val="21"/>
              </w:rPr>
              <w:t>8.4</w:t>
            </w:r>
          </w:p>
        </w:tc>
        <w:tc>
          <w:tcPr>
            <w:tcW w:w="10596" w:type="dxa"/>
            <w:vAlign w:val="top"/>
          </w:tcPr>
          <w:p>
            <w:pPr>
              <w:rPr>
                <w:rFonts w:hint="eastAsia"/>
                <w:color w:val="auto"/>
              </w:rPr>
            </w:pPr>
            <w:r>
              <w:rPr>
                <w:rFonts w:hint="eastAsia" w:asciiTheme="minorEastAsia" w:hAnsiTheme="minorEastAsia" w:eastAsiaTheme="minorEastAsia" w:cstheme="minorEastAsia"/>
                <w:bCs/>
                <w:sz w:val="21"/>
                <w:szCs w:val="21"/>
                <w:lang w:val="en-US" w:eastAsia="zh-CN"/>
              </w:rPr>
              <w:t>----</w:t>
            </w:r>
            <w:r>
              <w:rPr>
                <w:rFonts w:hint="eastAsia"/>
              </w:rPr>
              <w:t>编</w:t>
            </w:r>
            <w:r>
              <w:rPr>
                <w:rFonts w:hint="eastAsia"/>
                <w:color w:val="auto"/>
              </w:rPr>
              <w:t>制《</w:t>
            </w:r>
            <w:r>
              <w:rPr>
                <w:rFonts w:hint="eastAsia"/>
                <w:color w:val="auto"/>
                <w:lang w:val="en-US" w:eastAsia="zh-CN"/>
              </w:rPr>
              <w:t>外部供方</w:t>
            </w:r>
            <w:r>
              <w:rPr>
                <w:rFonts w:hint="eastAsia"/>
                <w:color w:val="auto"/>
                <w:lang w:val="zh-CN"/>
              </w:rPr>
              <w:t>控制程序</w:t>
            </w:r>
            <w:r>
              <w:rPr>
                <w:rFonts w:hint="eastAsia"/>
                <w:color w:val="auto"/>
              </w:rPr>
              <w:t>》，规定了对选择评价和重新评审供方的方法。通过调查供方的质量保证能力如：具有营业登记、产品质量、质量保证能力、价格、交货、服务、质量管理体系等方面进行评价。</w:t>
            </w:r>
          </w:p>
          <w:p>
            <w:pPr>
              <w:rPr>
                <w:rFonts w:hint="default" w:eastAsia="宋体"/>
                <w:color w:val="auto"/>
                <w:lang w:val="en-US" w:eastAsia="zh-CN"/>
              </w:rPr>
            </w:pPr>
            <w:r>
              <w:rPr>
                <w:rFonts w:hint="eastAsia"/>
                <w:color w:val="auto"/>
              </w:rPr>
              <w:t>主要</w:t>
            </w:r>
            <w:r>
              <w:rPr>
                <w:rFonts w:hint="eastAsia"/>
                <w:color w:val="auto"/>
                <w:lang w:val="en-US" w:eastAsia="zh-CN"/>
              </w:rPr>
              <w:t>由网上京东商城采购办公用品。</w:t>
            </w:r>
          </w:p>
          <w:p>
            <w:pPr>
              <w:rPr>
                <w:rFonts w:hint="eastAsia"/>
              </w:rPr>
            </w:pPr>
            <w:r>
              <w:rPr>
                <w:rFonts w:hint="eastAsia"/>
              </w:rPr>
              <w:t>识别的外包过程：</w:t>
            </w:r>
            <w:r>
              <w:rPr>
                <w:rFonts w:hint="eastAsia"/>
                <w:lang w:val="en-US" w:eastAsia="zh-CN"/>
              </w:rPr>
              <w:t>无</w:t>
            </w:r>
            <w:r>
              <w:rPr>
                <w:rFonts w:hint="eastAsia"/>
              </w:rPr>
              <w:t>。</w:t>
            </w:r>
          </w:p>
          <w:p>
            <w:pPr>
              <w:rPr>
                <w:rFonts w:hint="eastAsia"/>
                <w:lang w:val="en-US" w:eastAsia="zh-CN"/>
              </w:rPr>
            </w:pPr>
            <w:r>
              <w:rPr>
                <w:rFonts w:hint="eastAsia" w:asciiTheme="minorEastAsia" w:hAnsiTheme="minorEastAsia" w:eastAsiaTheme="minorEastAsia" w:cstheme="minorEastAsia"/>
                <w:bCs/>
                <w:sz w:val="21"/>
                <w:szCs w:val="21"/>
                <w:lang w:val="en-US" w:eastAsia="zh-CN"/>
              </w:rPr>
              <w:t>----</w:t>
            </w:r>
            <w:r>
              <w:rPr>
                <w:rFonts w:hint="eastAsia"/>
              </w:rPr>
              <w:t>查《合格供方名录》</w:t>
            </w:r>
            <w:r>
              <w:rPr>
                <w:rFonts w:hint="eastAsia"/>
                <w:lang w:eastAsia="zh-CN"/>
              </w:rPr>
              <w:t>，</w:t>
            </w:r>
            <w:r>
              <w:rPr>
                <w:rFonts w:hint="eastAsia"/>
                <w:lang w:val="en-US" w:eastAsia="zh-CN"/>
              </w:rPr>
              <w:t>列入了</w:t>
            </w:r>
            <w:r>
              <w:rPr>
                <w:rFonts w:hint="eastAsia"/>
                <w:color w:val="auto"/>
                <w:lang w:val="en-US" w:eastAsia="zh-CN"/>
              </w:rPr>
              <w:t>网上京东商城</w:t>
            </w:r>
            <w:r>
              <w:rPr>
                <w:rFonts w:hint="eastAsia"/>
                <w:lang w:val="en-US" w:eastAsia="zh-CN"/>
              </w:rPr>
              <w:t>，2022.6.1重新进行了供方评价，可以继续列入合格供方。</w:t>
            </w:r>
          </w:p>
          <w:p>
            <w:pPr>
              <w:pStyle w:val="2"/>
              <w:numPr>
                <w:ilvl w:val="0"/>
                <w:numId w:val="0"/>
              </w:numPr>
              <w:ind w:left="0" w:leftChars="0" w:firstLine="0" w:firstLineChars="0"/>
              <w:rPr>
                <w:rFonts w:hint="eastAsia" w:ascii="Times New Roman" w:hAnsi="Times New Roman" w:eastAsia="宋体" w:cs="Times New Roman"/>
                <w:bCs/>
                <w:spacing w:val="10"/>
                <w:kern w:val="2"/>
                <w:sz w:val="21"/>
                <w:lang w:val="en-US" w:eastAsia="zh-CN" w:bidi="ar-SA"/>
              </w:rPr>
            </w:pPr>
            <w:r>
              <w:rPr>
                <w:rFonts w:hint="eastAsia"/>
                <w:lang w:val="en-US" w:eastAsia="zh-CN"/>
              </w:rPr>
              <w:t>自上审核后，网上采购了办公用品，基本没有退货情况发生。</w:t>
            </w:r>
          </w:p>
        </w:tc>
        <w:tc>
          <w:tcPr>
            <w:tcW w:w="895"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60" w:type="dxa"/>
            <w:vAlign w:val="top"/>
          </w:tcPr>
          <w:p>
            <w:pPr>
              <w:jc w:val="both"/>
            </w:pPr>
            <w:r>
              <w:rPr>
                <w:rFonts w:hint="eastAsia"/>
                <w:szCs w:val="21"/>
              </w:rPr>
              <w:t>内部审核</w:t>
            </w:r>
          </w:p>
        </w:tc>
        <w:tc>
          <w:tcPr>
            <w:tcW w:w="1058" w:type="dxa"/>
            <w:vAlign w:val="top"/>
          </w:tcPr>
          <w:p>
            <w:pPr>
              <w:jc w:val="both"/>
              <w:rPr>
                <w:szCs w:val="21"/>
              </w:rPr>
            </w:pPr>
            <w:r>
              <w:rPr>
                <w:rFonts w:hint="eastAsia"/>
                <w:szCs w:val="21"/>
              </w:rPr>
              <w:t>QEO9.2</w:t>
            </w:r>
          </w:p>
          <w:p>
            <w:pPr>
              <w:jc w:val="both"/>
            </w:pPr>
          </w:p>
        </w:tc>
        <w:tc>
          <w:tcPr>
            <w:tcW w:w="10596" w:type="dxa"/>
            <w:vAlign w:val="top"/>
          </w:tcPr>
          <w:p>
            <w:pPr>
              <w:ind w:firstLine="420" w:firstLineChars="200"/>
              <w:jc w:val="both"/>
              <w:rPr>
                <w:rFonts w:ascii="宋体" w:hAnsi="宋体" w:cs="宋体"/>
                <w:szCs w:val="21"/>
              </w:rPr>
            </w:pPr>
            <w:r>
              <w:rPr>
                <w:rFonts w:hint="eastAsia" w:ascii="宋体" w:hAnsi="宋体" w:cs="宋体"/>
                <w:szCs w:val="21"/>
              </w:rPr>
              <w:t>公司制定《内部审核控制程序》，对内部审核方案策划规定：</w:t>
            </w:r>
          </w:p>
          <w:p>
            <w:pPr>
              <w:jc w:val="both"/>
              <w:rPr>
                <w:rFonts w:ascii="宋体" w:hAnsi="宋体" w:cs="宋体"/>
                <w:szCs w:val="21"/>
              </w:rPr>
            </w:pPr>
            <w:r>
              <w:rPr>
                <w:rFonts w:hint="eastAsia" w:ascii="宋体" w:hAnsi="宋体" w:cs="宋体"/>
                <w:szCs w:val="21"/>
              </w:rPr>
              <w:t>1.频次：内审每年至少进行一次，两次内部审核的时间间隔不超过12个月。</w:t>
            </w:r>
          </w:p>
          <w:p>
            <w:pPr>
              <w:jc w:val="both"/>
              <w:rPr>
                <w:rFonts w:ascii="宋体" w:hAnsi="宋体" w:cs="宋体"/>
                <w:szCs w:val="21"/>
              </w:rPr>
            </w:pPr>
            <w:r>
              <w:rPr>
                <w:rFonts w:hint="eastAsia" w:ascii="宋体" w:hAnsi="宋体" w:cs="宋体"/>
                <w:szCs w:val="21"/>
              </w:rPr>
              <w:t>2.方法：集中式按部门审核。</w:t>
            </w:r>
          </w:p>
          <w:p>
            <w:pPr>
              <w:jc w:val="both"/>
              <w:rPr>
                <w:rFonts w:ascii="宋体" w:hAnsi="宋体" w:cs="宋体"/>
                <w:szCs w:val="21"/>
              </w:rPr>
            </w:pPr>
            <w:r>
              <w:rPr>
                <w:rFonts w:hint="eastAsia" w:ascii="宋体" w:hAnsi="宋体" w:cs="宋体"/>
                <w:szCs w:val="21"/>
              </w:rPr>
              <w:t>3.职责：体系负责人组织内部审核活动。</w:t>
            </w:r>
          </w:p>
          <w:p>
            <w:pPr>
              <w:jc w:val="both"/>
              <w:rPr>
                <w:rFonts w:ascii="宋体" w:hAnsi="宋体" w:cs="宋体"/>
                <w:szCs w:val="21"/>
              </w:rPr>
            </w:pPr>
            <w:r>
              <w:rPr>
                <w:rFonts w:hint="eastAsia" w:ascii="宋体" w:hAnsi="宋体" w:cs="宋体"/>
                <w:szCs w:val="21"/>
              </w:rPr>
              <w:t>4.策划要求：范围、准则、工作分配等。</w:t>
            </w:r>
          </w:p>
          <w:p>
            <w:pPr>
              <w:jc w:val="both"/>
              <w:rPr>
                <w:rFonts w:ascii="宋体" w:hAnsi="宋体" w:cs="宋体"/>
                <w:szCs w:val="21"/>
              </w:rPr>
            </w:pPr>
            <w:r>
              <w:rPr>
                <w:rFonts w:hint="eastAsia" w:ascii="宋体" w:hAnsi="宋体" w:cs="宋体"/>
                <w:szCs w:val="21"/>
              </w:rPr>
              <w:t>5.报告：体系负责人在内部审核结束及纠正措施完成后应向总经理报告审核结果。</w:t>
            </w:r>
          </w:p>
          <w:p>
            <w:pPr>
              <w:jc w:val="both"/>
              <w:rPr>
                <w:rFonts w:ascii="宋体" w:hAnsi="宋体" w:cs="宋体"/>
                <w:szCs w:val="21"/>
              </w:rPr>
            </w:pPr>
            <w:r>
              <w:rPr>
                <w:rFonts w:hint="eastAsia" w:ascii="宋体" w:hAnsi="宋体" w:cs="宋体"/>
                <w:szCs w:val="21"/>
              </w:rPr>
              <w:t>6.提供了《年度内审方案》，计划内容有：目的、范围、审核准则，审核时间</w:t>
            </w:r>
            <w:r>
              <w:rPr>
                <w:rFonts w:hint="eastAsia"/>
                <w:color w:val="000000"/>
                <w:szCs w:val="21"/>
              </w:rPr>
              <w:t>202</w:t>
            </w:r>
            <w:r>
              <w:rPr>
                <w:rFonts w:hint="eastAsia"/>
                <w:color w:val="000000"/>
                <w:szCs w:val="21"/>
                <w:lang w:val="en-US" w:eastAsia="zh-CN"/>
              </w:rPr>
              <w:t>2</w:t>
            </w:r>
            <w:r>
              <w:rPr>
                <w:rFonts w:hint="eastAsia"/>
                <w:color w:val="000000"/>
                <w:szCs w:val="21"/>
              </w:rPr>
              <w:t>年</w:t>
            </w:r>
            <w:r>
              <w:rPr>
                <w:rFonts w:hint="eastAsia"/>
                <w:color w:val="000000"/>
                <w:szCs w:val="21"/>
                <w:lang w:val="en-US" w:eastAsia="zh-CN"/>
              </w:rPr>
              <w:t>11</w:t>
            </w:r>
            <w:r>
              <w:rPr>
                <w:rFonts w:hint="eastAsia"/>
                <w:color w:val="000000"/>
                <w:szCs w:val="21"/>
              </w:rPr>
              <w:t>月</w:t>
            </w:r>
            <w:r>
              <w:rPr>
                <w:rFonts w:hint="eastAsia" w:ascii="宋体" w:hAnsi="宋体" w:cs="宋体"/>
                <w:szCs w:val="21"/>
              </w:rPr>
              <w:t>。</w:t>
            </w:r>
          </w:p>
          <w:p>
            <w:pPr>
              <w:jc w:val="both"/>
              <w:rPr>
                <w:rFonts w:ascii="宋体" w:hAnsi="宋体" w:cs="宋体"/>
                <w:szCs w:val="21"/>
              </w:rPr>
            </w:pPr>
            <w:r>
              <w:rPr>
                <w:rFonts w:hint="eastAsia" w:ascii="宋体" w:hAnsi="宋体" w:cs="宋体"/>
                <w:szCs w:val="21"/>
              </w:rPr>
              <w:t>查阅内部审核有关记录</w:t>
            </w:r>
          </w:p>
          <w:p>
            <w:pPr>
              <w:numPr>
                <w:ilvl w:val="0"/>
                <w:numId w:val="1"/>
              </w:numPr>
              <w:jc w:val="both"/>
              <w:rPr>
                <w:rFonts w:hint="eastAsia"/>
                <w:bCs/>
                <w:color w:val="000000"/>
                <w:szCs w:val="21"/>
              </w:rPr>
            </w:pPr>
            <w:r>
              <w:rPr>
                <w:rFonts w:hint="eastAsia" w:ascii="宋体" w:hAnsi="宋体" w:cs="宋体"/>
                <w:szCs w:val="21"/>
              </w:rPr>
              <w:t>提供了审核组名单：</w:t>
            </w:r>
            <w:r>
              <w:rPr>
                <w:rFonts w:hint="eastAsia"/>
                <w:bCs/>
                <w:color w:val="000000"/>
                <w:szCs w:val="21"/>
              </w:rPr>
              <w:t>组长</w:t>
            </w:r>
            <w:r>
              <w:rPr>
                <w:rFonts w:hint="eastAsia" w:ascii="宋体" w:hAnsi="宋体" w:eastAsia="宋体" w:cs="宋体"/>
                <w:szCs w:val="21"/>
              </w:rPr>
              <w:t>：</w:t>
            </w:r>
            <w:r>
              <w:rPr>
                <w:rFonts w:hint="eastAsia" w:ascii="宋体" w:hAnsi="宋体" w:eastAsia="宋体" w:cs="宋体"/>
                <w:szCs w:val="21"/>
                <w:lang w:eastAsia="zh-CN"/>
              </w:rPr>
              <w:t>刘娟娟</w:t>
            </w:r>
            <w:r>
              <w:rPr>
                <w:rFonts w:hint="eastAsia" w:ascii="宋体" w:hAnsi="宋体" w:eastAsia="宋体" w:cs="宋体"/>
                <w:szCs w:val="21"/>
              </w:rPr>
              <w:t xml:space="preserve"> 组员：</w:t>
            </w:r>
            <w:r>
              <w:rPr>
                <w:rFonts w:hint="eastAsia" w:ascii="宋体" w:hAnsi="宋体" w:eastAsia="宋体" w:cs="宋体"/>
                <w:szCs w:val="21"/>
                <w:lang w:eastAsia="zh-CN"/>
              </w:rPr>
              <w:t>高丙帅</w:t>
            </w:r>
            <w:r>
              <w:rPr>
                <w:rFonts w:hint="eastAsia" w:ascii="宋体" w:hAnsi="宋体" w:eastAsia="宋体" w:cs="宋体"/>
                <w:szCs w:val="21"/>
                <w:lang w:val="en-US" w:eastAsia="zh-CN"/>
              </w:rPr>
              <w:t xml:space="preserve"> </w:t>
            </w:r>
            <w:r>
              <w:rPr>
                <w:rFonts w:hint="eastAsia" w:ascii="宋体" w:hAnsi="宋体" w:eastAsia="宋体" w:cs="宋体"/>
                <w:szCs w:val="21"/>
              </w:rPr>
              <w:t>审核时</w:t>
            </w:r>
            <w:r>
              <w:rPr>
                <w:rFonts w:hint="eastAsia" w:ascii="宋体" w:hAnsi="宋体" w:cs="宋体"/>
                <w:szCs w:val="21"/>
              </w:rPr>
              <w:t xml:space="preserve">间：  </w:t>
            </w:r>
            <w:r>
              <w:rPr>
                <w:rFonts w:hint="eastAsia"/>
                <w:color w:val="000000"/>
                <w:szCs w:val="21"/>
                <w:lang w:eastAsia="zh-CN"/>
              </w:rPr>
              <w:t>2022年</w:t>
            </w:r>
            <w:r>
              <w:rPr>
                <w:rFonts w:hint="eastAsia"/>
                <w:color w:val="000000"/>
                <w:szCs w:val="21"/>
                <w:lang w:val="en-US" w:eastAsia="zh-CN"/>
              </w:rPr>
              <w:t>11</w:t>
            </w:r>
            <w:r>
              <w:rPr>
                <w:rFonts w:hint="eastAsia"/>
                <w:color w:val="000000"/>
                <w:szCs w:val="21"/>
              </w:rPr>
              <w:t>月</w:t>
            </w:r>
            <w:r>
              <w:rPr>
                <w:rFonts w:hint="eastAsia"/>
                <w:color w:val="000000"/>
                <w:szCs w:val="21"/>
                <w:lang w:val="en-US" w:eastAsia="zh-CN"/>
              </w:rPr>
              <w:t>15</w:t>
            </w:r>
            <w:r>
              <w:rPr>
                <w:rFonts w:hint="eastAsia"/>
                <w:color w:val="000000"/>
                <w:szCs w:val="21"/>
              </w:rPr>
              <w:t>-</w:t>
            </w:r>
            <w:r>
              <w:rPr>
                <w:rFonts w:hint="eastAsia"/>
                <w:color w:val="000000"/>
                <w:szCs w:val="21"/>
                <w:lang w:val="en-US" w:eastAsia="zh-CN"/>
              </w:rPr>
              <w:t>16</w:t>
            </w:r>
            <w:r>
              <w:rPr>
                <w:rFonts w:hint="eastAsia"/>
                <w:color w:val="000000"/>
                <w:szCs w:val="21"/>
              </w:rPr>
              <w:t>日</w:t>
            </w:r>
          </w:p>
          <w:p>
            <w:pPr>
              <w:jc w:val="both"/>
              <w:rPr>
                <w:rFonts w:ascii="华文中宋" w:hAnsi="华文中宋" w:eastAsia="华文中宋"/>
                <w:color w:val="000000"/>
                <w:sz w:val="24"/>
              </w:rPr>
            </w:pPr>
            <w:r>
              <w:rPr>
                <w:rFonts w:hint="eastAsia" w:ascii="宋体" w:hAnsi="宋体" w:cs="宋体"/>
                <w:szCs w:val="21"/>
              </w:rPr>
              <w:t>3.审核范围：管理手册覆盖的所有部门及过程；</w:t>
            </w:r>
          </w:p>
          <w:p>
            <w:pPr>
              <w:jc w:val="both"/>
              <w:rPr>
                <w:rFonts w:ascii="宋体" w:hAnsi="宋体" w:cs="宋体"/>
                <w:szCs w:val="21"/>
              </w:rPr>
            </w:pPr>
            <w:r>
              <w:rPr>
                <w:rFonts w:hint="eastAsia" w:ascii="宋体" w:hAnsi="宋体" w:cs="宋体"/>
                <w:szCs w:val="21"/>
              </w:rPr>
              <w:t>4.审核准则：</w:t>
            </w:r>
            <w:r>
              <w:rPr>
                <w:rFonts w:hint="eastAsia" w:asciiTheme="minorEastAsia" w:hAnsiTheme="minorEastAsia" w:eastAsiaTheme="minorEastAsia" w:cstheme="minorEastAsia"/>
                <w:color w:val="auto"/>
                <w:sz w:val="21"/>
                <w:szCs w:val="21"/>
                <w:lang w:eastAsia="zh-CN"/>
              </w:rPr>
              <w:t>GB/T19001-2016</w:t>
            </w:r>
            <w:r>
              <w:rPr>
                <w:rFonts w:hint="eastAsia" w:ascii="宋体" w:hAnsi="宋体" w:cs="宋体"/>
                <w:szCs w:val="21"/>
              </w:rPr>
              <w:t>《质量管理体系 要求》、</w:t>
            </w:r>
            <w:r>
              <w:rPr>
                <w:rFonts w:hint="eastAsia" w:asciiTheme="minorEastAsia" w:hAnsiTheme="minorEastAsia" w:eastAsiaTheme="minorEastAsia" w:cstheme="minorEastAsia"/>
                <w:color w:val="auto"/>
                <w:sz w:val="21"/>
                <w:szCs w:val="21"/>
                <w:lang w:eastAsia="zh-CN"/>
              </w:rPr>
              <w:t>GB/T24001-2016</w:t>
            </w:r>
            <w:r>
              <w:rPr>
                <w:rFonts w:hint="eastAsia" w:ascii="宋体" w:hAnsi="宋体" w:cs="宋体"/>
                <w:szCs w:val="21"/>
              </w:rPr>
              <w:t>《环境管理体系 要求及使用指南》、</w:t>
            </w:r>
            <w:r>
              <w:rPr>
                <w:rFonts w:hint="eastAsia" w:asciiTheme="minorEastAsia" w:hAnsiTheme="minorEastAsia" w:eastAsiaTheme="minorEastAsia" w:cstheme="minorEastAsia"/>
                <w:color w:val="auto"/>
                <w:sz w:val="21"/>
                <w:szCs w:val="21"/>
                <w:lang w:eastAsia="zh-CN"/>
              </w:rPr>
              <w:t>GB/T</w:t>
            </w:r>
            <w:r>
              <w:rPr>
                <w:rFonts w:hint="eastAsia" w:asciiTheme="minorEastAsia" w:hAnsiTheme="minorEastAsia" w:eastAsiaTheme="minorEastAsia" w:cstheme="minorEastAsia"/>
                <w:color w:val="auto"/>
                <w:sz w:val="21"/>
                <w:szCs w:val="21"/>
                <w:lang w:val="en-US" w:eastAsia="zh-CN"/>
              </w:rPr>
              <w:t>45</w:t>
            </w:r>
            <w:r>
              <w:rPr>
                <w:rFonts w:hint="eastAsia" w:asciiTheme="minorEastAsia" w:hAnsiTheme="minorEastAsia" w:eastAsiaTheme="minorEastAsia" w:cstheme="minorEastAsia"/>
                <w:color w:val="auto"/>
                <w:sz w:val="21"/>
                <w:szCs w:val="21"/>
                <w:lang w:eastAsia="zh-CN"/>
              </w:rPr>
              <w:t>001-20</w:t>
            </w:r>
            <w:r>
              <w:rPr>
                <w:rFonts w:hint="eastAsia" w:asciiTheme="minorEastAsia" w:hAnsiTheme="minorEastAsia" w:eastAsiaTheme="minorEastAsia" w:cstheme="minorEastAsia"/>
                <w:color w:val="auto"/>
                <w:sz w:val="21"/>
                <w:szCs w:val="21"/>
                <w:lang w:val="en-US" w:eastAsia="zh-CN"/>
              </w:rPr>
              <w:t>20</w:t>
            </w:r>
            <w:r>
              <w:rPr>
                <w:rFonts w:hint="eastAsia" w:ascii="宋体" w:hAnsi="宋体" w:cs="宋体"/>
                <w:szCs w:val="21"/>
              </w:rPr>
              <w:t>《职业健康安全管理体系 要求》、公司管理体系文件、适用的法律法规、</w:t>
            </w:r>
            <w:r>
              <w:rPr>
                <w:rFonts w:hint="eastAsia" w:ascii="宋体" w:hAnsi="宋体" w:cs="宋体"/>
                <w:szCs w:val="21"/>
                <w:lang w:val="en-US" w:eastAsia="zh-CN"/>
              </w:rPr>
              <w:t>执行</w:t>
            </w:r>
            <w:r>
              <w:rPr>
                <w:rFonts w:hint="eastAsia" w:ascii="宋体" w:hAnsi="宋体" w:cs="宋体"/>
                <w:szCs w:val="21"/>
              </w:rPr>
              <w:t>标准等。</w:t>
            </w:r>
          </w:p>
          <w:p>
            <w:pPr>
              <w:jc w:val="both"/>
              <w:rPr>
                <w:rFonts w:ascii="宋体" w:hAnsi="宋体" w:cs="宋体"/>
                <w:szCs w:val="21"/>
              </w:rPr>
            </w:pPr>
            <w:r>
              <w:rPr>
                <w:rFonts w:hint="eastAsia" w:ascii="宋体" w:hAnsi="宋体" w:cs="宋体"/>
                <w:szCs w:val="21"/>
              </w:rPr>
              <w:t>5.提供了《内审首次会议签到表》，参加人有各部门负责人等。</w:t>
            </w:r>
          </w:p>
          <w:p>
            <w:pPr>
              <w:jc w:val="both"/>
              <w:rPr>
                <w:rFonts w:ascii="宋体" w:hAnsi="宋体" w:cs="宋体"/>
                <w:szCs w:val="21"/>
              </w:rPr>
            </w:pPr>
            <w:r>
              <w:rPr>
                <w:rFonts w:hint="eastAsia" w:ascii="宋体" w:hAnsi="宋体" w:cs="宋体"/>
                <w:szCs w:val="21"/>
              </w:rPr>
              <w:t>6.提供了《内审检查表》，经查阅对照，受审核部门涉及条款与公司管理体系职责分配相一致。</w:t>
            </w:r>
          </w:p>
          <w:p>
            <w:pPr>
              <w:pStyle w:val="2"/>
              <w:ind w:firstLine="210" w:firstLineChars="100"/>
              <w:jc w:val="both"/>
              <w:rPr>
                <w:rFonts w:ascii="宋体" w:hAnsi="宋体" w:cs="宋体"/>
                <w:bCs w:val="0"/>
                <w:spacing w:val="0"/>
                <w:szCs w:val="21"/>
              </w:rPr>
            </w:pPr>
            <w:r>
              <w:rPr>
                <w:rFonts w:hint="eastAsia" w:ascii="宋体" w:hAnsi="宋体" w:cs="宋体"/>
                <w:bCs w:val="0"/>
                <w:spacing w:val="0"/>
                <w:szCs w:val="21"/>
              </w:rPr>
              <w:t>审核计划安排合理，审核记录基本满足要求。</w:t>
            </w:r>
          </w:p>
          <w:p>
            <w:pPr>
              <w:jc w:val="both"/>
              <w:rPr>
                <w:rFonts w:ascii="宋体" w:hAnsi="宋体" w:cs="宋体"/>
                <w:szCs w:val="21"/>
              </w:rPr>
            </w:pPr>
            <w:r>
              <w:rPr>
                <w:rFonts w:hint="eastAsia" w:ascii="宋体" w:hAnsi="宋体" w:cs="宋体"/>
                <w:szCs w:val="21"/>
              </w:rPr>
              <w:t>提供了《内审不符合报告》，不符合</w:t>
            </w:r>
            <w:r>
              <w:rPr>
                <w:rFonts w:hint="eastAsia" w:asciiTheme="minorEastAsia" w:hAnsiTheme="minorEastAsia" w:eastAsiaTheme="minorEastAsia" w:cstheme="minorEastAsia"/>
                <w:color w:val="auto"/>
                <w:sz w:val="21"/>
                <w:szCs w:val="21"/>
                <w:lang w:eastAsia="zh-CN"/>
              </w:rPr>
              <w:t>GB/T24001-2016、GB/T</w:t>
            </w:r>
            <w:r>
              <w:rPr>
                <w:rFonts w:hint="eastAsia" w:asciiTheme="minorEastAsia" w:hAnsiTheme="minorEastAsia" w:eastAsiaTheme="minorEastAsia" w:cstheme="minorEastAsia"/>
                <w:color w:val="auto"/>
                <w:sz w:val="21"/>
                <w:szCs w:val="21"/>
                <w:lang w:val="en-US" w:eastAsia="zh-CN"/>
              </w:rPr>
              <w:t>45</w:t>
            </w:r>
            <w:r>
              <w:rPr>
                <w:rFonts w:hint="eastAsia" w:asciiTheme="minorEastAsia" w:hAnsiTheme="minorEastAsia" w:eastAsiaTheme="minorEastAsia" w:cstheme="minorEastAsia"/>
                <w:color w:val="auto"/>
                <w:sz w:val="21"/>
                <w:szCs w:val="21"/>
                <w:lang w:eastAsia="zh-CN"/>
              </w:rPr>
              <w:t>001-20</w:t>
            </w:r>
            <w:r>
              <w:rPr>
                <w:rFonts w:hint="eastAsia" w:asciiTheme="minorEastAsia" w:hAnsiTheme="minorEastAsia" w:eastAsiaTheme="minorEastAsia" w:cstheme="minorEastAsia"/>
                <w:color w:val="auto"/>
                <w:sz w:val="21"/>
                <w:szCs w:val="21"/>
                <w:lang w:val="en-US" w:eastAsia="zh-CN"/>
              </w:rPr>
              <w:t>20</w:t>
            </w:r>
            <w:r>
              <w:rPr>
                <w:rFonts w:hint="eastAsia" w:ascii="宋体" w:hAnsi="宋体" w:cs="宋体"/>
                <w:szCs w:val="21"/>
              </w:rPr>
              <w:t xml:space="preserve"> 标准</w:t>
            </w:r>
            <w:r>
              <w:rPr>
                <w:rFonts w:hint="eastAsia" w:ascii="宋体" w:hAnsi="宋体" w:cs="宋体"/>
                <w:szCs w:val="21"/>
                <w:lang w:val="en-US" w:eastAsia="zh-CN"/>
              </w:rPr>
              <w:t>7.4</w:t>
            </w:r>
            <w:r>
              <w:rPr>
                <w:rFonts w:hint="eastAsia" w:ascii="宋体" w:hAnsi="宋体" w:cs="宋体"/>
                <w:szCs w:val="21"/>
              </w:rPr>
              <w:t>条款。</w:t>
            </w:r>
          </w:p>
          <w:p>
            <w:pPr>
              <w:spacing w:line="360" w:lineRule="exact"/>
              <w:jc w:val="both"/>
              <w:rPr>
                <w:rFonts w:ascii="宋体" w:hAnsi="宋体" w:cs="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管理体系要求。</w:t>
            </w:r>
          </w:p>
          <w:p>
            <w:pPr>
              <w:jc w:val="both"/>
              <w:rPr>
                <w:rFonts w:ascii="宋体" w:hAnsi="宋体" w:cs="宋体"/>
                <w:szCs w:val="21"/>
              </w:rPr>
            </w:pPr>
            <w:r>
              <w:rPr>
                <w:rFonts w:hint="eastAsia" w:ascii="宋体" w:hAnsi="宋体" w:cs="宋体"/>
                <w:szCs w:val="21"/>
              </w:rPr>
              <w:t>审核结论：综合来看，这次内审是比较成功的审核，同时也发现我公司的质量/环境/安全管理体系运行基本是正常的、有效的。</w:t>
            </w:r>
          </w:p>
          <w:p>
            <w:pPr>
              <w:jc w:val="both"/>
            </w:pPr>
            <w:r>
              <w:rPr>
                <w:rFonts w:hint="eastAsia" w:ascii="宋体" w:hAnsi="宋体" w:cs="宋体"/>
                <w:szCs w:val="21"/>
              </w:rPr>
              <w:t>审</w:t>
            </w:r>
            <w:r>
              <w:rPr>
                <w:rFonts w:hint="eastAsia" w:ascii="宋体" w:hAnsi="宋体" w:cs="宋体"/>
                <w:szCs w:val="21"/>
                <w:lang w:val="en-US" w:eastAsia="zh-CN"/>
              </w:rPr>
              <w:t>核</w:t>
            </w:r>
            <w:r>
              <w:rPr>
                <w:rFonts w:hint="eastAsia" w:ascii="宋体" w:hAnsi="宋体" w:cs="宋体"/>
                <w:szCs w:val="21"/>
              </w:rPr>
              <w:t>员没有审核自己部门工作，具有独立性。</w:t>
            </w:r>
          </w:p>
        </w:tc>
        <w:tc>
          <w:tcPr>
            <w:tcW w:w="895" w:type="dxa"/>
            <w:vAlign w:val="top"/>
          </w:tcPr>
          <w:p>
            <w:pPr>
              <w:jc w:val="both"/>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160" w:type="dxa"/>
            <w:vAlign w:val="top"/>
          </w:tcPr>
          <w:p>
            <w:pPr>
              <w:jc w:val="both"/>
              <w:rPr>
                <w:szCs w:val="21"/>
              </w:rPr>
            </w:pPr>
            <w:r>
              <w:rPr>
                <w:rFonts w:hint="eastAsia"/>
                <w:szCs w:val="21"/>
              </w:rPr>
              <w:t>不符合和纠正措施</w:t>
            </w:r>
          </w:p>
          <w:p>
            <w:pPr>
              <w:jc w:val="both"/>
              <w:rPr>
                <w:szCs w:val="21"/>
              </w:rPr>
            </w:pPr>
            <w:r>
              <w:rPr>
                <w:rFonts w:hint="eastAsia"/>
                <w:szCs w:val="21"/>
              </w:rPr>
              <w:t>事件调查、不符合、纠正措施和预防措施</w:t>
            </w:r>
          </w:p>
        </w:tc>
        <w:tc>
          <w:tcPr>
            <w:tcW w:w="1058" w:type="dxa"/>
            <w:vAlign w:val="top"/>
          </w:tcPr>
          <w:p>
            <w:pPr>
              <w:jc w:val="both"/>
              <w:rPr>
                <w:szCs w:val="21"/>
              </w:rPr>
            </w:pPr>
            <w:r>
              <w:rPr>
                <w:rFonts w:hint="eastAsia"/>
                <w:szCs w:val="21"/>
              </w:rPr>
              <w:t>Q</w:t>
            </w:r>
            <w:r>
              <w:rPr>
                <w:szCs w:val="21"/>
              </w:rPr>
              <w:t>E</w:t>
            </w:r>
            <w:r>
              <w:rPr>
                <w:rFonts w:hint="eastAsia"/>
                <w:szCs w:val="21"/>
              </w:rPr>
              <w:t>O</w:t>
            </w:r>
          </w:p>
          <w:p>
            <w:pPr>
              <w:jc w:val="both"/>
              <w:rPr>
                <w:szCs w:val="21"/>
              </w:rPr>
            </w:pPr>
            <w:r>
              <w:rPr>
                <w:szCs w:val="21"/>
              </w:rPr>
              <w:t>10.2</w:t>
            </w:r>
          </w:p>
          <w:p>
            <w:pPr>
              <w:jc w:val="both"/>
              <w:rPr>
                <w:szCs w:val="21"/>
              </w:rPr>
            </w:pPr>
          </w:p>
        </w:tc>
        <w:tc>
          <w:tcPr>
            <w:tcW w:w="10596" w:type="dxa"/>
            <w:vAlign w:val="top"/>
          </w:tcPr>
          <w:p>
            <w:pPr>
              <w:ind w:firstLine="420" w:firstLineChars="200"/>
              <w:jc w:val="both"/>
              <w:rPr>
                <w:szCs w:val="21"/>
              </w:rPr>
            </w:pPr>
            <w:r>
              <w:rPr>
                <w:rFonts w:hint="eastAsia"/>
                <w:szCs w:val="21"/>
              </w:rPr>
              <w:t>企业通过过程的监视和测量、绩效考核、内审、管理评审等方式和机制，确保质量管理制度有效执行。</w:t>
            </w:r>
          </w:p>
          <w:p>
            <w:pPr>
              <w:ind w:firstLine="420" w:firstLineChars="200"/>
              <w:jc w:val="both"/>
              <w:rPr>
                <w:szCs w:val="21"/>
              </w:rPr>
            </w:pPr>
            <w:r>
              <w:rPr>
                <w:rFonts w:hint="eastAsia"/>
                <w:szCs w:val="21"/>
              </w:rPr>
              <w:t>企业经过策划，采用对产品的监视和测量，对不合格品控制等来证实产品的符合性。</w:t>
            </w:r>
          </w:p>
          <w:p>
            <w:pPr>
              <w:keepNext w:val="0"/>
              <w:keepLines w:val="0"/>
              <w:widowControl/>
              <w:suppressLineNumbers w:val="0"/>
              <w:jc w:val="left"/>
              <w:rPr>
                <w:szCs w:val="21"/>
              </w:rPr>
            </w:pPr>
            <w:r>
              <w:rPr>
                <w:rFonts w:hint="eastAsia"/>
                <w:szCs w:val="21"/>
              </w:rPr>
              <w:t>企业制定</w:t>
            </w:r>
            <w:r>
              <w:rPr>
                <w:rFonts w:hint="eastAsia" w:eastAsia="宋体"/>
                <w:szCs w:val="21"/>
              </w:rPr>
              <w:t>《</w:t>
            </w:r>
            <w:r>
              <w:rPr>
                <w:rFonts w:hint="eastAsia" w:eastAsia="宋体"/>
                <w:szCs w:val="21"/>
                <w:lang w:val="en-US" w:eastAsia="zh-CN"/>
              </w:rPr>
              <w:t>纠正与预防措施控制程序</w:t>
            </w:r>
            <w:r>
              <w:rPr>
                <w:rFonts w:hint="eastAsia" w:eastAsia="宋体"/>
                <w:szCs w:val="21"/>
              </w:rPr>
              <w:t>》等</w:t>
            </w:r>
            <w:r>
              <w:rPr>
                <w:rFonts w:hint="eastAsia"/>
                <w:szCs w:val="21"/>
              </w:rPr>
              <w:t>，通过分析实际存在的或潜在的不符合的原因，制定纠正和预防措施，并验证其效果，以防止不符合的发生／再发生，实现持续改进绩效的目的。</w:t>
            </w:r>
          </w:p>
          <w:p>
            <w:pPr>
              <w:ind w:firstLine="420" w:firstLineChars="200"/>
              <w:jc w:val="both"/>
              <w:rPr>
                <w:szCs w:val="21"/>
              </w:rPr>
            </w:pPr>
            <w:r>
              <w:rPr>
                <w:rFonts w:hint="eastAsia"/>
                <w:szCs w:val="21"/>
              </w:rPr>
              <w:t>对内审中的不符合，采取了纠正措施，并验证；</w:t>
            </w:r>
          </w:p>
          <w:p>
            <w:pPr>
              <w:ind w:firstLine="420" w:firstLineChars="200"/>
              <w:jc w:val="both"/>
              <w:rPr>
                <w:szCs w:val="21"/>
              </w:rPr>
            </w:pPr>
            <w:r>
              <w:rPr>
                <w:rFonts w:hint="eastAsia"/>
                <w:szCs w:val="21"/>
              </w:rPr>
              <w:t>为保证公司职业健康安全管理体系的有效运行，通过对安全事件的调查处理，以确保管理体系运行的有效性。</w:t>
            </w:r>
          </w:p>
          <w:p>
            <w:pPr>
              <w:ind w:firstLine="420" w:firstLineChars="200"/>
              <w:jc w:val="both"/>
              <w:rPr>
                <w:szCs w:val="21"/>
              </w:rPr>
            </w:pPr>
            <w:r>
              <w:rPr>
                <w:rFonts w:hint="eastAsia"/>
                <w:szCs w:val="21"/>
              </w:rPr>
              <w:t>经查在公司正常经营活动中，出现了轻微不符合，部门已经采取纠正和纠正措施，经验证纠正措施有效。</w:t>
            </w:r>
          </w:p>
          <w:p>
            <w:pPr>
              <w:ind w:firstLine="420" w:firstLineChars="200"/>
              <w:jc w:val="both"/>
              <w:rPr>
                <w:szCs w:val="21"/>
              </w:rPr>
            </w:pPr>
            <w:r>
              <w:rPr>
                <w:rFonts w:hint="eastAsia"/>
                <w:szCs w:val="21"/>
              </w:rPr>
              <w:t>公司办公和</w:t>
            </w:r>
            <w:r>
              <w:rPr>
                <w:rFonts w:hint="eastAsia"/>
                <w:szCs w:val="21"/>
                <w:lang w:val="en-US" w:eastAsia="zh-CN"/>
              </w:rPr>
              <w:t>咨询服务</w:t>
            </w:r>
            <w:r>
              <w:rPr>
                <w:rFonts w:hint="eastAsia"/>
                <w:szCs w:val="21"/>
              </w:rPr>
              <w:t>活动未发生过环境、安全等事故。</w:t>
            </w:r>
          </w:p>
          <w:p>
            <w:pPr>
              <w:pStyle w:val="2"/>
              <w:jc w:val="both"/>
              <w:rPr>
                <w:bCs w:val="0"/>
                <w:spacing w:val="0"/>
                <w:szCs w:val="21"/>
              </w:rPr>
            </w:pPr>
            <w:r>
              <w:rPr>
                <w:rFonts w:hint="eastAsia"/>
                <w:bCs w:val="0"/>
                <w:spacing w:val="0"/>
                <w:szCs w:val="21"/>
              </w:rPr>
              <w:t>查持续改进：</w:t>
            </w:r>
          </w:p>
          <w:p>
            <w:pPr>
              <w:pStyle w:val="2"/>
              <w:ind w:firstLine="420" w:firstLineChars="200"/>
              <w:jc w:val="both"/>
              <w:rPr>
                <w:bCs w:val="0"/>
                <w:spacing w:val="0"/>
                <w:szCs w:val="21"/>
              </w:rPr>
            </w:pPr>
            <w:r>
              <w:rPr>
                <w:rFonts w:hint="eastAsia"/>
                <w:bCs w:val="0"/>
                <w:spacing w:val="0"/>
                <w:szCs w:val="21"/>
              </w:rPr>
              <w:t>a. 通过管理体系运行，管理方针、目标的实施，内审、管理评审进行持续改进；</w:t>
            </w:r>
          </w:p>
          <w:p>
            <w:pPr>
              <w:pStyle w:val="2"/>
              <w:ind w:firstLine="420" w:firstLineChars="200"/>
              <w:jc w:val="both"/>
              <w:rPr>
                <w:bCs w:val="0"/>
                <w:spacing w:val="0"/>
                <w:szCs w:val="21"/>
              </w:rPr>
            </w:pPr>
            <w:r>
              <w:rPr>
                <w:rFonts w:hint="eastAsia"/>
                <w:bCs w:val="0"/>
                <w:spacing w:val="0"/>
                <w:szCs w:val="21"/>
              </w:rPr>
              <w:t>b. 通过数据分析、纠正、预防措施实施达到持续改进；</w:t>
            </w:r>
          </w:p>
          <w:p>
            <w:pPr>
              <w:pStyle w:val="2"/>
              <w:ind w:firstLine="420" w:firstLineChars="200"/>
              <w:jc w:val="both"/>
              <w:rPr>
                <w:bCs w:val="0"/>
                <w:spacing w:val="0"/>
                <w:szCs w:val="21"/>
              </w:rPr>
            </w:pPr>
            <w:r>
              <w:rPr>
                <w:rFonts w:hint="eastAsia"/>
                <w:bCs w:val="0"/>
                <w:spacing w:val="0"/>
                <w:szCs w:val="21"/>
              </w:rPr>
              <w:t>c. 通过顾客满意度调查，改进、提高产品质量，满足顾客需求，达到持续改进的目的。</w:t>
            </w:r>
          </w:p>
          <w:p>
            <w:pPr>
              <w:ind w:firstLine="420" w:firstLineChars="200"/>
              <w:jc w:val="both"/>
              <w:rPr>
                <w:rFonts w:ascii="宋体" w:hAnsi="宋体" w:cs="宋体"/>
                <w:szCs w:val="21"/>
              </w:rPr>
            </w:pPr>
            <w:r>
              <w:rPr>
                <w:rFonts w:hint="eastAsia"/>
                <w:szCs w:val="21"/>
              </w:rPr>
              <w:t>管理评审提出改进措施</w:t>
            </w:r>
            <w:r>
              <w:rPr>
                <w:rFonts w:hint="eastAsia"/>
                <w:szCs w:val="21"/>
                <w:lang w:val="en-US" w:eastAsia="zh-CN"/>
              </w:rPr>
              <w:t>已完成</w:t>
            </w:r>
            <w:r>
              <w:rPr>
                <w:rFonts w:hint="eastAsia"/>
                <w:szCs w:val="21"/>
              </w:rPr>
              <w:t>。</w:t>
            </w:r>
          </w:p>
        </w:tc>
        <w:tc>
          <w:tcPr>
            <w:tcW w:w="895" w:type="dxa"/>
            <w:vAlign w:val="top"/>
          </w:tcPr>
          <w:p>
            <w:pPr>
              <w:jc w:val="both"/>
              <w:rPr>
                <w:rFonts w:hint="eastAsia" w:eastAsia="宋体"/>
                <w:lang w:val="en-US" w:eastAsia="zh-CN"/>
              </w:rPr>
            </w:pPr>
            <w:r>
              <w:rPr>
                <w:rFonts w:hint="eastAsia"/>
                <w:lang w:val="en-US" w:eastAsia="zh-CN"/>
              </w:rPr>
              <w:t>Y</w:t>
            </w:r>
          </w:p>
        </w:tc>
      </w:tr>
    </w:tbl>
    <w:p>
      <w:r>
        <w:ptab w:relativeTo="margin" w:alignment="center" w:leader="none"/>
      </w:r>
    </w:p>
    <w:p/>
    <w:p/>
    <w:p>
      <w:pPr>
        <w:pStyle w:val="10"/>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11"/>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21"/>
        <w:rFonts w:hint="default"/>
        <w:w w:val="90"/>
      </w:rPr>
      <w:t>Beijing International Standard united Certification Co.,Ltd.</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MjkyOTIxN2VhMThkMTAxMDIyOTYxMWFmYzMzNTgifQ=="/>
  </w:docVars>
  <w:rsids>
    <w:rsidRoot w:val="009973B4"/>
    <w:rsid w:val="00017A34"/>
    <w:rsid w:val="000237F6"/>
    <w:rsid w:val="00024C50"/>
    <w:rsid w:val="0003373A"/>
    <w:rsid w:val="00036143"/>
    <w:rsid w:val="00046917"/>
    <w:rsid w:val="00053AAE"/>
    <w:rsid w:val="00071661"/>
    <w:rsid w:val="00090528"/>
    <w:rsid w:val="000A53EB"/>
    <w:rsid w:val="000B0723"/>
    <w:rsid w:val="00177A91"/>
    <w:rsid w:val="00181E98"/>
    <w:rsid w:val="00187822"/>
    <w:rsid w:val="00193307"/>
    <w:rsid w:val="001A2D7F"/>
    <w:rsid w:val="001C74D7"/>
    <w:rsid w:val="001E6B5E"/>
    <w:rsid w:val="001F0932"/>
    <w:rsid w:val="002003A0"/>
    <w:rsid w:val="002119A8"/>
    <w:rsid w:val="002426BC"/>
    <w:rsid w:val="002539A0"/>
    <w:rsid w:val="0026170D"/>
    <w:rsid w:val="00283657"/>
    <w:rsid w:val="00292C83"/>
    <w:rsid w:val="002B311A"/>
    <w:rsid w:val="002E1F88"/>
    <w:rsid w:val="003022CC"/>
    <w:rsid w:val="00337922"/>
    <w:rsid w:val="00340867"/>
    <w:rsid w:val="003518B5"/>
    <w:rsid w:val="00366399"/>
    <w:rsid w:val="00371C74"/>
    <w:rsid w:val="00375E04"/>
    <w:rsid w:val="00380837"/>
    <w:rsid w:val="00384E2C"/>
    <w:rsid w:val="003A198A"/>
    <w:rsid w:val="003B3E99"/>
    <w:rsid w:val="003D3E93"/>
    <w:rsid w:val="003F5657"/>
    <w:rsid w:val="003F740E"/>
    <w:rsid w:val="00410914"/>
    <w:rsid w:val="00411629"/>
    <w:rsid w:val="00440658"/>
    <w:rsid w:val="00464DDE"/>
    <w:rsid w:val="004674DB"/>
    <w:rsid w:val="00470352"/>
    <w:rsid w:val="00484369"/>
    <w:rsid w:val="004920B1"/>
    <w:rsid w:val="004B720C"/>
    <w:rsid w:val="004E2437"/>
    <w:rsid w:val="004E5837"/>
    <w:rsid w:val="00526127"/>
    <w:rsid w:val="00536930"/>
    <w:rsid w:val="00564E53"/>
    <w:rsid w:val="005946BA"/>
    <w:rsid w:val="005C56FD"/>
    <w:rsid w:val="005C5DF7"/>
    <w:rsid w:val="005D203C"/>
    <w:rsid w:val="005D4E2C"/>
    <w:rsid w:val="005F0441"/>
    <w:rsid w:val="0060324D"/>
    <w:rsid w:val="00636B21"/>
    <w:rsid w:val="00644FE2"/>
    <w:rsid w:val="00646FEC"/>
    <w:rsid w:val="00662A0A"/>
    <w:rsid w:val="00674B11"/>
    <w:rsid w:val="0067640C"/>
    <w:rsid w:val="006836CF"/>
    <w:rsid w:val="006E678B"/>
    <w:rsid w:val="006F2701"/>
    <w:rsid w:val="0072147E"/>
    <w:rsid w:val="0072416A"/>
    <w:rsid w:val="00746279"/>
    <w:rsid w:val="007575E1"/>
    <w:rsid w:val="007757F3"/>
    <w:rsid w:val="00792877"/>
    <w:rsid w:val="00796CD7"/>
    <w:rsid w:val="00797420"/>
    <w:rsid w:val="007A1DA8"/>
    <w:rsid w:val="007A5046"/>
    <w:rsid w:val="007A53EA"/>
    <w:rsid w:val="007D25D3"/>
    <w:rsid w:val="007E6AEB"/>
    <w:rsid w:val="007F14F1"/>
    <w:rsid w:val="008012C2"/>
    <w:rsid w:val="00815D2E"/>
    <w:rsid w:val="00823395"/>
    <w:rsid w:val="008252BD"/>
    <w:rsid w:val="00825954"/>
    <w:rsid w:val="008433DF"/>
    <w:rsid w:val="00862507"/>
    <w:rsid w:val="0089411D"/>
    <w:rsid w:val="008973EE"/>
    <w:rsid w:val="00961F4F"/>
    <w:rsid w:val="009647BC"/>
    <w:rsid w:val="00971600"/>
    <w:rsid w:val="00976228"/>
    <w:rsid w:val="00983C4C"/>
    <w:rsid w:val="009973B4"/>
    <w:rsid w:val="00997D7E"/>
    <w:rsid w:val="009A17DD"/>
    <w:rsid w:val="009C28C1"/>
    <w:rsid w:val="009E5A60"/>
    <w:rsid w:val="009F0149"/>
    <w:rsid w:val="009F2225"/>
    <w:rsid w:val="009F2F86"/>
    <w:rsid w:val="009F7EED"/>
    <w:rsid w:val="00A02F21"/>
    <w:rsid w:val="00A276A6"/>
    <w:rsid w:val="00A3294E"/>
    <w:rsid w:val="00A50632"/>
    <w:rsid w:val="00A51134"/>
    <w:rsid w:val="00AC0499"/>
    <w:rsid w:val="00AF0AAB"/>
    <w:rsid w:val="00B1087D"/>
    <w:rsid w:val="00B13D98"/>
    <w:rsid w:val="00B160FB"/>
    <w:rsid w:val="00B16488"/>
    <w:rsid w:val="00B1795C"/>
    <w:rsid w:val="00B26981"/>
    <w:rsid w:val="00B32E56"/>
    <w:rsid w:val="00B475D1"/>
    <w:rsid w:val="00B50C92"/>
    <w:rsid w:val="00B6150E"/>
    <w:rsid w:val="00B66FE1"/>
    <w:rsid w:val="00B73A93"/>
    <w:rsid w:val="00B95A05"/>
    <w:rsid w:val="00BB0BC9"/>
    <w:rsid w:val="00BC6844"/>
    <w:rsid w:val="00BE29A2"/>
    <w:rsid w:val="00BF597E"/>
    <w:rsid w:val="00C25D84"/>
    <w:rsid w:val="00C5177A"/>
    <w:rsid w:val="00C51A36"/>
    <w:rsid w:val="00C55228"/>
    <w:rsid w:val="00C76E98"/>
    <w:rsid w:val="00C80696"/>
    <w:rsid w:val="00CA1D28"/>
    <w:rsid w:val="00CA65AB"/>
    <w:rsid w:val="00CB1062"/>
    <w:rsid w:val="00CD0F2B"/>
    <w:rsid w:val="00CD106F"/>
    <w:rsid w:val="00CD278B"/>
    <w:rsid w:val="00CE315A"/>
    <w:rsid w:val="00CE6D06"/>
    <w:rsid w:val="00CF776D"/>
    <w:rsid w:val="00D06F59"/>
    <w:rsid w:val="00D11C38"/>
    <w:rsid w:val="00D513CF"/>
    <w:rsid w:val="00D77D72"/>
    <w:rsid w:val="00D8388C"/>
    <w:rsid w:val="00DA2A63"/>
    <w:rsid w:val="00DA57D8"/>
    <w:rsid w:val="00DB65E4"/>
    <w:rsid w:val="00DF2EA5"/>
    <w:rsid w:val="00E155CB"/>
    <w:rsid w:val="00E6360A"/>
    <w:rsid w:val="00E7307B"/>
    <w:rsid w:val="00E754A7"/>
    <w:rsid w:val="00E80AE3"/>
    <w:rsid w:val="00E80CCA"/>
    <w:rsid w:val="00E86639"/>
    <w:rsid w:val="00E93330"/>
    <w:rsid w:val="00E954C4"/>
    <w:rsid w:val="00EB0164"/>
    <w:rsid w:val="00ED0F62"/>
    <w:rsid w:val="00F1746E"/>
    <w:rsid w:val="00F305C2"/>
    <w:rsid w:val="00F3665D"/>
    <w:rsid w:val="00F617EA"/>
    <w:rsid w:val="00F71A76"/>
    <w:rsid w:val="00F77ECA"/>
    <w:rsid w:val="00F87C00"/>
    <w:rsid w:val="00F95653"/>
    <w:rsid w:val="00FA32A7"/>
    <w:rsid w:val="00FB3DD3"/>
    <w:rsid w:val="00FC02C4"/>
    <w:rsid w:val="00FD2F92"/>
    <w:rsid w:val="00FD35C5"/>
    <w:rsid w:val="00FD726A"/>
    <w:rsid w:val="00FF050E"/>
    <w:rsid w:val="01581EA0"/>
    <w:rsid w:val="02B84719"/>
    <w:rsid w:val="02D4328D"/>
    <w:rsid w:val="02FA6253"/>
    <w:rsid w:val="032C3757"/>
    <w:rsid w:val="036603D4"/>
    <w:rsid w:val="04617F72"/>
    <w:rsid w:val="04C04927"/>
    <w:rsid w:val="05B11F2A"/>
    <w:rsid w:val="06400A4B"/>
    <w:rsid w:val="06E01EC3"/>
    <w:rsid w:val="09535250"/>
    <w:rsid w:val="09806D23"/>
    <w:rsid w:val="0B156FC6"/>
    <w:rsid w:val="0B256D46"/>
    <w:rsid w:val="0BB74A17"/>
    <w:rsid w:val="0C1821A1"/>
    <w:rsid w:val="0C5F0639"/>
    <w:rsid w:val="0C85106D"/>
    <w:rsid w:val="0D66233C"/>
    <w:rsid w:val="0D8B1FB3"/>
    <w:rsid w:val="0F6442AD"/>
    <w:rsid w:val="0FDA7F53"/>
    <w:rsid w:val="108219C2"/>
    <w:rsid w:val="11705116"/>
    <w:rsid w:val="11AF5C86"/>
    <w:rsid w:val="129F0DF1"/>
    <w:rsid w:val="15110FDA"/>
    <w:rsid w:val="155A19C5"/>
    <w:rsid w:val="16766361"/>
    <w:rsid w:val="167B53BD"/>
    <w:rsid w:val="17B20018"/>
    <w:rsid w:val="18DB38B5"/>
    <w:rsid w:val="1A120A39"/>
    <w:rsid w:val="1AD215C7"/>
    <w:rsid w:val="1B2C7B1C"/>
    <w:rsid w:val="1E295883"/>
    <w:rsid w:val="1E565434"/>
    <w:rsid w:val="1E90527F"/>
    <w:rsid w:val="21747ECE"/>
    <w:rsid w:val="22017E7F"/>
    <w:rsid w:val="224458A6"/>
    <w:rsid w:val="23544896"/>
    <w:rsid w:val="235E7C88"/>
    <w:rsid w:val="246B6135"/>
    <w:rsid w:val="24FE116D"/>
    <w:rsid w:val="26E4625C"/>
    <w:rsid w:val="27B53290"/>
    <w:rsid w:val="28A46FFC"/>
    <w:rsid w:val="29A06FDB"/>
    <w:rsid w:val="2A134B34"/>
    <w:rsid w:val="2A712F0F"/>
    <w:rsid w:val="2B2E2752"/>
    <w:rsid w:val="2B9022F9"/>
    <w:rsid w:val="2BFC024F"/>
    <w:rsid w:val="2C9B1E1D"/>
    <w:rsid w:val="2F4B0E69"/>
    <w:rsid w:val="30D16CC5"/>
    <w:rsid w:val="31C028B0"/>
    <w:rsid w:val="37476F8A"/>
    <w:rsid w:val="383E2EF6"/>
    <w:rsid w:val="38610411"/>
    <w:rsid w:val="38AA56C2"/>
    <w:rsid w:val="38E10519"/>
    <w:rsid w:val="39827C37"/>
    <w:rsid w:val="3C125F9B"/>
    <w:rsid w:val="3C1959EB"/>
    <w:rsid w:val="3D2F613A"/>
    <w:rsid w:val="3E1444F6"/>
    <w:rsid w:val="3F3B2173"/>
    <w:rsid w:val="40715AC8"/>
    <w:rsid w:val="40B67F76"/>
    <w:rsid w:val="415E2F32"/>
    <w:rsid w:val="41E277AB"/>
    <w:rsid w:val="429A35A3"/>
    <w:rsid w:val="435C1130"/>
    <w:rsid w:val="43902917"/>
    <w:rsid w:val="442828E9"/>
    <w:rsid w:val="458C33B1"/>
    <w:rsid w:val="45AF65DF"/>
    <w:rsid w:val="47477F1D"/>
    <w:rsid w:val="49BA3960"/>
    <w:rsid w:val="4A0F666A"/>
    <w:rsid w:val="4B4B30DE"/>
    <w:rsid w:val="4BFA763C"/>
    <w:rsid w:val="4C4035AE"/>
    <w:rsid w:val="4DDC3C53"/>
    <w:rsid w:val="4F7F35B2"/>
    <w:rsid w:val="52B24340"/>
    <w:rsid w:val="5473149B"/>
    <w:rsid w:val="56311B54"/>
    <w:rsid w:val="57A202BD"/>
    <w:rsid w:val="590762DE"/>
    <w:rsid w:val="5949498B"/>
    <w:rsid w:val="59A85EFD"/>
    <w:rsid w:val="5AA721BA"/>
    <w:rsid w:val="5B3C6463"/>
    <w:rsid w:val="5D86343D"/>
    <w:rsid w:val="5D8D11F8"/>
    <w:rsid w:val="5DB12D14"/>
    <w:rsid w:val="5EA12B9A"/>
    <w:rsid w:val="5EC928D3"/>
    <w:rsid w:val="5F425B73"/>
    <w:rsid w:val="5F5C48D2"/>
    <w:rsid w:val="5F6A1134"/>
    <w:rsid w:val="5F8E191F"/>
    <w:rsid w:val="5F9641CD"/>
    <w:rsid w:val="628D2779"/>
    <w:rsid w:val="628D5F03"/>
    <w:rsid w:val="6440778C"/>
    <w:rsid w:val="64F43146"/>
    <w:rsid w:val="654A5507"/>
    <w:rsid w:val="658C10F3"/>
    <w:rsid w:val="65CA104B"/>
    <w:rsid w:val="66356363"/>
    <w:rsid w:val="66972AAF"/>
    <w:rsid w:val="677E4DCB"/>
    <w:rsid w:val="68BB08C9"/>
    <w:rsid w:val="6A4140D3"/>
    <w:rsid w:val="6A5D69B2"/>
    <w:rsid w:val="6A7021FA"/>
    <w:rsid w:val="6C093A05"/>
    <w:rsid w:val="6DA65F1D"/>
    <w:rsid w:val="6E031C73"/>
    <w:rsid w:val="6E116960"/>
    <w:rsid w:val="6E6B6A6E"/>
    <w:rsid w:val="6EE8797B"/>
    <w:rsid w:val="6FF46E59"/>
    <w:rsid w:val="7051627C"/>
    <w:rsid w:val="70CA3520"/>
    <w:rsid w:val="73E237A4"/>
    <w:rsid w:val="73E9008B"/>
    <w:rsid w:val="74DB2C5F"/>
    <w:rsid w:val="76C24502"/>
    <w:rsid w:val="772935FE"/>
    <w:rsid w:val="78681A0A"/>
    <w:rsid w:val="7A0E74A5"/>
    <w:rsid w:val="7A42130E"/>
    <w:rsid w:val="7B53369F"/>
    <w:rsid w:val="7B760BF0"/>
    <w:rsid w:val="7B8757FC"/>
    <w:rsid w:val="7C046C2A"/>
    <w:rsid w:val="7C287C10"/>
    <w:rsid w:val="7C483276"/>
    <w:rsid w:val="7C4D08BC"/>
    <w:rsid w:val="7DAC6B0C"/>
    <w:rsid w:val="7DAD4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qFormat/>
    <w:uiPriority w:val="0"/>
    <w:pPr>
      <w:spacing w:after="120"/>
    </w:pPr>
  </w:style>
  <w:style w:type="paragraph" w:styleId="6">
    <w:name w:val="Body Text Indent"/>
    <w:basedOn w:val="1"/>
    <w:qFormat/>
    <w:uiPriority w:val="0"/>
    <w:pPr>
      <w:ind w:firstLine="560" w:firstLineChars="200"/>
    </w:pPr>
    <w:rPr>
      <w:rFonts w:ascii="宋体" w:hAnsi="宋体"/>
      <w:color w:val="FF0000"/>
      <w:sz w:val="28"/>
    </w:rPr>
  </w:style>
  <w:style w:type="paragraph" w:styleId="7">
    <w:name w:val="toc 3"/>
    <w:basedOn w:val="1"/>
    <w:next w:val="1"/>
    <w:qFormat/>
    <w:uiPriority w:val="0"/>
    <w:pPr>
      <w:ind w:left="840" w:leftChars="400"/>
      <w:jc w:val="both"/>
    </w:pPr>
    <w:rPr>
      <w:rFonts w:ascii="Calibri" w:hAnsi="Calibri" w:eastAsia="宋体" w:cs="Calibri"/>
      <w:iCs/>
    </w:rPr>
  </w:style>
  <w:style w:type="paragraph" w:styleId="8">
    <w:name w:val="Plain Text"/>
    <w:basedOn w:val="1"/>
    <w:qFormat/>
    <w:uiPriority w:val="0"/>
    <w:rPr>
      <w:rFonts w:ascii="宋体" w:hAnsi="Courier New"/>
      <w:sz w:val="24"/>
    </w:r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8"/>
    <w:unhideWhenUsed/>
    <w:qFormat/>
    <w:uiPriority w:val="99"/>
    <w:pPr>
      <w:spacing w:after="120"/>
      <w:ind w:left="420" w:leftChars="200"/>
    </w:pPr>
    <w:rPr>
      <w:sz w:val="16"/>
      <w:szCs w:val="16"/>
    </w:rPr>
  </w:style>
  <w:style w:type="paragraph" w:styleId="13">
    <w:name w:val="Body Text First Indent"/>
    <w:basedOn w:val="5"/>
    <w:qFormat/>
    <w:uiPriority w:val="0"/>
    <w:pPr>
      <w:ind w:firstLine="420" w:firstLineChars="100"/>
    </w:pPr>
    <w:rPr>
      <w:szCs w:val="20"/>
    </w:rPr>
  </w:style>
  <w:style w:type="paragraph" w:styleId="14">
    <w:name w:val="Body Text First Indent 2"/>
    <w:basedOn w:val="6"/>
    <w:qFormat/>
    <w:uiPriority w:val="0"/>
    <w:pPr>
      <w:ind w:firstLine="420"/>
      <w:jc w:val="left"/>
    </w:pPr>
    <w:rPr>
      <w:rFonts w:eastAsia="仿宋_GB2312"/>
      <w:color w:val="000000"/>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字符"/>
    <w:basedOn w:val="17"/>
    <w:link w:val="11"/>
    <w:qFormat/>
    <w:uiPriority w:val="99"/>
    <w:rPr>
      <w:rFonts w:ascii="Times New Roman" w:hAnsi="Times New Roman" w:eastAsia="宋体" w:cs="Times New Roman"/>
      <w:sz w:val="18"/>
      <w:szCs w:val="18"/>
    </w:rPr>
  </w:style>
  <w:style w:type="character" w:customStyle="1" w:styleId="19">
    <w:name w:val="页脚 字符"/>
    <w:basedOn w:val="17"/>
    <w:link w:val="10"/>
    <w:qFormat/>
    <w:uiPriority w:val="99"/>
    <w:rPr>
      <w:rFonts w:ascii="Times New Roman" w:hAnsi="Times New Roman" w:eastAsia="宋体" w:cs="Times New Roman"/>
      <w:sz w:val="18"/>
      <w:szCs w:val="18"/>
    </w:rPr>
  </w:style>
  <w:style w:type="character" w:customStyle="1" w:styleId="20">
    <w:name w:val="批注框文本 字符"/>
    <w:basedOn w:val="17"/>
    <w:link w:val="9"/>
    <w:semiHidden/>
    <w:qFormat/>
    <w:uiPriority w:val="99"/>
    <w:rPr>
      <w:rFonts w:ascii="Times New Roman" w:hAnsi="Times New Roman" w:eastAsia="宋体" w:cs="Times New Roman"/>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_Style 2"/>
    <w:basedOn w:val="1"/>
    <w:qFormat/>
    <w:uiPriority w:val="34"/>
    <w:pPr>
      <w:widowControl/>
      <w:ind w:firstLine="420" w:firstLineChars="200"/>
      <w:jc w:val="left"/>
    </w:pPr>
    <w:rPr>
      <w:kern w:val="0"/>
      <w:sz w:val="20"/>
      <w:lang w:eastAsia="en-US"/>
    </w:rPr>
  </w:style>
  <w:style w:type="character" w:customStyle="1" w:styleId="23">
    <w:name w:val="info-content-text"/>
    <w:qFormat/>
    <w:uiPriority w:val="0"/>
  </w:style>
  <w:style w:type="character" w:customStyle="1" w:styleId="24">
    <w:name w:val="标题 1 字符"/>
    <w:basedOn w:val="17"/>
    <w:link w:val="3"/>
    <w:qFormat/>
    <w:uiPriority w:val="0"/>
    <w:rPr>
      <w:b/>
      <w:bCs/>
      <w:kern w:val="44"/>
      <w:sz w:val="44"/>
      <w:szCs w:val="44"/>
    </w:rPr>
  </w:style>
  <w:style w:type="paragraph" w:styleId="25">
    <w:name w:val="List Paragraph"/>
    <w:basedOn w:val="1"/>
    <w:qFormat/>
    <w:uiPriority w:val="99"/>
    <w:pPr>
      <w:ind w:firstLine="420" w:firstLineChars="200"/>
    </w:pPr>
  </w:style>
  <w:style w:type="paragraph" w:customStyle="1" w:styleId="26">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7">
    <w:name w:val="默认段落字体 Para Char Char Char1 Char"/>
    <w:basedOn w:val="1"/>
    <w:next w:val="1"/>
    <w:qFormat/>
    <w:uiPriority w:val="0"/>
    <w:pPr>
      <w:spacing w:line="240" w:lineRule="atLeast"/>
      <w:ind w:left="420" w:firstLine="420"/>
      <w:jc w:val="left"/>
    </w:pPr>
    <w:rPr>
      <w:szCs w:val="24"/>
    </w:rPr>
  </w:style>
  <w:style w:type="character" w:customStyle="1" w:styleId="28">
    <w:name w:val="正文文本缩进 3 字符"/>
    <w:basedOn w:val="17"/>
    <w:link w:val="12"/>
    <w:semiHidden/>
    <w:qFormat/>
    <w:uiPriority w:val="99"/>
    <w:rPr>
      <w:kern w:val="2"/>
      <w:sz w:val="16"/>
      <w:szCs w:val="16"/>
    </w:rPr>
  </w:style>
  <w:style w:type="character" w:customStyle="1" w:styleId="29">
    <w:name w:val="font11"/>
    <w:basedOn w:val="17"/>
    <w:qFormat/>
    <w:uiPriority w:val="0"/>
    <w:rPr>
      <w:rFonts w:hint="eastAsia" w:ascii="宋体" w:hAnsi="宋体" w:eastAsia="宋体" w:cs="宋体"/>
      <w:color w:val="000000"/>
      <w:sz w:val="20"/>
      <w:szCs w:val="20"/>
      <w:u w:val="none"/>
    </w:rPr>
  </w:style>
  <w:style w:type="character" w:customStyle="1" w:styleId="30">
    <w:name w:val="font01"/>
    <w:basedOn w:val="17"/>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6241C-A5A8-4A56-8A1B-A9D58B9DB204}">
  <ds:schemaRefs/>
</ds:datastoreItem>
</file>

<file path=docProps/app.xml><?xml version="1.0" encoding="utf-8"?>
<Properties xmlns="http://schemas.openxmlformats.org/officeDocument/2006/extended-properties" xmlns:vt="http://schemas.openxmlformats.org/officeDocument/2006/docPropsVTypes">
  <Template>Normal</Template>
  <Pages>6</Pages>
  <Words>3819</Words>
  <Characters>4235</Characters>
  <Lines>55</Lines>
  <Paragraphs>15</Paragraphs>
  <TotalTime>7</TotalTime>
  <ScaleCrop>false</ScaleCrop>
  <LinksUpToDate>false</LinksUpToDate>
  <CharactersWithSpaces>4311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apple</cp:lastModifiedBy>
  <dcterms:modified xsi:type="dcterms:W3CDTF">2023-02-13T08:18:07Z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7D4B013820AC4FC2900CB2E128A06AF9</vt:lpwstr>
  </property>
</Properties>
</file>