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961"/>
        <w:gridCol w:w="1140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rPr>
        <w:tc>
          <w:tcPr>
            <w:tcW w:w="514" w:type="pct"/>
            <w:vMerge w:val="restart"/>
            <w:vAlign w:val="center"/>
          </w:tcPr>
          <w:p>
            <w:pPr>
              <w:spacing w:before="120"/>
              <w:rPr>
                <w:rFonts w:ascii="宋体" w:hAnsi="宋体" w:cs="宋体"/>
                <w:szCs w:val="21"/>
              </w:rPr>
            </w:pPr>
            <w:r>
              <w:rPr>
                <w:rFonts w:hint="eastAsia" w:ascii="宋体" w:hAnsi="宋体" w:cs="宋体"/>
                <w:szCs w:val="21"/>
              </w:rPr>
              <w:t>过程与活动、抽样计划</w:t>
            </w:r>
          </w:p>
        </w:tc>
        <w:tc>
          <w:tcPr>
            <w:tcW w:w="324" w:type="pct"/>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3847" w:type="pct"/>
            <w:vAlign w:val="center"/>
          </w:tcPr>
          <w:p>
            <w:pPr>
              <w:rPr>
                <w:rFonts w:ascii="宋体" w:hAnsi="宋体" w:cs="宋体"/>
                <w:szCs w:val="21"/>
              </w:rPr>
            </w:pPr>
            <w:r>
              <w:rPr>
                <w:rFonts w:hint="eastAsia" w:ascii="宋体" w:hAnsi="宋体" w:cs="宋体"/>
                <w:szCs w:val="21"/>
              </w:rPr>
              <w:t>受审核部门：供销部           主管领导： 王学腾、刘会欣</w:t>
            </w:r>
            <w:r>
              <w:rPr>
                <w:rFonts w:ascii="宋体" w:hAnsi="宋体" w:cs="宋体"/>
                <w:szCs w:val="21"/>
              </w:rPr>
              <w:t xml:space="preserve">   </w:t>
            </w:r>
            <w:r>
              <w:rPr>
                <w:rFonts w:hint="eastAsia" w:ascii="宋体" w:hAnsi="宋体" w:cs="宋体"/>
                <w:szCs w:val="21"/>
              </w:rPr>
              <w:t xml:space="preserve">          陪同人员：耿楠楠</w:t>
            </w:r>
          </w:p>
        </w:tc>
        <w:tc>
          <w:tcPr>
            <w:tcW w:w="315" w:type="pct"/>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14" w:type="pct"/>
            <w:vMerge w:val="continue"/>
            <w:vAlign w:val="center"/>
          </w:tcPr>
          <w:p>
            <w:pPr>
              <w:rPr>
                <w:rFonts w:ascii="宋体" w:hAnsi="宋体" w:cs="宋体"/>
                <w:szCs w:val="21"/>
              </w:rPr>
            </w:pPr>
          </w:p>
        </w:tc>
        <w:tc>
          <w:tcPr>
            <w:tcW w:w="324" w:type="pct"/>
            <w:vMerge w:val="continue"/>
            <w:vAlign w:val="center"/>
          </w:tcPr>
          <w:p>
            <w:pPr>
              <w:rPr>
                <w:rFonts w:ascii="宋体" w:hAnsi="宋体" w:cs="宋体"/>
                <w:szCs w:val="21"/>
              </w:rPr>
            </w:pPr>
          </w:p>
        </w:tc>
        <w:tc>
          <w:tcPr>
            <w:tcW w:w="3847" w:type="pct"/>
            <w:vAlign w:val="center"/>
          </w:tcPr>
          <w:p>
            <w:pPr>
              <w:spacing w:before="120"/>
              <w:rPr>
                <w:rFonts w:ascii="宋体" w:hAnsi="宋体" w:cs="宋体"/>
                <w:szCs w:val="21"/>
              </w:rPr>
            </w:pPr>
            <w:r>
              <w:rPr>
                <w:rFonts w:hint="eastAsia" w:ascii="宋体" w:hAnsi="宋体" w:cs="宋体"/>
                <w:szCs w:val="21"/>
              </w:rPr>
              <w:t>审核员： 杨园                审核时间：2023年2月</w:t>
            </w:r>
            <w:r>
              <w:rPr>
                <w:rFonts w:ascii="宋体" w:hAnsi="宋体" w:cs="宋体"/>
                <w:szCs w:val="21"/>
              </w:rPr>
              <w:t>17</w:t>
            </w:r>
            <w:r>
              <w:rPr>
                <w:rFonts w:hint="eastAsia" w:ascii="宋体" w:hAnsi="宋体" w:cs="宋体"/>
                <w:szCs w:val="21"/>
              </w:rPr>
              <w:t>日</w:t>
            </w:r>
          </w:p>
        </w:tc>
        <w:tc>
          <w:tcPr>
            <w:tcW w:w="315" w:type="pct"/>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Merge w:val="continue"/>
            <w:vAlign w:val="center"/>
          </w:tcPr>
          <w:p>
            <w:pPr>
              <w:rPr>
                <w:rFonts w:ascii="宋体" w:hAnsi="宋体" w:cs="宋体"/>
                <w:szCs w:val="21"/>
              </w:rPr>
            </w:pPr>
          </w:p>
        </w:tc>
        <w:tc>
          <w:tcPr>
            <w:tcW w:w="324" w:type="pct"/>
            <w:vMerge w:val="continue"/>
            <w:vAlign w:val="center"/>
          </w:tcPr>
          <w:p>
            <w:pPr>
              <w:rPr>
                <w:rFonts w:ascii="宋体" w:hAnsi="宋体" w:cs="宋体"/>
                <w:szCs w:val="21"/>
              </w:rPr>
            </w:pPr>
          </w:p>
        </w:tc>
        <w:tc>
          <w:tcPr>
            <w:tcW w:w="3847" w:type="pct"/>
            <w:vAlign w:val="center"/>
          </w:tcPr>
          <w:p>
            <w:pPr>
              <w:jc w:val="left"/>
              <w:rPr>
                <w:rFonts w:ascii="楷体" w:hAnsi="楷体" w:eastAsia="楷体" w:cs="楷体"/>
                <w:szCs w:val="21"/>
              </w:rPr>
            </w:pPr>
            <w:r>
              <w:rPr>
                <w:rFonts w:hint="eastAsia" w:ascii="宋体" w:hAnsi="宋体" w:cs="宋体"/>
                <w:szCs w:val="21"/>
              </w:rPr>
              <w:t>审核条款：</w:t>
            </w:r>
            <w:r>
              <w:rPr>
                <w:rFonts w:hint="eastAsia" w:ascii="楷体" w:hAnsi="楷体" w:eastAsia="楷体" w:cs="楷体"/>
                <w:szCs w:val="21"/>
              </w:rPr>
              <w:t>QEO:5.3/6.2</w:t>
            </w:r>
          </w:p>
          <w:p>
            <w:pPr>
              <w:ind w:firstLine="1050" w:firstLineChars="500"/>
              <w:jc w:val="left"/>
              <w:rPr>
                <w:rFonts w:ascii="楷体" w:hAnsi="楷体" w:eastAsia="楷体" w:cs="楷体"/>
                <w:szCs w:val="21"/>
              </w:rPr>
            </w:pPr>
            <w:r>
              <w:rPr>
                <w:rFonts w:hint="eastAsia" w:ascii="楷体" w:hAnsi="楷体" w:eastAsia="楷体" w:cs="楷体"/>
                <w:szCs w:val="21"/>
              </w:rPr>
              <w:t>EO:6.1.2/8.1/8.2</w:t>
            </w:r>
          </w:p>
        </w:tc>
        <w:tc>
          <w:tcPr>
            <w:tcW w:w="315" w:type="pct"/>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4" w:type="pct"/>
            <w:vAlign w:val="center"/>
          </w:tcPr>
          <w:p>
            <w:pPr>
              <w:rPr>
                <w:rFonts w:ascii="宋体" w:hAnsi="宋体" w:cs="宋体"/>
                <w:szCs w:val="21"/>
              </w:rPr>
            </w:pPr>
            <w:r>
              <w:rPr>
                <w:rFonts w:hint="eastAsia" w:ascii="宋体" w:hAnsi="宋体" w:cs="宋体"/>
                <w:szCs w:val="21"/>
              </w:rPr>
              <w:t>岗位职责权限</w:t>
            </w:r>
          </w:p>
        </w:tc>
        <w:tc>
          <w:tcPr>
            <w:tcW w:w="324" w:type="pct"/>
            <w:vAlign w:val="center"/>
          </w:tcPr>
          <w:p>
            <w:pPr>
              <w:snapToGrid w:val="0"/>
              <w:spacing w:line="300" w:lineRule="exact"/>
              <w:jc w:val="left"/>
            </w:pPr>
            <w:r>
              <w:rPr>
                <w:rFonts w:hint="eastAsia"/>
              </w:rPr>
              <w:t>QEO5.3</w:t>
            </w:r>
          </w:p>
        </w:tc>
        <w:tc>
          <w:tcPr>
            <w:tcW w:w="3847" w:type="pct"/>
            <w:vAlign w:val="center"/>
          </w:tcPr>
          <w:p>
            <w:pPr>
              <w:snapToGrid w:val="0"/>
              <w:spacing w:line="300" w:lineRule="exact"/>
              <w:jc w:val="left"/>
              <w:rPr>
                <w:lang w:val="zh-CN"/>
              </w:rPr>
            </w:pPr>
            <w:r>
              <w:rPr>
                <w:rFonts w:hint="eastAsia"/>
                <w:lang w:val="zh-CN"/>
              </w:rPr>
              <w:t>刘会欣主任介绍，供销部主要负责市场调研与营销管理，市场信息收集，制定销售计划，合同评审与签订，销售过程的控制，本部门环境因素和危险源的识别与控制，本部门目标实现管理，顾客满意度调查，应急准备和响应等工作。</w:t>
            </w:r>
          </w:p>
          <w:p>
            <w:pPr>
              <w:snapToGrid w:val="0"/>
              <w:spacing w:line="300" w:lineRule="exact"/>
              <w:jc w:val="left"/>
              <w:rPr>
                <w:lang w:val="zh-CN"/>
              </w:rPr>
            </w:pPr>
            <w:r>
              <w:rPr>
                <w:rFonts w:hint="eastAsia"/>
                <w:lang w:val="zh-CN"/>
              </w:rPr>
              <w:t>与部门主管沟通，本部门职责明确，回答基本正确。</w:t>
            </w:r>
          </w:p>
        </w:tc>
        <w:tc>
          <w:tcPr>
            <w:tcW w:w="315" w:type="pct"/>
          </w:tcPr>
          <w:p>
            <w:pPr>
              <w:rPr>
                <w:rFonts w:ascii="宋体" w:hAnsi="宋体" w:cs="宋体"/>
                <w:szCs w:val="21"/>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14" w:type="pct"/>
            <w:vAlign w:val="center"/>
          </w:tcPr>
          <w:p>
            <w:pPr>
              <w:rPr>
                <w:rFonts w:ascii="宋体" w:hAnsi="宋体" w:cs="宋体"/>
                <w:szCs w:val="21"/>
              </w:rPr>
            </w:pPr>
            <w:r>
              <w:rPr>
                <w:rFonts w:hint="eastAsia" w:ascii="宋体" w:hAnsi="宋体" w:cs="宋体"/>
                <w:szCs w:val="21"/>
              </w:rPr>
              <w:t>目标及其实现</w:t>
            </w:r>
          </w:p>
        </w:tc>
        <w:tc>
          <w:tcPr>
            <w:tcW w:w="324" w:type="pct"/>
            <w:vAlign w:val="center"/>
          </w:tcPr>
          <w:p>
            <w:pPr>
              <w:snapToGrid w:val="0"/>
              <w:spacing w:line="300" w:lineRule="exact"/>
              <w:jc w:val="left"/>
            </w:pPr>
            <w:r>
              <w:rPr>
                <w:rFonts w:hint="eastAsia"/>
                <w:lang w:val="zh-CN"/>
              </w:rPr>
              <w:t>QEO</w:t>
            </w:r>
            <w:r>
              <w:rPr>
                <w:rFonts w:hint="eastAsia"/>
              </w:rPr>
              <w:t>6.2</w:t>
            </w: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480"/>
              <w:rPr>
                <w:rFonts w:cs="Times New Roman"/>
              </w:rPr>
            </w:pPr>
          </w:p>
          <w:p>
            <w:pPr>
              <w:pStyle w:val="2"/>
              <w:ind w:firstLine="0" w:firstLineChars="0"/>
              <w:rPr>
                <w:rFonts w:cs="Times New Roman"/>
              </w:rPr>
            </w:pPr>
          </w:p>
        </w:tc>
        <w:tc>
          <w:tcPr>
            <w:tcW w:w="3847" w:type="pct"/>
            <w:vAlign w:val="center"/>
          </w:tcPr>
          <w:p>
            <w:pPr>
              <w:snapToGrid w:val="0"/>
              <w:spacing w:line="300" w:lineRule="exact"/>
              <w:jc w:val="left"/>
              <w:rPr>
                <w:lang w:val="zh-CN"/>
              </w:rPr>
            </w:pPr>
            <w:r>
              <w:rPr>
                <w:rFonts w:hint="eastAsia"/>
                <w:lang w:val="zh-CN"/>
              </w:rPr>
              <w:sym w:font="Wingdings 2" w:char="F098"/>
            </w:r>
            <w:r>
              <w:rPr>
                <w:rFonts w:hint="eastAsia"/>
                <w:lang w:val="zh-CN"/>
              </w:rPr>
              <w:t>提供了供销部目标考核记录，查供销部目标考核情况：</w:t>
            </w:r>
          </w:p>
          <w:p>
            <w:pPr>
              <w:snapToGrid w:val="0"/>
              <w:spacing w:line="300" w:lineRule="exact"/>
              <w:jc w:val="left"/>
              <w:rPr>
                <w:lang w:val="zh-CN"/>
              </w:rPr>
            </w:pPr>
            <w:r>
              <w:rPr>
                <w:rFonts w:hint="eastAsia"/>
                <w:lang w:val="zh-CN"/>
              </w:rPr>
              <w:t>分解目标</w:t>
            </w:r>
            <w:r>
              <w:rPr>
                <w:rFonts w:hint="eastAsia"/>
                <w:lang w:val="zh-CN"/>
              </w:rPr>
              <w:tab/>
            </w:r>
            <w:r>
              <w:rPr>
                <w:rFonts w:hint="eastAsia"/>
                <w:lang w:val="zh-CN"/>
              </w:rPr>
              <w:t xml:space="preserve">              </w:t>
            </w:r>
            <w:r>
              <w:rPr>
                <w:lang w:val="zh-CN"/>
              </w:rPr>
              <w:t xml:space="preserve">          </w:t>
            </w:r>
            <w:r>
              <w:rPr>
                <w:rFonts w:hint="eastAsia"/>
                <w:lang w:val="zh-CN"/>
              </w:rPr>
              <w:t>计划</w:t>
            </w:r>
            <w:r>
              <w:rPr>
                <w:rFonts w:hint="eastAsia"/>
                <w:lang w:val="zh-CN"/>
              </w:rPr>
              <w:tab/>
            </w:r>
            <w:r>
              <w:rPr>
                <w:rFonts w:hint="eastAsia"/>
                <w:lang w:val="zh-CN"/>
              </w:rPr>
              <w:t xml:space="preserve">  </w:t>
            </w:r>
            <w:r>
              <w:rPr>
                <w:lang w:val="zh-CN"/>
              </w:rPr>
              <w:t xml:space="preserve">    </w:t>
            </w:r>
            <w:r>
              <w:rPr>
                <w:rFonts w:hint="eastAsia"/>
                <w:lang w:val="zh-CN"/>
              </w:rPr>
              <w:t>实际完成（2</w:t>
            </w:r>
            <w:r>
              <w:rPr>
                <w:lang w:val="zh-CN"/>
              </w:rPr>
              <w:t>022</w:t>
            </w:r>
            <w:r>
              <w:rPr>
                <w:rFonts w:hint="eastAsia"/>
                <w:lang w:val="zh-CN"/>
              </w:rPr>
              <w:t>年4季度）</w:t>
            </w:r>
          </w:p>
          <w:p>
            <w:pPr>
              <w:snapToGrid w:val="0"/>
              <w:spacing w:line="300" w:lineRule="exact"/>
              <w:jc w:val="left"/>
              <w:rPr>
                <w:lang w:val="zh-CN"/>
              </w:rPr>
            </w:pPr>
            <w:r>
              <w:rPr>
                <w:rFonts w:hint="eastAsia"/>
                <w:lang w:val="zh-CN"/>
              </w:rPr>
              <w:t>火灾事故发生率</w:t>
            </w:r>
            <w:r>
              <w:rPr>
                <w:rFonts w:hint="eastAsia"/>
                <w:lang w:val="zh-CN"/>
              </w:rPr>
              <w:tab/>
            </w:r>
            <w:r>
              <w:rPr>
                <w:lang w:val="zh-CN"/>
              </w:rPr>
              <w:t xml:space="preserve">                    </w:t>
            </w:r>
            <w:r>
              <w:rPr>
                <w:rFonts w:hint="eastAsia"/>
                <w:lang w:val="zh-CN"/>
              </w:rPr>
              <w:t>为0</w:t>
            </w:r>
            <w:r>
              <w:rPr>
                <w:rFonts w:hint="eastAsia"/>
                <w:lang w:val="zh-CN"/>
              </w:rPr>
              <w:tab/>
            </w:r>
            <w:r>
              <w:rPr>
                <w:lang w:val="zh-CN"/>
              </w:rPr>
              <w:t xml:space="preserve">             </w:t>
            </w:r>
            <w:r>
              <w:rPr>
                <w:rFonts w:hint="eastAsia"/>
                <w:lang w:val="zh-CN"/>
              </w:rPr>
              <w:t>0</w:t>
            </w:r>
          </w:p>
          <w:p>
            <w:pPr>
              <w:snapToGrid w:val="0"/>
              <w:spacing w:line="300" w:lineRule="exact"/>
              <w:jc w:val="left"/>
              <w:rPr>
                <w:lang w:val="zh-CN"/>
              </w:rPr>
            </w:pPr>
            <w:r>
              <w:rPr>
                <w:rFonts w:hint="eastAsia"/>
                <w:lang w:val="zh-CN"/>
              </w:rPr>
              <w:t>废弃物100%实现分类存放，合理处置</w:t>
            </w:r>
            <w:r>
              <w:rPr>
                <w:rFonts w:hint="eastAsia"/>
                <w:lang w:val="zh-CN"/>
              </w:rPr>
              <w:tab/>
            </w:r>
            <w:r>
              <w:rPr>
                <w:rFonts w:hint="eastAsia"/>
                <w:lang w:val="zh-CN"/>
              </w:rPr>
              <w:t>100%</w:t>
            </w:r>
            <w:r>
              <w:rPr>
                <w:rFonts w:hint="eastAsia"/>
                <w:lang w:val="zh-CN"/>
              </w:rPr>
              <w:tab/>
            </w:r>
            <w:r>
              <w:rPr>
                <w:lang w:val="zh-CN"/>
              </w:rPr>
              <w:t xml:space="preserve">        </w:t>
            </w:r>
            <w:r>
              <w:rPr>
                <w:rFonts w:hint="eastAsia"/>
                <w:lang w:val="zh-CN"/>
              </w:rPr>
              <w:t>100%</w:t>
            </w:r>
          </w:p>
          <w:p>
            <w:pPr>
              <w:snapToGrid w:val="0"/>
              <w:spacing w:line="300" w:lineRule="exact"/>
              <w:jc w:val="left"/>
              <w:rPr>
                <w:lang w:val="zh-CN"/>
              </w:rPr>
            </w:pPr>
            <w:r>
              <w:rPr>
                <w:rFonts w:hint="eastAsia"/>
                <w:lang w:val="zh-CN"/>
              </w:rPr>
              <w:t>相关方影响率达到95%以上</w:t>
            </w:r>
            <w:r>
              <w:rPr>
                <w:rFonts w:hint="eastAsia"/>
                <w:lang w:val="zh-CN"/>
              </w:rPr>
              <w:tab/>
            </w:r>
            <w:r>
              <w:rPr>
                <w:lang w:val="zh-CN"/>
              </w:rPr>
              <w:t xml:space="preserve">        </w:t>
            </w:r>
            <w:r>
              <w:rPr>
                <w:rFonts w:hint="eastAsia"/>
                <w:lang w:val="zh-CN"/>
              </w:rPr>
              <w:t>大于95%</w:t>
            </w:r>
            <w:r>
              <w:rPr>
                <w:rFonts w:hint="eastAsia"/>
                <w:lang w:val="zh-CN"/>
              </w:rPr>
              <w:tab/>
            </w:r>
            <w:r>
              <w:rPr>
                <w:lang w:val="zh-CN"/>
              </w:rPr>
              <w:t xml:space="preserve">    </w:t>
            </w:r>
            <w:r>
              <w:rPr>
                <w:rFonts w:hint="eastAsia"/>
                <w:lang w:val="zh-CN"/>
              </w:rPr>
              <w:t>100%</w:t>
            </w:r>
          </w:p>
          <w:p>
            <w:pPr>
              <w:snapToGrid w:val="0"/>
              <w:spacing w:line="300" w:lineRule="exact"/>
              <w:jc w:val="left"/>
              <w:rPr>
                <w:lang w:val="zh-CN"/>
              </w:rPr>
            </w:pPr>
            <w:r>
              <w:rPr>
                <w:rFonts w:hint="eastAsia"/>
                <w:lang w:val="zh-CN"/>
              </w:rPr>
              <w:t>杜绝发生死亡、重伤事故</w:t>
            </w:r>
            <w:r>
              <w:rPr>
                <w:rFonts w:hint="eastAsia"/>
                <w:lang w:val="zh-CN"/>
              </w:rPr>
              <w:tab/>
            </w:r>
            <w:r>
              <w:rPr>
                <w:lang w:val="zh-CN"/>
              </w:rPr>
              <w:t xml:space="preserve">            </w:t>
            </w:r>
            <w:r>
              <w:rPr>
                <w:rFonts w:hint="eastAsia"/>
                <w:lang w:val="zh-CN"/>
              </w:rPr>
              <w:t>0</w:t>
            </w:r>
            <w:r>
              <w:rPr>
                <w:rFonts w:hint="eastAsia"/>
                <w:lang w:val="zh-CN"/>
              </w:rPr>
              <w:tab/>
            </w:r>
            <w:r>
              <w:rPr>
                <w:lang w:val="zh-CN"/>
              </w:rPr>
              <w:t xml:space="preserve">             </w:t>
            </w:r>
            <w:r>
              <w:rPr>
                <w:rFonts w:hint="eastAsia"/>
                <w:lang w:val="zh-CN"/>
              </w:rPr>
              <w:t>0</w:t>
            </w:r>
          </w:p>
          <w:p>
            <w:pPr>
              <w:snapToGrid w:val="0"/>
              <w:spacing w:line="300" w:lineRule="exact"/>
              <w:jc w:val="left"/>
              <w:rPr>
                <w:lang w:val="zh-CN"/>
              </w:rPr>
            </w:pPr>
            <w:r>
              <w:rPr>
                <w:rFonts w:hint="eastAsia"/>
                <w:lang w:val="zh-CN"/>
              </w:rPr>
              <w:t>顾客满意率</w:t>
            </w:r>
            <w:r>
              <w:rPr>
                <w:rFonts w:hint="eastAsia"/>
                <w:lang w:val="zh-CN"/>
              </w:rPr>
              <w:tab/>
            </w:r>
            <w:r>
              <w:rPr>
                <w:lang w:val="zh-CN"/>
              </w:rPr>
              <w:t xml:space="preserve">                        </w:t>
            </w:r>
            <w:r>
              <w:rPr>
                <w:rFonts w:hint="eastAsia"/>
                <w:lang w:val="zh-CN"/>
              </w:rPr>
              <w:t>≥95%</w:t>
            </w:r>
            <w:r>
              <w:rPr>
                <w:rFonts w:hint="eastAsia"/>
                <w:lang w:val="zh-CN"/>
              </w:rPr>
              <w:tab/>
            </w:r>
            <w:r>
              <w:rPr>
                <w:lang w:val="zh-CN"/>
              </w:rPr>
              <w:t xml:space="preserve">       </w:t>
            </w:r>
            <w:r>
              <w:rPr>
                <w:rFonts w:hint="eastAsia"/>
                <w:lang w:val="zh-CN"/>
              </w:rPr>
              <w:t>99.25%</w:t>
            </w:r>
          </w:p>
          <w:p>
            <w:pPr>
              <w:snapToGrid w:val="0"/>
              <w:spacing w:line="300" w:lineRule="exact"/>
              <w:jc w:val="left"/>
              <w:rPr>
                <w:lang w:val="zh-CN"/>
              </w:rPr>
            </w:pPr>
            <w:r>
              <w:rPr>
                <w:rFonts w:hint="eastAsia"/>
                <w:lang w:val="zh-CN"/>
              </w:rPr>
              <w:t>采购产品合格率</w:t>
            </w:r>
            <w:r>
              <w:rPr>
                <w:rFonts w:hint="eastAsia"/>
                <w:lang w:val="zh-CN"/>
              </w:rPr>
              <w:tab/>
            </w:r>
            <w:r>
              <w:rPr>
                <w:lang w:val="zh-CN"/>
              </w:rPr>
              <w:t xml:space="preserve">                    </w:t>
            </w:r>
            <w:r>
              <w:rPr>
                <w:rFonts w:hint="eastAsia"/>
                <w:lang w:val="zh-CN"/>
              </w:rPr>
              <w:t>≥98%</w:t>
            </w:r>
            <w:r>
              <w:rPr>
                <w:rFonts w:hint="eastAsia"/>
                <w:lang w:val="zh-CN"/>
              </w:rPr>
              <w:tab/>
            </w:r>
            <w:r>
              <w:rPr>
                <w:lang w:val="zh-CN"/>
              </w:rPr>
              <w:t xml:space="preserve">         </w:t>
            </w:r>
            <w:r>
              <w:rPr>
                <w:rFonts w:hint="eastAsia"/>
                <w:lang w:val="zh-CN"/>
              </w:rPr>
              <w:t>100%</w:t>
            </w:r>
          </w:p>
          <w:p>
            <w:pPr>
              <w:snapToGrid w:val="0"/>
              <w:spacing w:line="300" w:lineRule="exact"/>
              <w:jc w:val="left"/>
              <w:rPr>
                <w:lang w:val="zh-CN"/>
              </w:rPr>
            </w:pPr>
            <w:r>
              <w:rPr>
                <w:rFonts w:hint="eastAsia"/>
                <w:lang w:val="zh-CN"/>
              </w:rPr>
              <w:t>统计时间：2022.12.30</w:t>
            </w:r>
          </w:p>
          <w:p>
            <w:pPr>
              <w:snapToGrid w:val="0"/>
              <w:spacing w:line="300" w:lineRule="exact"/>
              <w:jc w:val="left"/>
              <w:rPr>
                <w:lang w:val="zh-CN"/>
              </w:rPr>
            </w:pPr>
            <w:r>
              <w:rPr>
                <w:rFonts w:hint="eastAsia"/>
                <w:lang w:val="zh-CN"/>
              </w:rPr>
              <w:t>统计人：王学腾</w:t>
            </w:r>
          </w:p>
          <w:p>
            <w:pPr>
              <w:snapToGrid w:val="0"/>
              <w:spacing w:line="300" w:lineRule="exact"/>
              <w:jc w:val="left"/>
              <w:rPr>
                <w:lang w:val="zh-CN"/>
              </w:rPr>
            </w:pPr>
            <w:r>
              <w:rPr>
                <w:rFonts w:hint="eastAsia"/>
                <w:lang w:val="zh-CN"/>
              </w:rPr>
              <w:t>每季度进行一次目标考核，另查2</w:t>
            </w:r>
            <w:r>
              <w:rPr>
                <w:lang w:val="zh-CN"/>
              </w:rPr>
              <w:t>022</w:t>
            </w:r>
            <w:r>
              <w:rPr>
                <w:rFonts w:hint="eastAsia"/>
                <w:lang w:val="zh-CN"/>
              </w:rPr>
              <w:t>年度3季度供销部完成了设定的目标。</w:t>
            </w:r>
          </w:p>
          <w:p>
            <w:pPr>
              <w:pStyle w:val="2"/>
              <w:ind w:firstLine="0" w:firstLineChars="0"/>
              <w:rPr>
                <w:rFonts w:cs="Times New Roman"/>
                <w:sz w:val="21"/>
                <w:lang w:val="zh-CN"/>
              </w:rPr>
            </w:pPr>
            <w:r>
              <w:rPr>
                <w:rFonts w:hint="eastAsia" w:cs="Times New Roman"/>
                <w:sz w:val="21"/>
                <w:lang w:val="zh-CN"/>
              </w:rPr>
              <w:t>2</w:t>
            </w:r>
            <w:r>
              <w:rPr>
                <w:rFonts w:cs="Times New Roman"/>
                <w:sz w:val="21"/>
                <w:lang w:val="zh-CN"/>
              </w:rPr>
              <w:t>023</w:t>
            </w:r>
            <w:r>
              <w:rPr>
                <w:rFonts w:hint="eastAsia" w:cs="Times New Roman"/>
                <w:sz w:val="21"/>
                <w:lang w:val="zh-CN"/>
              </w:rPr>
              <w:t>年目标设置情况与2</w:t>
            </w:r>
            <w:r>
              <w:rPr>
                <w:rFonts w:cs="Times New Roman"/>
                <w:sz w:val="21"/>
                <w:lang w:val="zh-CN"/>
              </w:rPr>
              <w:t>022</w:t>
            </w:r>
            <w:r>
              <w:rPr>
                <w:rFonts w:hint="eastAsia" w:cs="Times New Roman"/>
                <w:sz w:val="21"/>
                <w:lang w:val="zh-CN"/>
              </w:rPr>
              <w:t>年度相同，按季度进行考核。</w:t>
            </w:r>
          </w:p>
          <w:p>
            <w:pPr>
              <w:snapToGrid w:val="0"/>
              <w:spacing w:line="300" w:lineRule="exact"/>
              <w:jc w:val="left"/>
              <w:rPr>
                <w:lang w:val="zh-CN"/>
              </w:rPr>
            </w:pPr>
            <w:r>
              <w:rPr>
                <w:rFonts w:hint="eastAsia"/>
                <w:lang w:val="zh-CN"/>
              </w:rPr>
              <w:sym w:font="Wingdings 2" w:char="F098"/>
            </w:r>
            <w:r>
              <w:rPr>
                <w:rFonts w:hint="eastAsia"/>
                <w:lang w:val="zh-CN"/>
              </w:rPr>
              <w:t>提供了供销部环境、职业健康安全管理方案，对本部门重要环境因素和不可接受风险均制定了管理方案，落实了相应的控制措施、负责人、完成时间等。</w:t>
            </w:r>
          </w:p>
          <w:p>
            <w:pPr>
              <w:snapToGrid w:val="0"/>
              <w:spacing w:line="300" w:lineRule="exact"/>
              <w:jc w:val="left"/>
              <w:rPr>
                <w:lang w:val="zh-CN"/>
              </w:rPr>
            </w:pPr>
            <w:r>
              <w:rPr>
                <w:rFonts w:hint="eastAsia"/>
                <w:lang w:val="zh-CN"/>
              </w:rPr>
              <w:t>——抽目标指标：火灾事故发生率为0</w:t>
            </w:r>
            <w:r>
              <w:rPr>
                <w:lang w:val="zh-CN"/>
              </w:rPr>
              <w:t xml:space="preserve"> </w:t>
            </w:r>
            <w:r>
              <w:rPr>
                <w:rFonts w:hint="eastAsia"/>
                <w:lang w:val="zh-CN"/>
              </w:rPr>
              <w:t>：环境供销部办公室火灾事故发生率为0%；库房区火灾事故发生率为0%</w:t>
            </w:r>
          </w:p>
          <w:p>
            <w:pPr>
              <w:snapToGrid w:val="0"/>
              <w:spacing w:line="300" w:lineRule="exact"/>
              <w:jc w:val="left"/>
              <w:rPr>
                <w:lang w:val="zh-CN"/>
              </w:rPr>
            </w:pPr>
            <w:r>
              <w:rPr>
                <w:rFonts w:hint="eastAsia"/>
                <w:lang w:val="zh-CN"/>
              </w:rPr>
              <w:t>管理方案：1、规定下班时间及时关闭办公设备电源2、每天下班前自查电源关闭情况3、禁烟4、将相关要求通告相关方；</w:t>
            </w:r>
          </w:p>
          <w:p>
            <w:pPr>
              <w:snapToGrid w:val="0"/>
              <w:spacing w:line="300" w:lineRule="exact"/>
              <w:jc w:val="left"/>
              <w:rPr>
                <w:lang w:val="zh-CN"/>
              </w:rPr>
            </w:pPr>
            <w:r>
              <w:rPr>
                <w:rFonts w:hint="eastAsia"/>
                <w:lang w:val="zh-CN"/>
              </w:rPr>
              <w:t>1、易燃材料限量采购2、禁烟3、配备灭火器材</w:t>
            </w:r>
          </w:p>
          <w:p>
            <w:pPr>
              <w:snapToGrid w:val="0"/>
              <w:spacing w:line="300" w:lineRule="exact"/>
              <w:jc w:val="left"/>
              <w:rPr>
                <w:lang w:val="zh-CN"/>
              </w:rPr>
            </w:pPr>
            <w:r>
              <w:rPr>
                <w:rFonts w:hint="eastAsia"/>
                <w:lang w:val="zh-CN"/>
              </w:rPr>
              <w:t>资金支持：8</w:t>
            </w:r>
            <w:r>
              <w:rPr>
                <w:lang w:val="zh-CN"/>
              </w:rPr>
              <w:t>00</w:t>
            </w:r>
            <w:r>
              <w:rPr>
                <w:rFonts w:hint="eastAsia"/>
                <w:lang w:val="zh-CN"/>
              </w:rPr>
              <w:t>元；责任部门供销部；</w:t>
            </w:r>
          </w:p>
          <w:p>
            <w:pPr>
              <w:snapToGrid w:val="0"/>
              <w:spacing w:line="300" w:lineRule="exact"/>
              <w:jc w:val="left"/>
              <w:rPr>
                <w:lang w:val="zh-CN"/>
              </w:rPr>
            </w:pPr>
            <w:r>
              <w:rPr>
                <w:rFonts w:hint="eastAsia"/>
                <w:lang w:val="zh-CN"/>
              </w:rPr>
              <w:t>——抽目标指标：相关方影响率≥90%。</w:t>
            </w:r>
          </w:p>
          <w:p>
            <w:pPr>
              <w:snapToGrid w:val="0"/>
              <w:spacing w:line="300" w:lineRule="exact"/>
              <w:jc w:val="left"/>
              <w:rPr>
                <w:lang w:val="zh-CN"/>
              </w:rPr>
            </w:pPr>
            <w:r>
              <w:rPr>
                <w:rFonts w:hint="eastAsia"/>
                <w:lang w:val="zh-CN"/>
              </w:rPr>
              <w:t>管理方案：向客户发放一封信进行告知，责任部门：供销部</w:t>
            </w:r>
          </w:p>
          <w:p>
            <w:pPr>
              <w:snapToGrid w:val="0"/>
              <w:spacing w:line="300" w:lineRule="exact"/>
              <w:jc w:val="left"/>
              <w:rPr>
                <w:lang w:val="zh-CN"/>
              </w:rPr>
            </w:pPr>
            <w:r>
              <w:rPr>
                <w:rFonts w:hint="eastAsia"/>
                <w:lang w:val="zh-CN"/>
              </w:rPr>
              <w:t>查以上管理方案已按要求落实，考核时间：2022.12.30</w:t>
            </w:r>
          </w:p>
          <w:p>
            <w:pPr>
              <w:snapToGrid w:val="0"/>
              <w:spacing w:line="300" w:lineRule="exact"/>
              <w:jc w:val="left"/>
              <w:rPr>
                <w:lang w:val="zh-CN"/>
              </w:rPr>
            </w:pPr>
            <w:r>
              <w:rPr>
                <w:rFonts w:hint="eastAsia"/>
                <w:lang w:val="zh-CN"/>
              </w:rPr>
              <w:t>另查目标指标 办公区废弃物</w:t>
            </w:r>
            <w:r>
              <w:rPr>
                <w:lang w:val="zh-CN"/>
              </w:rPr>
              <w:t>100%</w:t>
            </w:r>
            <w:r>
              <w:rPr>
                <w:rFonts w:hint="eastAsia"/>
                <w:lang w:val="zh-CN"/>
              </w:rPr>
              <w:t>实现分类存放，合理处置，已按要求落实措施，进行了考核。</w:t>
            </w:r>
          </w:p>
        </w:tc>
        <w:tc>
          <w:tcPr>
            <w:tcW w:w="315" w:type="pct"/>
          </w:tcPr>
          <w:p>
            <w:pPr>
              <w:rPr>
                <w:rFonts w:ascii="宋体" w:hAnsi="宋体" w:cs="宋体"/>
                <w:szCs w:val="21"/>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4" w:type="pct"/>
          </w:tcPr>
          <w:p>
            <w:pPr>
              <w:snapToGrid w:val="0"/>
              <w:spacing w:line="300" w:lineRule="exact"/>
              <w:jc w:val="left"/>
            </w:pPr>
            <w:r>
              <w:rPr>
                <w:rFonts w:hint="eastAsia"/>
              </w:rPr>
              <w:t>环境因素、危险源</w:t>
            </w:r>
          </w:p>
        </w:tc>
        <w:tc>
          <w:tcPr>
            <w:tcW w:w="324" w:type="pct"/>
            <w:vAlign w:val="center"/>
          </w:tcPr>
          <w:p>
            <w:pPr>
              <w:rPr>
                <w:lang w:val="zh-CN"/>
              </w:rPr>
            </w:pPr>
            <w:r>
              <w:rPr>
                <w:lang w:val="zh-CN"/>
              </w:rPr>
              <w:t>E</w:t>
            </w:r>
            <w:r>
              <w:rPr>
                <w:rFonts w:hint="eastAsia"/>
                <w:lang w:val="zh-CN"/>
              </w:rPr>
              <w:t>O</w:t>
            </w:r>
          </w:p>
          <w:p>
            <w:pPr>
              <w:rPr>
                <w:lang w:val="zh-CN"/>
              </w:rPr>
            </w:pPr>
            <w:r>
              <w:rPr>
                <w:lang w:val="zh-CN"/>
              </w:rPr>
              <w:t>6.1.2</w:t>
            </w:r>
          </w:p>
        </w:tc>
        <w:tc>
          <w:tcPr>
            <w:tcW w:w="3847" w:type="pct"/>
            <w:vAlign w:val="center"/>
          </w:tcPr>
          <w:p>
            <w:pPr>
              <w:pStyle w:val="2"/>
              <w:ind w:firstLine="0" w:firstLineChars="0"/>
              <w:jc w:val="left"/>
              <w:rPr>
                <w:rFonts w:cs="Times New Roman"/>
                <w:sz w:val="21"/>
                <w:lang w:val="zh-CN"/>
              </w:rPr>
            </w:pPr>
            <w:r>
              <w:rPr>
                <w:rFonts w:hint="eastAsia" w:cs="Times New Roman"/>
                <w:sz w:val="21"/>
                <w:lang w:val="zh-CN"/>
              </w:rPr>
              <w:t>执行公司《环境因素识别与评价控制程序HT/CX-6.1.2-A0-2022》《危险源辩识与风险评价控制程序HT/CX-4.3.1-A0-2022》</w:t>
            </w:r>
          </w:p>
          <w:p>
            <w:pPr>
              <w:pStyle w:val="2"/>
              <w:ind w:firstLine="0" w:firstLineChars="0"/>
              <w:jc w:val="left"/>
              <w:rPr>
                <w:rFonts w:cs="Times New Roman"/>
                <w:sz w:val="21"/>
                <w:lang w:val="zh-CN"/>
              </w:rPr>
            </w:pPr>
            <w:r>
              <w:rPr>
                <w:rFonts w:hint="eastAsia" w:cs="Times New Roman"/>
                <w:sz w:val="21"/>
                <w:lang w:val="zh-CN"/>
              </w:rPr>
              <w:t>●在办公室组织下开展了环境因素、危险源辨识工作。</w:t>
            </w:r>
          </w:p>
          <w:p>
            <w:pPr>
              <w:jc w:val="left"/>
              <w:rPr>
                <w:lang w:val="zh-CN"/>
              </w:rPr>
            </w:pPr>
            <w:r>
              <w:rPr>
                <w:rFonts w:hint="eastAsia"/>
                <w:lang w:val="zh-CN"/>
              </w:rPr>
              <w:t>提供《环境因素评价记录表》，按产品、活动、服务等过程进行了环境因素的识别，涉及办公区、库房等，供销部涉及的环境因素包括办公过程的能源消耗、生活污水排放、生活垃圾排放、意外火灾、办公噪声、电脑辐射、</w:t>
            </w:r>
            <w:r>
              <w:rPr>
                <w:rFonts w:hint="eastAsia"/>
              </w:rPr>
              <w:t>在建项目噪声</w:t>
            </w:r>
            <w:r>
              <w:rPr>
                <w:rFonts w:hint="eastAsia"/>
                <w:lang w:val="zh-CN"/>
              </w:rPr>
              <w:t>等。</w:t>
            </w:r>
          </w:p>
          <w:p>
            <w:pPr>
              <w:rPr>
                <w:lang w:val="zh-CN"/>
              </w:rPr>
            </w:pPr>
            <w:r>
              <w:rPr>
                <w:rFonts w:hint="eastAsia"/>
                <w:lang w:val="zh-CN"/>
              </w:rPr>
              <w:t>采用是否法和，评价出重大环境因素，提供了《重大环境因素清单》，其中供销部重要环境因素： 固体废弃物废弃、潜在火灾的发生。评价基本准确。</w:t>
            </w:r>
          </w:p>
          <w:p>
            <w:pPr>
              <w:rPr>
                <w:lang w:val="zh-CN"/>
              </w:rPr>
            </w:pPr>
            <w:r>
              <w:rPr>
                <w:rFonts w:hint="eastAsia"/>
                <w:lang w:val="zh-CN"/>
              </w:rPr>
              <w:t>●提供《职业健康安全危险源识别与评价表》，按照作业活动、区域进行了识别，涉及办公室、库房，供销部涉及的危险源包括：吸烟乱扔烟头引发火灾、上下班途中交通危险、电器短路或使用时间过长散热不良引发火灾、物品码放超高、货架破损、超重</w:t>
            </w:r>
            <w:r>
              <w:rPr>
                <w:rFonts w:hint="eastAsia"/>
                <w:lang w:val="zh-CN"/>
              </w:rPr>
              <w:tab/>
            </w:r>
            <w:r>
              <w:rPr>
                <w:rFonts w:hint="eastAsia"/>
                <w:lang w:val="zh-CN"/>
              </w:rPr>
              <w:t>倒塌伤人、物品摆放不稳导致倾倒</w:t>
            </w:r>
            <w:r>
              <w:rPr>
                <w:rFonts w:hint="eastAsia"/>
                <w:lang w:val="zh-CN"/>
              </w:rPr>
              <w:tab/>
            </w:r>
            <w:r>
              <w:rPr>
                <w:rFonts w:hint="eastAsia"/>
                <w:lang w:val="zh-CN"/>
              </w:rPr>
              <w:t>倒塌伤人、物资装卸砸伤、电脑辐射等，评价基本全面。</w:t>
            </w:r>
          </w:p>
          <w:p>
            <w:pPr>
              <w:rPr>
                <w:lang w:val="zh-CN"/>
              </w:rPr>
            </w:pPr>
            <w:r>
              <w:rPr>
                <w:rFonts w:hint="eastAsia"/>
                <w:lang w:val="zh-CN"/>
              </w:rPr>
              <w:t>采用作业条件危险评价法评价出不可接受风险，提供《重大职业健康安全风险及其控制措施一览表》，其中供销部不可接受风险为触电、物体打击，评价基本准确。</w:t>
            </w:r>
          </w:p>
        </w:tc>
        <w:tc>
          <w:tcPr>
            <w:tcW w:w="315" w:type="pct"/>
          </w:tcPr>
          <w:p>
            <w:pPr>
              <w:rPr>
                <w:rFonts w:cs="宋体"/>
              </w:rPr>
            </w:pPr>
            <w:r>
              <w:rPr>
                <w:rFonts w:hint="eastAsia"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14" w:type="pct"/>
            <w:vAlign w:val="center"/>
          </w:tcPr>
          <w:p>
            <w:pPr>
              <w:snapToGrid w:val="0"/>
              <w:spacing w:line="300" w:lineRule="exact"/>
              <w:jc w:val="left"/>
            </w:pPr>
            <w:r>
              <w:rPr>
                <w:rFonts w:hint="eastAsia"/>
              </w:rPr>
              <w:t>运行控制</w:t>
            </w:r>
          </w:p>
        </w:tc>
        <w:tc>
          <w:tcPr>
            <w:tcW w:w="324" w:type="pct"/>
            <w:vAlign w:val="center"/>
          </w:tcPr>
          <w:p>
            <w:pPr>
              <w:snapToGrid w:val="0"/>
              <w:spacing w:line="300" w:lineRule="exact"/>
              <w:jc w:val="left"/>
            </w:pPr>
            <w:r>
              <w:rPr>
                <w:rFonts w:hint="eastAsia"/>
              </w:rPr>
              <w:t>EO8.1</w:t>
            </w:r>
          </w:p>
        </w:tc>
        <w:tc>
          <w:tcPr>
            <w:tcW w:w="3847" w:type="pct"/>
            <w:vAlign w:val="center"/>
          </w:tcPr>
          <w:p>
            <w:pPr>
              <w:jc w:val="left"/>
            </w:pPr>
            <w:r>
              <w:rPr>
                <w:rFonts w:hint="eastAsia"/>
              </w:rPr>
              <w:t>●执行公司《环境、职业健康安全运行控制程序HT/CX-8.1-A0-2022》、《生产生活固废垃圾处理/利用作业指导书 HT05-ZY-2022》、《员工职业健康及劳动保护管理规定HT08-ZY-2022》《培训管理制度HT09-ZY-2022》《能源使用管理规定HT10-ZY-2022》《产品搬运、储存、防护操作规程</w:t>
            </w:r>
            <w:r>
              <w:t xml:space="preserve"> </w:t>
            </w:r>
            <w:r>
              <w:rPr>
                <w:rFonts w:hint="eastAsia"/>
              </w:rPr>
              <w:t>HT11-ZY-2022》等文件；</w:t>
            </w:r>
          </w:p>
          <w:p>
            <w:pPr>
              <w:jc w:val="left"/>
            </w:pPr>
            <w:r>
              <w:rPr>
                <w:rFonts w:hint="eastAsia"/>
              </w:rPr>
              <w:t>对生命周期考虑：自日常办公活动、销售活动、相关方活动等方面进行了考虑。</w:t>
            </w:r>
          </w:p>
          <w:p>
            <w:pPr>
              <w:jc w:val="left"/>
            </w:pPr>
            <w:r>
              <w:rPr>
                <w:rFonts w:hint="eastAsia"/>
              </w:rPr>
              <w:t>●运行控制情况：</w:t>
            </w:r>
          </w:p>
          <w:p>
            <w:pPr>
              <w:jc w:val="left"/>
            </w:pPr>
            <w:r>
              <w:rPr>
                <w:rFonts w:hint="eastAsia"/>
              </w:rPr>
              <w:t>节约能源：办公过程注意注意节约用水、用电，做到人走灯灭，电脑长时间不用时关机，下班前要关闭电源。</w:t>
            </w:r>
          </w:p>
          <w:p>
            <w:pPr>
              <w:snapToGrid w:val="0"/>
              <w:spacing w:line="300" w:lineRule="exact"/>
              <w:jc w:val="left"/>
            </w:pPr>
            <w:r>
              <w:rPr>
                <w:rFonts w:hint="eastAsia"/>
              </w:rPr>
              <w:t>废水排放：主要是清洁和生活污水，排入城市管网；</w:t>
            </w:r>
          </w:p>
          <w:p>
            <w:pPr>
              <w:snapToGrid w:val="0"/>
              <w:spacing w:line="300" w:lineRule="exact"/>
              <w:jc w:val="left"/>
            </w:pPr>
            <w:r>
              <w:rPr>
                <w:rFonts w:hint="eastAsia"/>
              </w:rPr>
              <w:t>触电控制：办公区均使用安全电器，灯具离地距离符合要求，定期检查线路、灯具、电器等的安全性能，经常对员工进行安全用电知识宣贯，确保安全用电，无触电事故发生。</w:t>
            </w:r>
          </w:p>
          <w:p>
            <w:pPr>
              <w:snapToGrid w:val="0"/>
              <w:spacing w:line="300" w:lineRule="exact"/>
              <w:jc w:val="left"/>
            </w:pPr>
            <w:r>
              <w:rPr>
                <w:rFonts w:hint="eastAsia"/>
              </w:rPr>
              <w:t>火灾控制：办公区和库房内配备了灭火器，查看均有效；</w:t>
            </w:r>
          </w:p>
          <w:p>
            <w:pPr>
              <w:snapToGrid w:val="0"/>
              <w:spacing w:line="300" w:lineRule="exact"/>
              <w:jc w:val="left"/>
            </w:pPr>
            <w:r>
              <w:rPr>
                <w:rFonts w:hint="eastAsia"/>
              </w:rPr>
              <w:t xml:space="preserve">废气、噪声排放：供销部办公过程不产生粉尘排放，无重大噪声。 </w:t>
            </w:r>
          </w:p>
          <w:p>
            <w:pPr>
              <w:snapToGrid w:val="0"/>
              <w:spacing w:line="300" w:lineRule="exact"/>
              <w:jc w:val="left"/>
            </w:pPr>
            <w:r>
              <w:rPr>
                <w:rFonts w:hint="eastAsia"/>
              </w:rPr>
              <w:t>固废：办公过程产生的固废和生活垃圾按办公室要求放到指定地点；原料采购检验产生的废弃下架料与生产固废统一定点存放，定期外售处理；</w:t>
            </w:r>
          </w:p>
          <w:p>
            <w:pPr>
              <w:snapToGrid w:val="0"/>
              <w:spacing w:line="300" w:lineRule="exact"/>
              <w:jc w:val="left"/>
            </w:pPr>
            <w:r>
              <w:rPr>
                <w:rFonts w:hint="eastAsia"/>
              </w:rPr>
              <w:t>车辆伤害：进入厂区运送货物车辆，均减速行驶，不高声鸣笛；装卸货物严格遵守产品搬运、储存、防护操作规程要求，防止高处坠物砸伤等；目前未发生过该类伤害；</w:t>
            </w:r>
          </w:p>
          <w:p>
            <w:pPr>
              <w:pStyle w:val="2"/>
              <w:ind w:firstLine="0" w:firstLineChars="0"/>
              <w:rPr>
                <w:rFonts w:cs="Times New Roman"/>
                <w:sz w:val="21"/>
              </w:rPr>
            </w:pPr>
            <w:r>
              <w:rPr>
                <w:rFonts w:hint="eastAsia" w:cs="Times New Roman"/>
                <w:sz w:val="21"/>
              </w:rPr>
              <w:t>库房：查看原料库和成品库物品摆放整齐，高度适宜，保留了消防通道，装卸货物使用液压叉车，人员遵守产品搬运相关规程；为发生过砸伤、物体打击等安全事故；</w:t>
            </w:r>
          </w:p>
          <w:p>
            <w:pPr>
              <w:snapToGrid w:val="0"/>
              <w:spacing w:line="300" w:lineRule="exact"/>
              <w:jc w:val="left"/>
            </w:pPr>
            <w:r>
              <w:rPr>
                <w:rFonts w:hint="eastAsia"/>
              </w:rPr>
              <w:t>交通事故控制：员工进行交通安全教育，遵守交通安全法，不酒驾、醉驾、毒驾、疲劳驾驶，目前未发生过该类伤害。</w:t>
            </w:r>
          </w:p>
          <w:p>
            <w:pPr>
              <w:snapToGrid w:val="0"/>
              <w:spacing w:line="300" w:lineRule="exact"/>
              <w:jc w:val="left"/>
            </w:pPr>
            <w:r>
              <w:rPr>
                <w:rFonts w:hint="eastAsia"/>
              </w:rPr>
              <w:t>相关方施加影响：提供了“重点施加影响相关方登记表”，供销部负责对供方、客户、来访人员施加环境、安全影响，以邮件、传真、现场告知等方式进行了传达，并进行了“致相关供应方的公开信”的发放， 保留了“相关方公开信发放记录”，进行了环境、安全方针、要求的告知。</w:t>
            </w:r>
          </w:p>
          <w:p>
            <w:pPr>
              <w:pStyle w:val="2"/>
              <w:ind w:firstLine="0" w:firstLineChars="0"/>
              <w:rPr>
                <w:rFonts w:cs="Times New Roman"/>
                <w:color w:val="1F497D" w:themeColor="text2"/>
                <w:sz w:val="21"/>
              </w:rPr>
            </w:pPr>
            <w:r>
              <w:rPr>
                <w:rFonts w:hint="eastAsia" w:cs="Times New Roman"/>
                <w:color w:val="1F497D" w:themeColor="text2"/>
                <w:sz w:val="21"/>
              </w:rPr>
              <w:t>但审核发现，未提供对清洗外包方施加环境、职业健康安全影响的证据。-</w:t>
            </w:r>
            <w:r>
              <w:rPr>
                <w:rFonts w:cs="Times New Roman"/>
                <w:color w:val="1F497D" w:themeColor="text2"/>
                <w:sz w:val="21"/>
              </w:rPr>
              <w:t>-</w:t>
            </w:r>
            <w:r>
              <w:rPr>
                <w:rFonts w:hint="eastAsia" w:cs="Times New Roman"/>
                <w:color w:val="1F497D" w:themeColor="text2"/>
                <w:sz w:val="21"/>
              </w:rPr>
              <w:t>不符合。</w:t>
            </w:r>
          </w:p>
          <w:p>
            <w:pPr>
              <w:snapToGrid w:val="0"/>
              <w:spacing w:line="300" w:lineRule="exact"/>
              <w:jc w:val="left"/>
            </w:pPr>
            <w:r>
              <w:rPr>
                <w:rFonts w:hint="eastAsia"/>
              </w:rPr>
              <w:t>巡视销售办公现场，干净明亮，查看环境因素和安全风险的运行情况： 废水仅为生活废水，排入市政管网。供销部无噪声排放源和粉尘排放源。固废排放控制：主要为废纸张等，均定期变卖，无乱排放现象；原料检验产生的废弃边角料等统一存放定期外售。 能源消耗：办公区域仅照明用电和办公设备用电，照明采用日光灯，节能，设备不使用时关机，无浪费现象。火灾控制：厂区配备了灭火器，在有效压力范围内。 触电管理：现场查看办公设备电源无裸露、能有效管理和控制。现场送货车辆，进入厂区减速行驶，库房原料和成品有序摆放，无易燃易爆品，高度适宜，保留了消防通道。</w:t>
            </w:r>
          </w:p>
        </w:tc>
        <w:tc>
          <w:tcPr>
            <w:tcW w:w="315" w:type="pct"/>
          </w:tcPr>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r>
              <w:rPr>
                <w:rFonts w:hint="eastAsia"/>
              </w:rPr>
              <w:t>N</w:t>
            </w: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p>
            <w:pPr>
              <w:snapToGrid w:val="0"/>
              <w:spacing w:line="3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14" w:type="pct"/>
            <w:vAlign w:val="center"/>
          </w:tcPr>
          <w:p>
            <w:pPr>
              <w:snapToGrid w:val="0"/>
              <w:spacing w:line="300" w:lineRule="exact"/>
              <w:jc w:val="left"/>
            </w:pPr>
            <w:r>
              <w:rPr>
                <w:rFonts w:hint="eastAsia"/>
              </w:rPr>
              <w:t>应急准备和响应</w:t>
            </w:r>
          </w:p>
        </w:tc>
        <w:tc>
          <w:tcPr>
            <w:tcW w:w="324" w:type="pct"/>
            <w:vAlign w:val="center"/>
          </w:tcPr>
          <w:p>
            <w:pPr>
              <w:snapToGrid w:val="0"/>
              <w:spacing w:line="300" w:lineRule="exact"/>
              <w:jc w:val="left"/>
            </w:pPr>
            <w:r>
              <w:rPr>
                <w:rFonts w:hint="eastAsia"/>
              </w:rPr>
              <w:t>EO8.2</w:t>
            </w:r>
          </w:p>
        </w:tc>
        <w:tc>
          <w:tcPr>
            <w:tcW w:w="3847" w:type="pct"/>
            <w:vAlign w:val="center"/>
          </w:tcPr>
          <w:p>
            <w:pPr>
              <w:snapToGrid w:val="0"/>
              <w:spacing w:line="300" w:lineRule="exact"/>
              <w:jc w:val="left"/>
            </w:pPr>
            <w:r>
              <w:rPr>
                <w:rFonts w:hint="eastAsia"/>
              </w:rPr>
              <w:t>执行公司《应急准备和响应控制程序HT/CX-8.2-A0-2022》。</w:t>
            </w:r>
          </w:p>
          <w:p>
            <w:pPr>
              <w:snapToGrid w:val="0"/>
              <w:spacing w:line="300" w:lineRule="exact"/>
              <w:jc w:val="left"/>
            </w:pPr>
            <w:r>
              <w:rPr>
                <w:rFonts w:hint="eastAsia"/>
              </w:rPr>
              <w:t>供销部2</w:t>
            </w:r>
            <w:r>
              <w:t>022.8.9</w:t>
            </w:r>
            <w:r>
              <w:rPr>
                <w:rFonts w:hint="eastAsia"/>
              </w:rPr>
              <w:t>参加了公司组织的应急准备和响应的应急预案培训及消防应急演练。</w:t>
            </w:r>
          </w:p>
          <w:p>
            <w:pPr>
              <w:snapToGrid w:val="0"/>
              <w:spacing w:line="300" w:lineRule="exact"/>
              <w:jc w:val="left"/>
            </w:pPr>
            <w:r>
              <w:rPr>
                <w:rFonts w:hint="eastAsia"/>
              </w:rPr>
              <w:t>具体见办公室记录。</w:t>
            </w:r>
          </w:p>
        </w:tc>
        <w:tc>
          <w:tcPr>
            <w:tcW w:w="315" w:type="pct"/>
          </w:tcPr>
          <w:p>
            <w:pPr>
              <w:snapToGrid w:val="0"/>
              <w:spacing w:line="300" w:lineRule="exact"/>
              <w:jc w:val="left"/>
            </w:pPr>
            <w:r>
              <w:rPr>
                <w:rFonts w:hint="eastAsia"/>
              </w:rPr>
              <w:t>Y</w:t>
            </w:r>
          </w:p>
        </w:tc>
      </w:tr>
    </w:tbl>
    <w:p>
      <w:pPr>
        <w:snapToGrid w:val="0"/>
        <w:spacing w:line="300" w:lineRule="exact"/>
        <w:jc w:val="left"/>
      </w:pPr>
      <w:r>
        <w:rPr>
          <w:rFonts w:hint="eastAsia"/>
        </w:rPr>
        <w:t>注：不符合标注“N”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001"/>
        <w:gridCol w:w="11420"/>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1" w:type="pct"/>
            <w:vMerge w:val="restart"/>
            <w:vAlign w:val="center"/>
          </w:tcPr>
          <w:p>
            <w:pPr>
              <w:spacing w:before="120"/>
            </w:pPr>
            <w:r>
              <w:rPr>
                <w:rFonts w:hint="eastAsia" w:cs="宋体"/>
              </w:rPr>
              <w:t>过程与活动、抽样计划</w:t>
            </w:r>
          </w:p>
        </w:tc>
        <w:tc>
          <w:tcPr>
            <w:tcW w:w="337" w:type="pct"/>
            <w:vMerge w:val="restart"/>
            <w:vAlign w:val="center"/>
          </w:tcPr>
          <w:p>
            <w:r>
              <w:rPr>
                <w:rFonts w:hint="eastAsia" w:cs="宋体"/>
              </w:rPr>
              <w:t>涉及</w:t>
            </w:r>
          </w:p>
          <w:p>
            <w:r>
              <w:rPr>
                <w:rFonts w:hint="eastAsia" w:cs="宋体"/>
              </w:rPr>
              <w:t>条款</w:t>
            </w:r>
          </w:p>
        </w:tc>
        <w:tc>
          <w:tcPr>
            <w:tcW w:w="3843" w:type="pct"/>
            <w:vAlign w:val="center"/>
          </w:tcPr>
          <w:p>
            <w:r>
              <w:rPr>
                <w:rFonts w:hint="eastAsia" w:cs="宋体"/>
              </w:rPr>
              <w:t>受审核部门：办公室</w:t>
            </w:r>
            <w:r>
              <w:t xml:space="preserve">           </w:t>
            </w:r>
            <w:r>
              <w:rPr>
                <w:rFonts w:hint="eastAsia" w:cs="宋体"/>
              </w:rPr>
              <w:t>主管领导</w:t>
            </w:r>
            <w:r>
              <w:rPr>
                <w:rFonts w:hint="eastAsia"/>
              </w:rPr>
              <w:t>：刘茂          陪同人员： 耿楠楠</w:t>
            </w:r>
          </w:p>
        </w:tc>
        <w:tc>
          <w:tcPr>
            <w:tcW w:w="309"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1" w:type="pct"/>
            <w:vMerge w:val="continue"/>
            <w:vAlign w:val="center"/>
          </w:tcPr>
          <w:p/>
        </w:tc>
        <w:tc>
          <w:tcPr>
            <w:tcW w:w="337" w:type="pct"/>
            <w:vMerge w:val="continue"/>
            <w:vAlign w:val="center"/>
          </w:tcPr>
          <w:p/>
        </w:tc>
        <w:tc>
          <w:tcPr>
            <w:tcW w:w="3843" w:type="pct"/>
            <w:vAlign w:val="center"/>
          </w:tcPr>
          <w:p>
            <w:pPr>
              <w:spacing w:before="120"/>
            </w:pPr>
            <w:r>
              <w:rPr>
                <w:rFonts w:hint="eastAsia" w:cs="宋体"/>
              </w:rPr>
              <w:t>审核员：杨园</w:t>
            </w:r>
            <w:r>
              <w:t xml:space="preserve">   </w:t>
            </w:r>
            <w:r>
              <w:rPr>
                <w:rFonts w:hint="eastAsia"/>
              </w:rPr>
              <w:t xml:space="preserve">    </w:t>
            </w:r>
            <w:r>
              <w:t xml:space="preserve">          </w:t>
            </w:r>
            <w:r>
              <w:rPr>
                <w:rFonts w:hint="eastAsia" w:cs="宋体"/>
              </w:rPr>
              <w:t>审核时间：</w:t>
            </w:r>
            <w:r>
              <w:t>20</w:t>
            </w:r>
            <w:r>
              <w:rPr>
                <w:rFonts w:hint="eastAsia"/>
              </w:rPr>
              <w:t>23年2月1</w:t>
            </w:r>
            <w:r>
              <w:t>7</w:t>
            </w:r>
            <w:r>
              <w:rPr>
                <w:rFonts w:hint="eastAsia"/>
              </w:rPr>
              <w:t>日</w:t>
            </w:r>
          </w:p>
        </w:tc>
        <w:tc>
          <w:tcPr>
            <w:tcW w:w="309"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Merge w:val="continue"/>
            <w:vAlign w:val="center"/>
          </w:tcPr>
          <w:p/>
        </w:tc>
        <w:tc>
          <w:tcPr>
            <w:tcW w:w="337" w:type="pct"/>
            <w:vMerge w:val="continue"/>
            <w:vAlign w:val="center"/>
          </w:tcPr>
          <w:p/>
        </w:tc>
        <w:tc>
          <w:tcPr>
            <w:tcW w:w="3843" w:type="pct"/>
            <w:vAlign w:val="center"/>
          </w:tcPr>
          <w:p>
            <w:pPr>
              <w:spacing w:line="260" w:lineRule="exact"/>
            </w:pPr>
            <w:r>
              <w:rPr>
                <w:rFonts w:hint="eastAsia"/>
              </w:rPr>
              <w:t>审核条款：</w:t>
            </w:r>
          </w:p>
          <w:p>
            <w:pPr>
              <w:pStyle w:val="19"/>
              <w:rPr>
                <w:rFonts w:ascii="楷体" w:hAnsi="楷体" w:eastAsia="楷体" w:cs="楷体"/>
                <w:szCs w:val="21"/>
              </w:rPr>
            </w:pPr>
            <w:r>
              <w:rPr>
                <w:rFonts w:hint="eastAsia" w:ascii="楷体" w:hAnsi="楷体" w:eastAsia="楷体" w:cs="楷体"/>
                <w:szCs w:val="21"/>
              </w:rPr>
              <w:t>EO:5.3/6.2/6.1.2/6.1.3/6.1.4/7.2/7.3/8.1/8.2/9.1.2</w:t>
            </w:r>
          </w:p>
        </w:tc>
        <w:tc>
          <w:tcPr>
            <w:tcW w:w="309"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r>
              <w:rPr>
                <w:rFonts w:hint="eastAsia" w:cs="宋体"/>
              </w:rPr>
              <w:t>组织的岗位、职责权限</w:t>
            </w:r>
          </w:p>
        </w:tc>
        <w:tc>
          <w:tcPr>
            <w:tcW w:w="337" w:type="pct"/>
            <w:vAlign w:val="center"/>
          </w:tcPr>
          <w:p>
            <w:r>
              <w:t>E</w:t>
            </w:r>
            <w:r>
              <w:rPr>
                <w:rFonts w:hint="eastAsia"/>
              </w:rPr>
              <w:t>O</w:t>
            </w:r>
            <w:r>
              <w:t>5.3</w:t>
            </w:r>
          </w:p>
        </w:tc>
        <w:tc>
          <w:tcPr>
            <w:tcW w:w="3843" w:type="pct"/>
            <w:vAlign w:val="center"/>
          </w:tcPr>
          <w:p>
            <w:r>
              <w:rPr>
                <w:rFonts w:hint="eastAsia" w:cs="宋体"/>
              </w:rPr>
              <w:t>办公室部门负责人：</w:t>
            </w:r>
            <w:r>
              <w:rPr>
                <w:rFonts w:hint="eastAsia"/>
              </w:rPr>
              <w:t>刘茂</w:t>
            </w:r>
          </w:p>
          <w:p>
            <w:pPr>
              <w:rPr>
                <w:rFonts w:cs="宋体"/>
              </w:rPr>
            </w:pPr>
            <w:r>
              <w:rPr>
                <w:rFonts w:hint="eastAsia" w:cs="宋体"/>
              </w:rPr>
              <w:t>现场询问董会英主任其职责权限：主要负责公司目标考核工作，人力资源及教育培训工作，公司文件的控制，即文件的编制、收发、归档等管理工作，负责组织内审和管理评审工作，对不合格采取纠正和预防措施；负责组织辨识和评价公司的环境因素、危险源，对办公区的环境因素、危险源进行控制管理方面的工作，编制应急预案，组织应急演练，环境安全运行控制，监视和测量，不符合和纠正措施控制等。</w:t>
            </w:r>
          </w:p>
          <w:p>
            <w:r>
              <w:rPr>
                <w:rFonts w:hint="eastAsia" w:cs="宋体"/>
              </w:rPr>
              <w:t>与部门负责人沟通，职责明确，回答基本正确。</w:t>
            </w:r>
          </w:p>
        </w:tc>
        <w:tc>
          <w:tcPr>
            <w:tcW w:w="309" w:type="pct"/>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pPr>
              <w:rPr>
                <w:rFonts w:cs="宋体"/>
              </w:rPr>
            </w:pPr>
            <w:r>
              <w:rPr>
                <w:rFonts w:hint="eastAsia" w:cs="宋体"/>
              </w:rPr>
              <w:t>目标指标、管理方案</w:t>
            </w:r>
          </w:p>
        </w:tc>
        <w:tc>
          <w:tcPr>
            <w:tcW w:w="337" w:type="pct"/>
            <w:vAlign w:val="center"/>
          </w:tcPr>
          <w:p>
            <w:pPr>
              <w:rPr>
                <w:rFonts w:cs="宋体"/>
              </w:rPr>
            </w:pPr>
            <w:r>
              <w:rPr>
                <w:rFonts w:hint="eastAsia" w:cs="宋体"/>
              </w:rPr>
              <w:t>EO6.2</w:t>
            </w:r>
          </w:p>
        </w:tc>
        <w:tc>
          <w:tcPr>
            <w:tcW w:w="3843" w:type="pct"/>
            <w:vAlign w:val="center"/>
          </w:tcPr>
          <w:p>
            <w:pPr>
              <w:rPr>
                <w:rFonts w:cs="宋体"/>
              </w:rPr>
            </w:pPr>
            <w:r>
              <w:rPr>
                <w:rFonts w:hint="eastAsia" w:cs="宋体"/>
              </w:rPr>
              <w:t>●查《质量/环境/职业健康安全手册》制定了企业的管理目标，编制有《目标指标和管理方案控制程序》，目标分解至各部门，办公室负责定期考核，提供了目标考核记录，办公室目标考核情况如下：</w:t>
            </w:r>
          </w:p>
          <w:p>
            <w:pPr>
              <w:rPr>
                <w:rFonts w:cs="宋体"/>
              </w:rPr>
            </w:pPr>
            <w:r>
              <w:rPr>
                <w:rFonts w:hint="eastAsia" w:cs="宋体"/>
              </w:rPr>
              <w:t>分解目标</w:t>
            </w:r>
            <w:r>
              <w:rPr>
                <w:rFonts w:hint="eastAsia" w:cs="宋体"/>
              </w:rPr>
              <w:tab/>
            </w:r>
            <w:r>
              <w:rPr>
                <w:rFonts w:hint="eastAsia" w:cs="宋体"/>
              </w:rPr>
              <w:t xml:space="preserve">            </w:t>
            </w:r>
            <w:r>
              <w:rPr>
                <w:rFonts w:cs="宋体"/>
              </w:rPr>
              <w:t xml:space="preserve">    </w:t>
            </w:r>
            <w:r>
              <w:rPr>
                <w:rFonts w:hint="eastAsia" w:cs="宋体"/>
              </w:rPr>
              <w:t>计划</w:t>
            </w:r>
            <w:r>
              <w:rPr>
                <w:rFonts w:hint="eastAsia" w:cs="宋体"/>
              </w:rPr>
              <w:tab/>
            </w:r>
            <w:r>
              <w:rPr>
                <w:rFonts w:hint="eastAsia" w:cs="宋体"/>
              </w:rPr>
              <w:t>实际完成（2</w:t>
            </w:r>
            <w:r>
              <w:rPr>
                <w:rFonts w:cs="宋体"/>
              </w:rPr>
              <w:t>022</w:t>
            </w:r>
            <w:r>
              <w:rPr>
                <w:rFonts w:hint="eastAsia" w:cs="宋体"/>
              </w:rPr>
              <w:t>年4季度）</w:t>
            </w:r>
          </w:p>
          <w:p>
            <w:pPr>
              <w:rPr>
                <w:rFonts w:cs="宋体"/>
              </w:rPr>
            </w:pPr>
            <w:r>
              <w:rPr>
                <w:rFonts w:hint="eastAsia" w:cs="宋体"/>
              </w:rPr>
              <w:t>年度培训计划完成率达到</w:t>
            </w:r>
            <w:r>
              <w:rPr>
                <w:rFonts w:hint="eastAsia" w:cs="宋体"/>
              </w:rPr>
              <w:tab/>
            </w:r>
            <w:r>
              <w:rPr>
                <w:rFonts w:cs="宋体"/>
              </w:rPr>
              <w:t xml:space="preserve">    </w:t>
            </w:r>
            <w:r>
              <w:rPr>
                <w:rFonts w:hint="eastAsia" w:cs="宋体"/>
              </w:rPr>
              <w:t>100%</w:t>
            </w:r>
            <w:r>
              <w:rPr>
                <w:rFonts w:hint="eastAsia" w:cs="宋体"/>
              </w:rPr>
              <w:tab/>
            </w:r>
            <w:r>
              <w:rPr>
                <w:rFonts w:hint="eastAsia" w:cs="宋体"/>
              </w:rPr>
              <w:t>100%</w:t>
            </w:r>
          </w:p>
          <w:p>
            <w:pPr>
              <w:rPr>
                <w:rFonts w:cs="宋体"/>
              </w:rPr>
            </w:pPr>
            <w:r>
              <w:rPr>
                <w:rFonts w:hint="eastAsia" w:cs="宋体"/>
              </w:rPr>
              <w:t>应急响应预案每年演练次数</w:t>
            </w:r>
            <w:r>
              <w:rPr>
                <w:rFonts w:hint="eastAsia" w:cs="宋体"/>
              </w:rPr>
              <w:tab/>
            </w:r>
            <w:r>
              <w:rPr>
                <w:rFonts w:hint="eastAsia" w:cs="宋体"/>
              </w:rPr>
              <w:t>不少于1次</w:t>
            </w:r>
            <w:r>
              <w:rPr>
                <w:rFonts w:hint="eastAsia" w:cs="宋体"/>
              </w:rPr>
              <w:tab/>
            </w:r>
            <w:r>
              <w:rPr>
                <w:rFonts w:hint="eastAsia" w:cs="宋体"/>
              </w:rPr>
              <w:t>1</w:t>
            </w:r>
          </w:p>
          <w:p>
            <w:pPr>
              <w:rPr>
                <w:rFonts w:cs="宋体"/>
              </w:rPr>
            </w:pPr>
            <w:r>
              <w:rPr>
                <w:rFonts w:hint="eastAsia" w:cs="宋体"/>
              </w:rPr>
              <w:t>火灾事故发生率</w:t>
            </w:r>
            <w:r>
              <w:rPr>
                <w:rFonts w:hint="eastAsia" w:cs="宋体"/>
              </w:rPr>
              <w:tab/>
            </w:r>
            <w:r>
              <w:rPr>
                <w:rFonts w:cs="宋体"/>
              </w:rPr>
              <w:t xml:space="preserve">            </w:t>
            </w:r>
            <w:r>
              <w:rPr>
                <w:rFonts w:hint="eastAsia" w:cs="宋体"/>
              </w:rPr>
              <w:t>为0</w:t>
            </w:r>
            <w:r>
              <w:rPr>
                <w:rFonts w:cs="宋体"/>
              </w:rPr>
              <w:t xml:space="preserve">        </w:t>
            </w:r>
            <w:r>
              <w:rPr>
                <w:rFonts w:hint="eastAsia" w:cs="宋体"/>
              </w:rPr>
              <w:tab/>
            </w:r>
            <w:r>
              <w:rPr>
                <w:rFonts w:hint="eastAsia" w:cs="宋体"/>
              </w:rPr>
              <w:t>0</w:t>
            </w:r>
          </w:p>
          <w:p>
            <w:pPr>
              <w:rPr>
                <w:rFonts w:cs="宋体"/>
              </w:rPr>
            </w:pPr>
            <w:r>
              <w:rPr>
                <w:rFonts w:hint="eastAsia" w:cs="宋体"/>
              </w:rPr>
              <w:t>废弃物100%实现分类存放，合理处置</w:t>
            </w:r>
            <w:r>
              <w:rPr>
                <w:rFonts w:hint="eastAsia" w:cs="宋体"/>
              </w:rPr>
              <w:tab/>
            </w:r>
            <w:r>
              <w:rPr>
                <w:rFonts w:hint="eastAsia" w:cs="宋体"/>
              </w:rPr>
              <w:t>100%</w:t>
            </w:r>
            <w:r>
              <w:rPr>
                <w:rFonts w:hint="eastAsia" w:cs="宋体"/>
              </w:rPr>
              <w:tab/>
            </w:r>
            <w:r>
              <w:rPr>
                <w:rFonts w:hint="eastAsia" w:cs="宋体"/>
              </w:rPr>
              <w:t>100%</w:t>
            </w:r>
          </w:p>
          <w:p>
            <w:pPr>
              <w:rPr>
                <w:rFonts w:cs="宋体"/>
              </w:rPr>
            </w:pPr>
            <w:r>
              <w:rPr>
                <w:rFonts w:hint="eastAsia" w:cs="宋体"/>
              </w:rPr>
              <w:t>杜绝发生死亡、重伤事故</w:t>
            </w:r>
            <w:r>
              <w:rPr>
                <w:rFonts w:hint="eastAsia" w:cs="宋体"/>
              </w:rPr>
              <w:tab/>
            </w:r>
            <w:r>
              <w:rPr>
                <w:rFonts w:cs="宋体"/>
              </w:rPr>
              <w:t xml:space="preserve">      </w:t>
            </w:r>
            <w:r>
              <w:rPr>
                <w:rFonts w:hint="eastAsia" w:cs="宋体"/>
              </w:rPr>
              <w:t>0</w:t>
            </w:r>
            <w:r>
              <w:rPr>
                <w:rFonts w:hint="eastAsia" w:cs="宋体"/>
              </w:rPr>
              <w:tab/>
            </w:r>
            <w:r>
              <w:rPr>
                <w:rFonts w:cs="宋体"/>
              </w:rPr>
              <w:t xml:space="preserve">        </w:t>
            </w:r>
            <w:r>
              <w:rPr>
                <w:rFonts w:hint="eastAsia" w:cs="宋体"/>
              </w:rPr>
              <w:t>0</w:t>
            </w:r>
          </w:p>
          <w:p>
            <w:pPr>
              <w:rPr>
                <w:rFonts w:cs="宋体"/>
              </w:rPr>
            </w:pPr>
            <w:r>
              <w:rPr>
                <w:rFonts w:hint="eastAsia" w:cs="宋体"/>
              </w:rPr>
              <w:t>文件管理、记录管理差错率为</w:t>
            </w:r>
            <w:r>
              <w:rPr>
                <w:rFonts w:hint="eastAsia" w:cs="宋体"/>
              </w:rPr>
              <w:tab/>
            </w:r>
            <w:r>
              <w:rPr>
                <w:rFonts w:cs="宋体"/>
              </w:rPr>
              <w:t xml:space="preserve">  </w:t>
            </w:r>
            <w:r>
              <w:rPr>
                <w:rFonts w:hint="eastAsia" w:cs="宋体"/>
              </w:rPr>
              <w:t>0</w:t>
            </w:r>
            <w:r>
              <w:rPr>
                <w:rFonts w:hint="eastAsia" w:cs="宋体"/>
              </w:rPr>
              <w:tab/>
            </w:r>
            <w:r>
              <w:rPr>
                <w:rFonts w:cs="宋体"/>
              </w:rPr>
              <w:t xml:space="preserve">        </w:t>
            </w:r>
            <w:r>
              <w:rPr>
                <w:rFonts w:hint="eastAsia" w:cs="宋体"/>
              </w:rPr>
              <w:t>0</w:t>
            </w:r>
          </w:p>
          <w:p>
            <w:pPr>
              <w:rPr>
                <w:rFonts w:ascii="宋体" w:hAnsi="宋体" w:cs="宋体"/>
                <w:szCs w:val="21"/>
              </w:rPr>
            </w:pPr>
            <w:r>
              <w:rPr>
                <w:rFonts w:hint="eastAsia" w:ascii="宋体" w:hAnsi="宋体" w:cs="宋体"/>
                <w:szCs w:val="21"/>
              </w:rPr>
              <w:t>统计时间：2022.12.30</w:t>
            </w:r>
          </w:p>
          <w:p>
            <w:pPr>
              <w:rPr>
                <w:rFonts w:ascii="宋体" w:hAnsi="宋体" w:cs="宋体"/>
                <w:szCs w:val="21"/>
              </w:rPr>
            </w:pPr>
            <w:r>
              <w:rPr>
                <w:rFonts w:hint="eastAsia" w:ascii="宋体" w:hAnsi="宋体" w:cs="宋体"/>
                <w:szCs w:val="21"/>
              </w:rPr>
              <w:t>统计人：刘茂</w:t>
            </w:r>
          </w:p>
          <w:p>
            <w:pPr>
              <w:rPr>
                <w:rFonts w:cs="宋体"/>
              </w:rPr>
            </w:pPr>
            <w:r>
              <w:rPr>
                <w:rFonts w:hint="eastAsia" w:cs="宋体"/>
              </w:rPr>
              <w:t>●查目标指标、环境、安全管理方案：提供了《办公室EMS管理方案完成情况检查记录》《办公室OHS管理方案完成情况检查记录》</w:t>
            </w:r>
          </w:p>
          <w:p>
            <w:pPr>
              <w:rPr>
                <w:rFonts w:cs="宋体"/>
              </w:rPr>
            </w:pPr>
            <w:r>
              <w:rPr>
                <w:rFonts w:hint="eastAsia" w:cs="宋体"/>
              </w:rPr>
              <w:t>——抽目标指标：办公区废弃物</w:t>
            </w:r>
            <w:r>
              <w:rPr>
                <w:rFonts w:cs="宋体"/>
              </w:rPr>
              <w:t>100%</w:t>
            </w:r>
            <w:r>
              <w:rPr>
                <w:rFonts w:hint="eastAsia" w:cs="宋体"/>
              </w:rPr>
              <w:t>实现分类存放，合理处置；</w:t>
            </w:r>
          </w:p>
          <w:p>
            <w:pPr>
              <w:rPr>
                <w:rFonts w:cs="宋体"/>
              </w:rPr>
            </w:pPr>
            <w:r>
              <w:rPr>
                <w:rFonts w:hint="eastAsia" w:cs="宋体"/>
              </w:rPr>
              <w:t>管理方案：1、制作固废分类标识牌</w:t>
            </w:r>
          </w:p>
          <w:p>
            <w:pPr>
              <w:rPr>
                <w:rFonts w:cs="宋体"/>
              </w:rPr>
            </w:pPr>
            <w:r>
              <w:rPr>
                <w:rFonts w:hint="eastAsia" w:cs="宋体"/>
              </w:rPr>
              <w:t>2、划分固废分类存放区，制作存放容器</w:t>
            </w:r>
          </w:p>
          <w:p>
            <w:pPr>
              <w:rPr>
                <w:rFonts w:cs="宋体"/>
              </w:rPr>
            </w:pPr>
            <w:r>
              <w:rPr>
                <w:rFonts w:hint="eastAsia" w:cs="宋体"/>
              </w:rPr>
              <w:t>3、进行固废分类及要求的培训</w:t>
            </w:r>
          </w:p>
          <w:p>
            <w:pPr>
              <w:rPr>
                <w:rFonts w:cs="宋体"/>
              </w:rPr>
            </w:pPr>
            <w:r>
              <w:rPr>
                <w:rFonts w:hint="eastAsia" w:cs="宋体"/>
              </w:rPr>
              <w:t>5、每月检查固废分类存放及回收状况</w:t>
            </w:r>
          </w:p>
          <w:p>
            <w:pPr>
              <w:pStyle w:val="2"/>
              <w:ind w:firstLine="0" w:firstLineChars="0"/>
              <w:rPr>
                <w:sz w:val="21"/>
              </w:rPr>
            </w:pPr>
            <w:r>
              <w:rPr>
                <w:rFonts w:hint="eastAsia"/>
                <w:sz w:val="21"/>
              </w:rPr>
              <w:t>资金支持：1</w:t>
            </w:r>
            <w:r>
              <w:rPr>
                <w:sz w:val="21"/>
              </w:rPr>
              <w:t>000</w:t>
            </w:r>
            <w:r>
              <w:rPr>
                <w:rFonts w:hint="eastAsia"/>
                <w:sz w:val="21"/>
              </w:rPr>
              <w:t>元整，责任部门：办公室；</w:t>
            </w:r>
          </w:p>
          <w:p>
            <w:pPr>
              <w:pStyle w:val="2"/>
              <w:ind w:firstLine="0" w:firstLineChars="0"/>
              <w:rPr>
                <w:sz w:val="21"/>
              </w:rPr>
            </w:pPr>
            <w:r>
              <w:rPr>
                <w:rFonts w:hint="eastAsia"/>
                <w:sz w:val="21"/>
              </w:rPr>
              <w:t>——抽目标指标：火灾事故发生率为0%</w:t>
            </w:r>
            <w:r>
              <w:rPr>
                <w:rFonts w:hint="eastAsia"/>
                <w:sz w:val="21"/>
              </w:rPr>
              <w:tab/>
            </w:r>
            <w:r>
              <w:rPr>
                <w:rFonts w:hint="eastAsia"/>
                <w:sz w:val="21"/>
              </w:rPr>
              <w:t>1.办公区火灾事故发生率为0%</w:t>
            </w:r>
            <w:r>
              <w:rPr>
                <w:rFonts w:hint="eastAsia"/>
                <w:sz w:val="21"/>
              </w:rPr>
              <w:tab/>
            </w:r>
            <w:r>
              <w:rPr>
                <w:rFonts w:hint="eastAsia"/>
                <w:sz w:val="21"/>
              </w:rPr>
              <w:t>2、废品区火灾事故发生率为0%</w:t>
            </w:r>
          </w:p>
          <w:p>
            <w:pPr>
              <w:pStyle w:val="2"/>
              <w:ind w:firstLine="0" w:firstLineChars="0"/>
              <w:rPr>
                <w:sz w:val="21"/>
              </w:rPr>
            </w:pPr>
            <w:r>
              <w:rPr>
                <w:rFonts w:hint="eastAsia"/>
                <w:sz w:val="21"/>
              </w:rPr>
              <w:t>管理方案：1、规定下班时间及时关闭办公设备电源2.每月安全大检查</w:t>
            </w:r>
          </w:p>
          <w:p>
            <w:pPr>
              <w:pStyle w:val="2"/>
              <w:ind w:firstLine="420"/>
              <w:rPr>
                <w:sz w:val="21"/>
              </w:rPr>
            </w:pPr>
            <w:r>
              <w:rPr>
                <w:rFonts w:hint="eastAsia"/>
                <w:sz w:val="21"/>
              </w:rPr>
              <w:tab/>
            </w:r>
            <w:r>
              <w:rPr>
                <w:sz w:val="21"/>
              </w:rPr>
              <w:t xml:space="preserve">  </w:t>
            </w:r>
            <w:r>
              <w:rPr>
                <w:rFonts w:hint="eastAsia"/>
                <w:sz w:val="21"/>
              </w:rPr>
              <w:t>1、及时处理废品2、禁烟规定</w:t>
            </w:r>
          </w:p>
          <w:p>
            <w:pPr>
              <w:rPr>
                <w:rFonts w:cs="宋体"/>
              </w:rPr>
            </w:pPr>
            <w:r>
              <w:rPr>
                <w:rFonts w:hint="eastAsia" w:cs="宋体"/>
              </w:rPr>
              <w:t>2</w:t>
            </w:r>
            <w:r>
              <w:rPr>
                <w:rFonts w:cs="宋体"/>
              </w:rPr>
              <w:t>022.12.30</w:t>
            </w:r>
            <w:r>
              <w:rPr>
                <w:rFonts w:hint="eastAsia" w:cs="宋体"/>
              </w:rPr>
              <w:t>按照管理方案的策划对实际运行情况进行了检查，落实了管理方案的各项控制措施。</w:t>
            </w:r>
          </w:p>
          <w:p>
            <w:pPr>
              <w:rPr>
                <w:rFonts w:cs="宋体"/>
              </w:rPr>
            </w:pPr>
            <w:r>
              <w:rPr>
                <w:rFonts w:hint="eastAsia" w:cs="宋体"/>
              </w:rPr>
              <w:t>完成了阶段性目标，符合要求。</w:t>
            </w:r>
          </w:p>
        </w:tc>
        <w:tc>
          <w:tcPr>
            <w:tcW w:w="309" w:type="pct"/>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pPr>
              <w:rPr>
                <w:rFonts w:cs="宋体"/>
              </w:rPr>
            </w:pPr>
            <w:r>
              <w:rPr>
                <w:rFonts w:hint="eastAsia" w:cs="宋体"/>
              </w:rPr>
              <w:t>环境因素、危险源辨识、</w:t>
            </w:r>
          </w:p>
          <w:p>
            <w:pPr>
              <w:rPr>
                <w:rFonts w:cs="宋体"/>
              </w:rPr>
            </w:pPr>
            <w:r>
              <w:rPr>
                <w:rFonts w:hint="eastAsia" w:cs="宋体"/>
              </w:rPr>
              <w:t>控制措施</w:t>
            </w:r>
          </w:p>
        </w:tc>
        <w:tc>
          <w:tcPr>
            <w:tcW w:w="337" w:type="pct"/>
            <w:vAlign w:val="center"/>
          </w:tcPr>
          <w:p>
            <w:pPr>
              <w:rPr>
                <w:lang w:val="zh-CN"/>
              </w:rPr>
            </w:pPr>
            <w:r>
              <w:rPr>
                <w:lang w:val="zh-CN"/>
              </w:rPr>
              <w:t>E</w:t>
            </w:r>
            <w:r>
              <w:rPr>
                <w:rFonts w:hint="eastAsia"/>
                <w:lang w:val="zh-CN"/>
              </w:rPr>
              <w:t>O</w:t>
            </w:r>
          </w:p>
          <w:p>
            <w:pPr>
              <w:pStyle w:val="2"/>
              <w:ind w:firstLine="0" w:firstLineChars="0"/>
              <w:rPr>
                <w:lang w:val="zh-CN"/>
              </w:rPr>
            </w:pPr>
            <w:r>
              <w:rPr>
                <w:lang w:val="zh-CN"/>
              </w:rPr>
              <w:t>6.1.2</w:t>
            </w:r>
          </w:p>
          <w:p>
            <w:pPr>
              <w:pStyle w:val="2"/>
              <w:ind w:firstLine="0" w:firstLineChars="0"/>
            </w:pPr>
            <w:r>
              <w:rPr>
                <w:rFonts w:hint="eastAsia"/>
              </w:rPr>
              <w:t>6</w:t>
            </w:r>
            <w:r>
              <w:t>.1.4</w:t>
            </w:r>
          </w:p>
        </w:tc>
        <w:tc>
          <w:tcPr>
            <w:tcW w:w="3843" w:type="pct"/>
            <w:vAlign w:val="center"/>
          </w:tcPr>
          <w:p>
            <w:pPr>
              <w:pStyle w:val="2"/>
              <w:ind w:firstLine="0" w:firstLineChars="0"/>
              <w:jc w:val="left"/>
              <w:rPr>
                <w:rFonts w:cs="Times New Roman"/>
                <w:sz w:val="21"/>
                <w:lang w:val="zh-CN"/>
              </w:rPr>
            </w:pPr>
            <w:r>
              <w:rPr>
                <w:rFonts w:hint="eastAsia" w:cs="Times New Roman"/>
                <w:sz w:val="21"/>
                <w:lang w:val="zh-CN"/>
              </w:rPr>
              <w:t>执行公司《环境因素识别与评价控制程序HT/CX-6.1.2-A0-2022》《危险源辩识与风险评价控制程序HT/CX-4.3.1-A0-2022》</w:t>
            </w:r>
          </w:p>
          <w:p>
            <w:pPr>
              <w:pStyle w:val="2"/>
              <w:ind w:firstLine="0" w:firstLineChars="0"/>
              <w:jc w:val="left"/>
              <w:rPr>
                <w:rFonts w:cs="Times New Roman"/>
                <w:sz w:val="21"/>
                <w:lang w:val="zh-CN"/>
              </w:rPr>
            </w:pPr>
            <w:r>
              <w:rPr>
                <w:rFonts w:hint="eastAsia" w:cs="Times New Roman"/>
                <w:sz w:val="21"/>
                <w:lang w:val="zh-CN"/>
              </w:rPr>
              <w:t>办公室为归口部门，组织各部门开展了环境因素、危险源辨识工作并评价出重大环境因素和重大职业健康安全风险。</w:t>
            </w:r>
          </w:p>
          <w:p>
            <w:pPr>
              <w:jc w:val="left"/>
              <w:rPr>
                <w:lang w:val="zh-CN"/>
              </w:rPr>
            </w:pPr>
            <w:r>
              <w:rPr>
                <w:rFonts w:hint="eastAsia"/>
                <w:lang w:val="zh-CN"/>
              </w:rPr>
              <w:t>提供《环境因素评价记录表》，按产品、活动、服务等过程进行了环境因素的识别，涉及办公区、库房等，办公室涉及的环境因素包括办公过程的能源消耗、生活污水排放、生活垃圾排放、意外火灾、办公噪声、电脑辐射等。</w:t>
            </w:r>
          </w:p>
          <w:p>
            <w:pPr>
              <w:rPr>
                <w:lang w:val="zh-CN"/>
              </w:rPr>
            </w:pPr>
            <w:r>
              <w:rPr>
                <w:rFonts w:hint="eastAsia"/>
                <w:lang w:val="zh-CN"/>
              </w:rPr>
              <w:t>采用是否法和，评价出该公司重大环境因素，提供了《重大环境因素清单》，重要环境因素： 固体废弃物废弃、潜在火灾的发生、原材料消耗、设备运转产生噪声。评价基本准确。</w:t>
            </w:r>
          </w:p>
          <w:p>
            <w:pPr>
              <w:rPr>
                <w:lang w:val="zh-CN"/>
              </w:rPr>
            </w:pPr>
            <w:r>
              <w:rPr>
                <w:rFonts w:hint="eastAsia"/>
                <w:lang w:val="zh-CN"/>
              </w:rPr>
              <w:t>提供《职业健康安全危险源识别与评价表》，按照作业活动、区域进行了识别，涉及办公室、库房，办公室涉及的危险源包括：吸烟乱扔烟头引发火灾、上下班途中交通危险、电器短路或使用时间过长散热不良引发火灾、物品码放超高、货架破损、超重</w:t>
            </w:r>
            <w:r>
              <w:rPr>
                <w:rFonts w:hint="eastAsia"/>
                <w:lang w:val="zh-CN"/>
              </w:rPr>
              <w:tab/>
            </w:r>
            <w:r>
              <w:rPr>
                <w:rFonts w:hint="eastAsia"/>
                <w:lang w:val="zh-CN"/>
              </w:rPr>
              <w:t>倒塌伤人、物品摆放不稳导致倾倒</w:t>
            </w:r>
            <w:r>
              <w:rPr>
                <w:rFonts w:hint="eastAsia"/>
                <w:lang w:val="zh-CN"/>
              </w:rPr>
              <w:tab/>
            </w:r>
            <w:r>
              <w:rPr>
                <w:rFonts w:hint="eastAsia"/>
                <w:lang w:val="zh-CN"/>
              </w:rPr>
              <w:t>倒塌伤人、物资装卸砸伤、电脑辐射等，评价基本全面。</w:t>
            </w:r>
          </w:p>
          <w:p>
            <w:pPr>
              <w:rPr>
                <w:lang w:val="zh-CN"/>
              </w:rPr>
            </w:pPr>
            <w:r>
              <w:rPr>
                <w:rFonts w:hint="eastAsia"/>
                <w:lang w:val="zh-CN"/>
              </w:rPr>
              <w:t>采用作业条件危险评价法评价出不可接受风险，提供《重大职业健康安全风险及其控制措施一览表》，该公司不可接受风险为触电、物体打击、噪声伤害、机械伤害，评价基本准确。</w:t>
            </w:r>
          </w:p>
          <w:p>
            <w:pPr>
              <w:rPr>
                <w:lang w:val="zh-CN"/>
              </w:rPr>
            </w:pPr>
            <w:r>
              <w:rPr>
                <w:rFonts w:hint="eastAsia"/>
                <w:lang w:val="zh-CN"/>
              </w:rPr>
              <w:t>针对识别出的环境因素和危险源，编制了操作规程、应急预案，定期进行培训、检查和应急演练等控制措施进行控制。</w:t>
            </w:r>
          </w:p>
        </w:tc>
        <w:tc>
          <w:tcPr>
            <w:tcW w:w="309" w:type="pct"/>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11" w:type="pct"/>
            <w:vAlign w:val="center"/>
          </w:tcPr>
          <w:p>
            <w:r>
              <w:rPr>
                <w:rFonts w:hint="eastAsia"/>
              </w:rPr>
              <w:t>法律法规及合规义务、</w:t>
            </w:r>
          </w:p>
          <w:p>
            <w:pPr>
              <w:pStyle w:val="19"/>
            </w:pPr>
            <w:r>
              <w:rPr>
                <w:rFonts w:hint="eastAsia" w:cs="宋体"/>
              </w:rPr>
              <w:t>合规性评价</w:t>
            </w:r>
          </w:p>
        </w:tc>
        <w:tc>
          <w:tcPr>
            <w:tcW w:w="337" w:type="pct"/>
            <w:vAlign w:val="center"/>
          </w:tcPr>
          <w:p>
            <w:r>
              <w:t>E</w:t>
            </w:r>
            <w:r>
              <w:rPr>
                <w:rFonts w:hint="eastAsia"/>
              </w:rPr>
              <w:t>O6.1.3</w:t>
            </w:r>
          </w:p>
          <w:p>
            <w:r>
              <w:t>E</w:t>
            </w:r>
            <w:r>
              <w:rPr>
                <w:rFonts w:hint="eastAsia"/>
              </w:rPr>
              <w:t>O9.1.2</w:t>
            </w:r>
          </w:p>
          <w:p/>
        </w:tc>
        <w:tc>
          <w:tcPr>
            <w:tcW w:w="3843" w:type="pct"/>
            <w:vAlign w:val="center"/>
          </w:tcPr>
          <w:p>
            <w:r>
              <w:rPr>
                <w:rFonts w:hint="eastAsia"/>
              </w:rPr>
              <w:t>●编制了《合规义务管理控制程序</w:t>
            </w:r>
            <w:r>
              <w:rPr>
                <w:rFonts w:hint="eastAsia"/>
              </w:rPr>
              <w:tab/>
            </w:r>
            <w:r>
              <w:rPr>
                <w:rFonts w:hint="eastAsia"/>
              </w:rPr>
              <w:t>HT/CX-6.1.3-A0-2022》，程序规定了法律、法规及其他要求的范围、获取方法、确认及分发。办公室负责适用的产品和质量</w:t>
            </w:r>
            <w:r>
              <w:t>/</w:t>
            </w:r>
            <w:r>
              <w:rPr>
                <w:rFonts w:hint="eastAsia"/>
              </w:rPr>
              <w:t>环境</w:t>
            </w:r>
            <w:r>
              <w:t>/</w:t>
            </w:r>
            <w:r>
              <w:rPr>
                <w:rFonts w:hint="eastAsia"/>
              </w:rPr>
              <w:t>安全方面的法律法规的识别、获取和更新，并评价其适用性；</w:t>
            </w:r>
          </w:p>
          <w:p>
            <w:r>
              <w:rPr>
                <w:rFonts w:hint="eastAsia"/>
              </w:rPr>
              <w:t>提供公司适用的《环境/职业健康安全法律法规及要求清单》，收集的法律法规合规义务有：</w:t>
            </w:r>
          </w:p>
          <w:p>
            <w:r>
              <w:rPr>
                <w:rFonts w:hint="eastAsia"/>
              </w:rPr>
              <w:t>中华人民共和国噪声污染防治法</w:t>
            </w:r>
          </w:p>
          <w:p>
            <w:r>
              <w:rPr>
                <w:rFonts w:hint="eastAsia"/>
              </w:rPr>
              <w:t>中华人民共和国大气污染防治法</w:t>
            </w:r>
          </w:p>
          <w:p>
            <w:r>
              <w:rPr>
                <w:rFonts w:hint="eastAsia"/>
              </w:rPr>
              <w:t>中华人民共和国水污染防治法</w:t>
            </w:r>
          </w:p>
          <w:p>
            <w:r>
              <w:rPr>
                <w:rFonts w:hint="eastAsia"/>
              </w:rPr>
              <w:t>中华人民共和国固体废物污染环境防治法</w:t>
            </w:r>
          </w:p>
          <w:p>
            <w:r>
              <w:rPr>
                <w:rFonts w:hint="eastAsia"/>
              </w:rPr>
              <w:t>中华人民共和国节约能源法</w:t>
            </w:r>
          </w:p>
          <w:p>
            <w:r>
              <w:rPr>
                <w:rFonts w:hint="eastAsia"/>
              </w:rPr>
              <w:t>中华人民共和国清节生产促进法</w:t>
            </w:r>
          </w:p>
          <w:p>
            <w:r>
              <w:rPr>
                <w:rFonts w:hint="eastAsia"/>
              </w:rPr>
              <w:t>中华人民共和国可再生能源法</w:t>
            </w:r>
          </w:p>
          <w:p>
            <w:r>
              <w:rPr>
                <w:rFonts w:hint="eastAsia"/>
              </w:rPr>
              <w:t>国家危险废物名录</w:t>
            </w:r>
          </w:p>
          <w:p>
            <w:r>
              <w:rPr>
                <w:rFonts w:hint="eastAsia"/>
              </w:rPr>
              <w:t>污水综合排放标准</w:t>
            </w:r>
          </w:p>
          <w:p>
            <w:r>
              <w:rPr>
                <w:rFonts w:hint="eastAsia"/>
              </w:rPr>
              <w:t>河北省减少污染物排放条例</w:t>
            </w:r>
          </w:p>
          <w:p>
            <w:r>
              <w:rPr>
                <w:rFonts w:hint="eastAsia"/>
              </w:rPr>
              <w:t>中华人民共和国消防法</w:t>
            </w:r>
          </w:p>
          <w:p>
            <w:r>
              <w:rPr>
                <w:rFonts w:hint="eastAsia"/>
              </w:rPr>
              <w:t>中华人民共和国未成年保护法</w:t>
            </w:r>
          </w:p>
          <w:p>
            <w:r>
              <w:rPr>
                <w:rFonts w:hint="eastAsia"/>
              </w:rPr>
              <w:t>中华人民共和国妇女权益保障法</w:t>
            </w:r>
          </w:p>
          <w:p>
            <w:r>
              <w:rPr>
                <w:rFonts w:hint="eastAsia"/>
              </w:rPr>
              <w:t>企业职工伤亡事故分类标准</w:t>
            </w:r>
          </w:p>
          <w:p>
            <w:pPr>
              <w:pStyle w:val="2"/>
              <w:ind w:firstLine="0" w:firstLineChars="0"/>
              <w:rPr>
                <w:rFonts w:cs="Times New Roman"/>
                <w:sz w:val="21"/>
              </w:rPr>
            </w:pPr>
            <w:r>
              <w:rPr>
                <w:rFonts w:hint="eastAsia" w:cs="Times New Roman"/>
                <w:sz w:val="21"/>
              </w:rPr>
              <w:t>。。。。。。</w:t>
            </w:r>
          </w:p>
          <w:p>
            <w:r>
              <w:rPr>
                <w:rFonts w:hint="eastAsia"/>
              </w:rPr>
              <w:t>法律法规及其他要求在办公室存档一份，并以电子版的形式发到各部门电脑上。定期在网上查看法规的更新情况，目前均为最新版本。满足体系运行需要。</w:t>
            </w:r>
          </w:p>
          <w:p>
            <w:r>
              <w:rPr>
                <w:rFonts w:hint="eastAsia"/>
              </w:rPr>
              <w:t>明确了法律法规及其他要求对公司环境因素、危险源的应用，明确了相应的适用条款。</w:t>
            </w:r>
          </w:p>
          <w:p>
            <w:r>
              <w:rPr>
                <w:rFonts w:hint="eastAsia"/>
              </w:rPr>
              <w:t>●企业编制了《绩效及法律法规合规性监视和测量控制程序</w:t>
            </w:r>
            <w:r>
              <w:rPr>
                <w:rFonts w:hint="eastAsia"/>
              </w:rPr>
              <w:tab/>
            </w:r>
            <w:r>
              <w:rPr>
                <w:rFonts w:hint="eastAsia"/>
              </w:rPr>
              <w:t>HT/CX-9.1.1-A0-2022》，办公室每年对适用的法律法规及其他要求的遵循情况进行检查。查企业于2022年</w:t>
            </w:r>
            <w:r>
              <w:t>9</w:t>
            </w:r>
            <w:r>
              <w:rPr>
                <w:rFonts w:hint="eastAsia"/>
              </w:rPr>
              <w:t>月1</w:t>
            </w:r>
            <w:r>
              <w:t>9</w:t>
            </w:r>
            <w:r>
              <w:rPr>
                <w:rFonts w:hint="eastAsia"/>
              </w:rPr>
              <w:t>日进行了合规性评价工作。参加人员：王学雷  刘茂  王学腾  石雪猛 李林林等。</w:t>
            </w:r>
          </w:p>
          <w:p>
            <w:r>
              <w:rPr>
                <w:rFonts w:hint="eastAsia"/>
              </w:rPr>
              <w:t>提供了合规性评价记录，对照法律法规相关条款进行了逐一检查，有实际运行情况及评价内容，评价结果：实际运行均符合法律法规相关条款要求；</w:t>
            </w:r>
          </w:p>
          <w:p>
            <w:r>
              <w:rPr>
                <w:rFonts w:hint="eastAsia"/>
              </w:rPr>
              <w:t>提供有《合规性评价报告》，报告内容包括评价依据，时间，地点，评价范围及内容，参与人员等；</w:t>
            </w:r>
          </w:p>
          <w:p>
            <w:r>
              <w:rPr>
                <w:rFonts w:hint="eastAsia"/>
              </w:rPr>
              <w:t>查看报告中对管理体系合规性进行了综述，评价内容涉及1）噪声排放；2）焊接烟尘排放；3）生活污水的排放；4）潜在火宅；5）汽车尾气排放；6）固体废弃物（废弃包装箱、包装袋）的排放；7）火灾爆炸；8）物体伤害打击等；</w:t>
            </w:r>
          </w:p>
          <w:p>
            <w:r>
              <w:rPr>
                <w:rFonts w:hint="eastAsia"/>
              </w:rPr>
              <w:t>合规性评价结论：从本次检查的结果来看，我公司没有违反国家法律、法规及相关标准，能严格遵守国家有关环境和职业健康安全管理方面的相关规定，密切关注法律法规的变化，并适时调整，严格按体系标准执行。公司各部门都能够有效遵循法律法规进行施工，未发生重大安全生产事故，未发生环境扰民事件，无环境污染事件发生，未发生传染病及其他卫生防疫问题事件，无个人或单位投诉。各项目的环境和职业健康安全管理行为符合法律法规和标准要求，对于合规性评价分析所发现的薄弱环节，公司各部门将制定改进措施，以持续改进公司和项目的安全管理绩效。对在合规性证据收集过程中发现的个别不符合，各部门均能够及时组织力量进行原因分析，制定纠正和预防措施，并积极开展纠偏活动。通过对纠偏结果的考核，表明纠正措施制订是适宜的，执行结果是有效的。对公司的环保意识和环境管理水平的提高起到了明显的促进作用。</w:t>
            </w:r>
          </w:p>
        </w:tc>
        <w:tc>
          <w:tcPr>
            <w:tcW w:w="309" w:type="pct"/>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r>
              <w:rPr>
                <w:rFonts w:hint="eastAsia"/>
              </w:rPr>
              <w:t>能力</w:t>
            </w:r>
          </w:p>
        </w:tc>
        <w:tc>
          <w:tcPr>
            <w:tcW w:w="337" w:type="pct"/>
            <w:vAlign w:val="center"/>
          </w:tcPr>
          <w:p/>
          <w:p>
            <w:r>
              <w:t>E</w:t>
            </w:r>
            <w:r>
              <w:rPr>
                <w:rFonts w:hint="eastAsia"/>
              </w:rPr>
              <w:t>O</w:t>
            </w:r>
            <w:r>
              <w:t>7.2</w:t>
            </w:r>
          </w:p>
        </w:tc>
        <w:tc>
          <w:tcPr>
            <w:tcW w:w="3843" w:type="pct"/>
            <w:vAlign w:val="center"/>
          </w:tcPr>
          <w:p>
            <w:r>
              <w:rPr>
                <w:rFonts w:hint="eastAsia"/>
              </w:rPr>
              <w:t>编制了《人力资源控制程序GSD/QES·CX10-2022》《岗位任职资格》，规定了从事质量、环境、安全管理方面人员的资源需求、岗位能力要求、职权的规定、培训需求、方式以及对人员的培训管理等，确保人员数量、能力能满足体系的运行要求，基本有效。</w:t>
            </w:r>
          </w:p>
          <w:p>
            <w:r>
              <w:rPr>
                <w:rFonts w:hint="eastAsia"/>
              </w:rPr>
              <w:t>企业目前总人数3</w:t>
            </w:r>
            <w:r>
              <w:t>0</w:t>
            </w:r>
            <w:r>
              <w:rPr>
                <w:rFonts w:hint="eastAsia"/>
              </w:rPr>
              <w:t>人，配备了办公人员，生产技术人员，销售人员等，满足公司需要。</w:t>
            </w:r>
          </w:p>
          <w:p>
            <w:r>
              <w:rPr>
                <w:rFonts w:hint="eastAsia"/>
              </w:rPr>
              <w:t>查见《岗位任职资格》规定了公司领导、各级人员等关于质量、环境和职业健康安全工作的任职要求以及岗位职责等，对整体人员需求、能力要求及作用进行规定，对重要岗位人员的能力要求进行了评定，确保人员满足岗位要求。</w:t>
            </w:r>
          </w:p>
          <w:p>
            <w:r>
              <w:rPr>
                <w:rFonts w:hint="eastAsia"/>
              </w:rPr>
              <w:t>查见《员工岗位能力评价表》，从文化程度、参加工作时间、参加培训、工作能力满足要求等方面进行了评价，结论：能胜任岗位要求，评价人：刘茂 2022.7.20</w:t>
            </w:r>
          </w:p>
          <w:p>
            <w:r>
              <w:rPr>
                <w:rFonts w:hint="eastAsia"/>
              </w:rPr>
              <w:t>焊工</w:t>
            </w:r>
            <w:r>
              <w:rPr>
                <w:rFonts w:hint="eastAsia"/>
                <w:lang w:val="en-US" w:eastAsia="zh-CN"/>
              </w:rPr>
              <w:t>/叉车工</w:t>
            </w:r>
            <w:bookmarkStart w:id="0" w:name="_GoBack"/>
            <w:bookmarkEnd w:id="0"/>
            <w:r>
              <w:rPr>
                <w:rFonts w:hint="eastAsia"/>
              </w:rPr>
              <w:t>持证上岗，见Q</w:t>
            </w:r>
            <w:r>
              <w:t>7.2</w:t>
            </w:r>
            <w:r>
              <w:rPr>
                <w:rFonts w:hint="eastAsia"/>
              </w:rPr>
              <w:t>记录；</w:t>
            </w:r>
          </w:p>
          <w:p>
            <w:r>
              <w:rPr>
                <w:rFonts w:hint="eastAsia"/>
              </w:rPr>
              <w:t>刘茂主任介绍，主要通过培训提升人员能力，人员能力不满足要求时通过换岗、外部招聘等措施；</w:t>
            </w:r>
          </w:p>
          <w:p>
            <w:r>
              <w:rPr>
                <w:rFonts w:hint="eastAsia"/>
              </w:rPr>
              <w:t>查见《2022</w:t>
            </w:r>
            <w:r>
              <w:t>-2023</w:t>
            </w:r>
            <w:r>
              <w:rPr>
                <w:rFonts w:hint="eastAsia"/>
              </w:rPr>
              <w:t>年度培训计划》，培训内容覆盖标准贯标、体系文件、生产操作规程，三级安全教育，消防及安全生产等方面；</w:t>
            </w:r>
          </w:p>
          <w:p>
            <w:r>
              <w:rPr>
                <w:rFonts w:hint="eastAsia"/>
              </w:rPr>
              <w:t>提供了《培训记录表》：</w:t>
            </w:r>
          </w:p>
          <w:p>
            <w:r>
              <w:rPr>
                <w:rFonts w:hint="eastAsia"/>
              </w:rPr>
              <w:t>——抽灭火演练培训，培训时间：2022.</w:t>
            </w:r>
            <w:r>
              <w:t>9.8</w:t>
            </w:r>
            <w:r>
              <w:rPr>
                <w:rFonts w:hint="eastAsia"/>
              </w:rPr>
              <w:t>，培训教师：王学雷，记录包括：培训内容摘要、考核方式和成绩、培训有效性评价。培训有效率100%。通过培训</w:t>
            </w:r>
            <w:r>
              <w:t>，使员工消防知识、河北省消防条例等中的相关内容，有利于以后工作的开展。本培训实用有效。</w:t>
            </w:r>
          </w:p>
          <w:p>
            <w:r>
              <w:rPr>
                <w:rFonts w:hint="eastAsia"/>
              </w:rPr>
              <w:t>——抽</w:t>
            </w:r>
            <w:r>
              <w:t>质量/环境/职业健康安全法规</w:t>
            </w:r>
            <w:r>
              <w:rPr>
                <w:rFonts w:hint="eastAsia"/>
              </w:rPr>
              <w:t>培训，培训时间：2</w:t>
            </w:r>
            <w:r>
              <w:t>022.10.10</w:t>
            </w:r>
            <w:r>
              <w:rPr>
                <w:rFonts w:hint="eastAsia"/>
              </w:rPr>
              <w:t>，培训教师：刘茂，记录包括：培训内容摘要、考核方式和成绩、培训有效性评价。培训有效率100%。</w:t>
            </w:r>
          </w:p>
          <w:p>
            <w:r>
              <w:rPr>
                <w:rFonts w:hint="eastAsia"/>
              </w:rPr>
              <w:t>——抽内审培训，培训时间：2022.</w:t>
            </w:r>
            <w:r>
              <w:t>11.14</w:t>
            </w:r>
            <w:r>
              <w:rPr>
                <w:rFonts w:hint="eastAsia"/>
              </w:rPr>
              <w:t>，培训教师：记录包括：培训内容摘要（体系标准，培训教程等）、考核方式和成绩、培训有效性评价。培训有效率100%。</w:t>
            </w:r>
          </w:p>
          <w:p>
            <w:r>
              <w:rPr>
                <w:rFonts w:hint="eastAsia"/>
              </w:rPr>
              <w:t>——抽</w:t>
            </w:r>
            <w:r>
              <w:t>生产操作规程，检验规程安全生产</w:t>
            </w:r>
            <w:r>
              <w:rPr>
                <w:rFonts w:hint="eastAsia"/>
              </w:rPr>
              <w:t>培训，培训时间：202</w:t>
            </w:r>
            <w:r>
              <w:t>3.</w:t>
            </w:r>
            <w:r>
              <w:rPr>
                <w:rFonts w:hint="eastAsia"/>
              </w:rPr>
              <w:t>1.1</w:t>
            </w:r>
            <w:r>
              <w:t>0</w:t>
            </w:r>
            <w:r>
              <w:rPr>
                <w:rFonts w:hint="eastAsia"/>
              </w:rPr>
              <w:t>，记录包括：培训内容摘要（生产操作规程，检验规程，安全生产知识）、考核方式和成绩、培训有效性评价。培训有效率100%。</w:t>
            </w:r>
          </w:p>
          <w:p>
            <w:r>
              <w:rPr>
                <w:rFonts w:hint="eastAsia"/>
              </w:rPr>
              <w:t>另查其他日期其他培训记录，均有培训内容，培训内容，考核情况，培训有效。</w:t>
            </w:r>
          </w:p>
        </w:tc>
        <w:tc>
          <w:tcPr>
            <w:tcW w:w="309" w:type="pct"/>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pPr>
              <w:rPr>
                <w:szCs w:val="21"/>
              </w:rPr>
            </w:pPr>
            <w:r>
              <w:rPr>
                <w:rFonts w:hint="eastAsia"/>
                <w:szCs w:val="21"/>
              </w:rPr>
              <w:t>意识</w:t>
            </w:r>
          </w:p>
        </w:tc>
        <w:tc>
          <w:tcPr>
            <w:tcW w:w="337" w:type="pct"/>
            <w:vAlign w:val="center"/>
          </w:tcPr>
          <w:p>
            <w:pPr>
              <w:rPr>
                <w:szCs w:val="21"/>
              </w:rPr>
            </w:pPr>
            <w:r>
              <w:rPr>
                <w:szCs w:val="21"/>
              </w:rPr>
              <w:t>E</w:t>
            </w:r>
            <w:r>
              <w:rPr>
                <w:rFonts w:hint="eastAsia"/>
                <w:szCs w:val="21"/>
              </w:rPr>
              <w:t>O</w:t>
            </w:r>
          </w:p>
          <w:p>
            <w:pPr>
              <w:rPr>
                <w:szCs w:val="21"/>
              </w:rPr>
            </w:pPr>
            <w:r>
              <w:rPr>
                <w:szCs w:val="21"/>
              </w:rPr>
              <w:t>7.3</w:t>
            </w:r>
          </w:p>
        </w:tc>
        <w:tc>
          <w:tcPr>
            <w:tcW w:w="3843" w:type="pct"/>
            <w:vAlign w:val="center"/>
          </w:tcPr>
          <w:p>
            <w:pPr>
              <w:rPr>
                <w:szCs w:val="21"/>
              </w:rPr>
            </w:pPr>
            <w:r>
              <w:rPr>
                <w:rFonts w:hint="eastAsia"/>
                <w:szCs w:val="21"/>
              </w:rPr>
              <w:t>组织通过培训学习、宣传等方法使在组织控制范围内的相关工作人员了解到：环境、职业健康安全方针的意义；熟悉相关的质量、环境、职业健康安全目标；员工对质量、环境、职业健康安全管理体系有效性的贡献包括改进质量环境绩效的益处；不符合质量环境和职业健康安全管理体系要求的后果。</w:t>
            </w:r>
          </w:p>
          <w:p>
            <w:pPr>
              <w:rPr>
                <w:szCs w:val="21"/>
              </w:rPr>
            </w:pPr>
            <w:r>
              <w:rPr>
                <w:rFonts w:hint="eastAsia"/>
                <w:szCs w:val="21"/>
              </w:rPr>
              <w:t>在企业制定的《年度培训计划》中，通过贯标培训，内审培训等对人员的质量管理意识进行提升，培训考核合格率均为100%。</w:t>
            </w:r>
          </w:p>
          <w:p>
            <w:pPr>
              <w:rPr>
                <w:szCs w:val="21"/>
              </w:rPr>
            </w:pPr>
            <w:r>
              <w:rPr>
                <w:rFonts w:hint="eastAsia"/>
                <w:szCs w:val="21"/>
              </w:rPr>
              <w:t>通过培训使每一位员工都能认识到自己所从事的活动或工作对质量管理体系的相关性和重要性，以及如何为实现质量目标作出贡献。其对组织方针和所在工作岗位的质量、环境、职业健康安全目标基本熟悉，也了解自己的工作效益会影响组织质量、环境、职业健康安全管理体系的有效运行。</w:t>
            </w:r>
          </w:p>
          <w:p>
            <w:r>
              <w:rPr>
                <w:rFonts w:hint="eastAsia" w:cs="宋体"/>
              </w:rPr>
              <w:t>询问办公室刘茂主任，</w:t>
            </w:r>
            <w:r>
              <w:rPr>
                <w:rFonts w:hint="eastAsia" w:ascii="宋体" w:hAnsi="宋体" w:cs="宋体"/>
              </w:rPr>
              <w:t>清楚与其相关环境</w:t>
            </w:r>
            <w:r>
              <w:rPr>
                <w:rFonts w:ascii="宋体" w:hAnsi="宋体" w:cs="宋体"/>
              </w:rPr>
              <w:t>/</w:t>
            </w:r>
            <w:r>
              <w:rPr>
                <w:rFonts w:hint="eastAsia" w:ascii="宋体" w:hAnsi="宋体" w:cs="宋体"/>
              </w:rPr>
              <w:t>职业健康安全目标、重要环境因素及职业健康安全风险</w:t>
            </w:r>
            <w:r>
              <w:rPr>
                <w:rFonts w:hint="eastAsia" w:cs="宋体"/>
              </w:rPr>
              <w:t>。</w:t>
            </w:r>
          </w:p>
        </w:tc>
        <w:tc>
          <w:tcPr>
            <w:tcW w:w="309" w:type="pct"/>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r>
              <w:rPr>
                <w:rFonts w:hint="eastAsia" w:cs="宋体"/>
              </w:rPr>
              <w:t>运行控制</w:t>
            </w:r>
          </w:p>
        </w:tc>
        <w:tc>
          <w:tcPr>
            <w:tcW w:w="337" w:type="pct"/>
            <w:vAlign w:val="center"/>
          </w:tcPr>
          <w:p>
            <w:r>
              <w:t>E</w:t>
            </w:r>
            <w:r>
              <w:rPr>
                <w:rFonts w:hint="eastAsia"/>
              </w:rPr>
              <w:t>O</w:t>
            </w:r>
          </w:p>
          <w:p>
            <w:r>
              <w:t>8.1</w:t>
            </w:r>
          </w:p>
        </w:tc>
        <w:tc>
          <w:tcPr>
            <w:tcW w:w="3843" w:type="pct"/>
            <w:vAlign w:val="center"/>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●本部门执行《环境、职业健康安全运行控制程序HT/CX-8.1-A0-2022》《</w:t>
            </w:r>
            <w:r>
              <w:rPr>
                <w:rFonts w:hint="eastAsia" w:cs="宋体" w:asciiTheme="minorEastAsia" w:hAnsiTheme="minorEastAsia" w:eastAsiaTheme="minorEastAsia"/>
                <w:szCs w:val="21"/>
                <w:lang w:val="en-GB"/>
              </w:rPr>
              <w:t>生产生活固废垃圾处理/利用作业指导书HT05-ZY-2022</w:t>
            </w:r>
            <w:r>
              <w:rPr>
                <w:rFonts w:hint="eastAsia" w:cs="宋体" w:asciiTheme="minorEastAsia" w:hAnsiTheme="minorEastAsia" w:eastAsiaTheme="minorEastAsia"/>
                <w:szCs w:val="21"/>
              </w:rPr>
              <w:t>》《员工职业健康及劳动保护管理规定  HT08-ZY-2022》《能源使用管理规定HT10-ZY-2022》《安全防火规程》《能源使用管理规定》等管理文件和制度。</w:t>
            </w:r>
          </w:p>
          <w:p>
            <w:pPr>
              <w:jc w:val="left"/>
              <w:rPr>
                <w:rFonts w:cs="宋体" w:asciiTheme="minorEastAsia" w:hAnsiTheme="minorEastAsia" w:eastAsiaTheme="minorEastAsia"/>
                <w:szCs w:val="21"/>
                <w:lang w:val="en-GB"/>
              </w:rPr>
            </w:pPr>
            <w:r>
              <w:rPr>
                <w:rFonts w:hint="eastAsia" w:cs="宋体" w:asciiTheme="minorEastAsia" w:hAnsiTheme="minorEastAsia" w:eastAsiaTheme="minorEastAsia"/>
                <w:szCs w:val="21"/>
                <w:lang w:val="en-GB"/>
              </w:rPr>
              <w:t>查运行控制情况：</w:t>
            </w:r>
          </w:p>
          <w:p>
            <w:pPr>
              <w:rPr>
                <w:rFonts w:cs="宋体" w:asciiTheme="minorEastAsia" w:hAnsiTheme="minorEastAsia" w:eastAsiaTheme="minorEastAsia"/>
                <w:szCs w:val="21"/>
              </w:rPr>
            </w:pPr>
            <w:r>
              <w:rPr>
                <w:rFonts w:hint="eastAsia" w:asciiTheme="minorEastAsia" w:hAnsiTheme="minorEastAsia" w:eastAsiaTheme="minorEastAsia"/>
                <w:szCs w:val="21"/>
              </w:rPr>
              <w:t>●</w:t>
            </w:r>
            <w:r>
              <w:rPr>
                <w:rFonts w:hint="eastAsia" w:cs="宋体" w:asciiTheme="minorEastAsia" w:hAnsiTheme="minorEastAsia" w:eastAsiaTheme="minorEastAsia"/>
                <w:szCs w:val="21"/>
              </w:rPr>
              <w:t>办公过程产生的生活污水排入城市管网，固废按办公室要求放到指定地点，现场无混放现象；普通固废排放：生活办公垃圾按照规定放置指定区域。提供了固废清运记录。</w:t>
            </w:r>
            <w:r>
              <w:rPr>
                <w:rFonts w:hint="eastAsia" w:asciiTheme="minorEastAsia" w:hAnsiTheme="minorEastAsia" w:eastAsiaTheme="minorEastAsia"/>
                <w:szCs w:val="21"/>
              </w:rPr>
              <w:t>办公室产生固废主要为废纸、墨盒、电池等交由回收方处理；车间产生的检验固废、下脚料等分类存放，办公室定期外售废品回收站。</w:t>
            </w:r>
            <w:r>
              <w:rPr>
                <w:rFonts w:asciiTheme="minorEastAsia" w:hAnsiTheme="minorEastAsia" w:eastAsiaTheme="minorEastAsia"/>
                <w:szCs w:val="21"/>
              </w:rPr>
              <w:t xml:space="preserve"> </w:t>
            </w:r>
            <w:r>
              <w:rPr>
                <w:rFonts w:hint="eastAsia" w:asciiTheme="minorEastAsia" w:hAnsiTheme="minorEastAsia" w:eastAsiaTheme="minorEastAsia"/>
                <w:szCs w:val="21"/>
              </w:rPr>
              <w:t>办公过程不产生噪声；办公区位于车间，有设备运转噪声，通过厂房隔音，定期为员工体检；</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办公过程使用的电器如：空调、电脑、灯具均符合安全设计要求，使用过程注意安全，预防触电，工作时间平均每天8小时；办公过程注意节约用电，做到人走灯灭，电脑长时间不用时关机，下班前要关闭电源；</w:t>
            </w:r>
            <w:r>
              <w:rPr>
                <w:rFonts w:cs="宋体" w:asciiTheme="minorEastAsia" w:hAnsiTheme="minorEastAsia" w:eastAsiaTheme="minorEastAsia"/>
                <w:szCs w:val="21"/>
              </w:rPr>
              <w:t xml:space="preserve">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●办公区域内配置有灭火器，由办公室负责定期检查。办公室定期进行检查。提供了《消防设备检查记录表》，均在有效压力范围内。</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●办公用品、劳保用品按要求由办公室负责发放，作好记录；提供了劳动保护用品发放记录，为员工发放了洗衣粉、防护手套等劳保用品，发放时间2</w:t>
            </w:r>
            <w:r>
              <w:rPr>
                <w:rFonts w:cs="宋体" w:asciiTheme="minorEastAsia" w:hAnsiTheme="minorEastAsia" w:eastAsiaTheme="minorEastAsia"/>
                <w:szCs w:val="21"/>
              </w:rPr>
              <w:t>022.8.1</w:t>
            </w:r>
            <w:r>
              <w:rPr>
                <w:rFonts w:hint="eastAsia" w:cs="宋体" w:asciiTheme="minorEastAsia" w:hAnsiTheme="minorEastAsia" w:eastAsiaTheme="minorEastAsia"/>
                <w:szCs w:val="21"/>
              </w:rPr>
              <w:t>，有领用数量和领用人签字。</w:t>
            </w:r>
          </w:p>
          <w:p>
            <w:pPr>
              <w:rPr>
                <w:rFonts w:cs="宋体" w:asciiTheme="minorEastAsia" w:hAnsiTheme="minorEastAsia" w:eastAsiaTheme="minorEastAsia"/>
                <w:szCs w:val="21"/>
              </w:rPr>
            </w:pPr>
            <w:r>
              <w:rPr>
                <w:rFonts w:hint="eastAsia" w:cs="宋体" w:asciiTheme="minorEastAsia" w:hAnsiTheme="minorEastAsia" w:eastAsiaTheme="minorEastAsia"/>
                <w:szCs w:val="21"/>
                <w:lang w:val="en-GB"/>
              </w:rPr>
              <w:t>●查该企业为员工办理了工伤保险，为员工安排了体检</w:t>
            </w: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●驾驶员要求遵守道路交通安全法，不违章驾车，驾驶证和车辆定期年审，确保行车安全。</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●各部门每月进行一次环境、职业健康安全运行检查，查有《环境、职业健康安全运行检查表》，抽查：</w:t>
            </w:r>
            <w:r>
              <w:rPr>
                <w:rFonts w:cs="宋体" w:asciiTheme="minorEastAsia" w:hAnsiTheme="minorEastAsia" w:eastAsiaTheme="minorEastAsia"/>
                <w:szCs w:val="21"/>
                <w:lang w:val="en-GB"/>
              </w:rPr>
              <w:t>2022.12.28</w:t>
            </w:r>
            <w:r>
              <w:rPr>
                <w:rFonts w:hint="eastAsia" w:cs="宋体" w:asciiTheme="minorEastAsia" w:hAnsiTheme="minorEastAsia" w:eastAsiaTheme="minorEastAsia"/>
                <w:szCs w:val="21"/>
                <w:lang w:val="en-GB"/>
              </w:rPr>
              <w:t>及2</w:t>
            </w:r>
            <w:r>
              <w:rPr>
                <w:rFonts w:cs="宋体" w:asciiTheme="minorEastAsia" w:hAnsiTheme="minorEastAsia" w:eastAsiaTheme="minorEastAsia"/>
                <w:szCs w:val="21"/>
                <w:lang w:val="en-GB"/>
              </w:rPr>
              <w:t>023.1.15</w:t>
            </w:r>
            <w:r>
              <w:rPr>
                <w:rFonts w:hint="eastAsia" w:cs="宋体" w:asciiTheme="minorEastAsia" w:hAnsiTheme="minorEastAsia" w:eastAsiaTheme="minorEastAsia"/>
                <w:szCs w:val="21"/>
                <w:lang w:val="en-GB"/>
              </w:rPr>
              <w:t>的检查</w:t>
            </w:r>
            <w:r>
              <w:rPr>
                <w:rFonts w:hint="eastAsia" w:cs="宋体" w:asciiTheme="minorEastAsia" w:hAnsiTheme="minorEastAsia" w:eastAsiaTheme="minorEastAsia"/>
                <w:szCs w:val="21"/>
              </w:rPr>
              <w:t>表，对固体废弃物管理、消防安全管理、水体污染、噪声控制、相关方管理等情况进行了检查，检查人：各部门负责人，未发现问题。</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●公司提供财务资金保障情况：</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公司建立了完善的财务管理制度，为公司的环境及职业健康安全运行提供资金支持，应急演练、人员保险、设置垃圾、认证费、存放容器灭火器等各项费用投入。</w:t>
            </w:r>
          </w:p>
          <w:p>
            <w:pPr>
              <w:pStyle w:val="2"/>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现场查看，办公现场位于车间内，办公环境干净整洁，各部门独立办公。</w:t>
            </w:r>
          </w:p>
          <w:p>
            <w:pPr>
              <w:pStyle w:val="2"/>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办公区电器设备、电器状态良好，办公区内无电线裸露，废弃物无混放现象，办公区走廊内设置了灭火器，无火灾、触电隐患。办公区域禁止吸烟。</w:t>
            </w:r>
          </w:p>
          <w:p>
            <w:pPr>
              <w:pStyle w:val="2"/>
              <w:ind w:firstLine="0" w:firstLineChars="0"/>
              <w:rPr>
                <w:rFonts w:asciiTheme="minorEastAsia" w:hAnsiTheme="minorEastAsia" w:eastAsiaTheme="minorEastAsia"/>
                <w:sz w:val="21"/>
                <w:szCs w:val="21"/>
              </w:rPr>
            </w:pPr>
            <w:r>
              <w:drawing>
                <wp:anchor distT="0" distB="0" distL="114300" distR="114300" simplePos="0" relativeHeight="251665408" behindDoc="0" locked="0" layoutInCell="1" allowOverlap="1">
                  <wp:simplePos x="0" y="0"/>
                  <wp:positionH relativeFrom="column">
                    <wp:posOffset>2598420</wp:posOffset>
                  </wp:positionH>
                  <wp:positionV relativeFrom="paragraph">
                    <wp:posOffset>163195</wp:posOffset>
                  </wp:positionV>
                  <wp:extent cx="1484630" cy="1978660"/>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84630" cy="1978660"/>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12065</wp:posOffset>
                  </wp:positionH>
                  <wp:positionV relativeFrom="paragraph">
                    <wp:posOffset>194310</wp:posOffset>
                  </wp:positionV>
                  <wp:extent cx="2545715" cy="191008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45715" cy="1910080"/>
                          </a:xfrm>
                          <a:prstGeom prst="rect">
                            <a:avLst/>
                          </a:prstGeom>
                          <a:noFill/>
                          <a:ln>
                            <a:noFill/>
                          </a:ln>
                        </pic:spPr>
                      </pic:pic>
                    </a:graphicData>
                  </a:graphic>
                </wp:anchor>
              </w:drawing>
            </w:r>
            <w:r>
              <w:rPr>
                <w:rFonts w:hint="eastAsia" w:asciiTheme="minorEastAsia" w:hAnsiTheme="minorEastAsia" w:eastAsiaTheme="minorEastAsia"/>
                <w:sz w:val="21"/>
                <w:szCs w:val="21"/>
              </w:rPr>
              <w:t>车间北侧加盖厂房，目前已开工，委托建设单位建设，建筑施工场所建有围挡和标语，进行了适当的防护；</w: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0" w:firstLineChars="0"/>
              <w:rPr>
                <w:rFonts w:hint="eastAsia"/>
              </w:rPr>
            </w:pPr>
          </w:p>
        </w:tc>
        <w:tc>
          <w:tcPr>
            <w:tcW w:w="309" w:type="pct"/>
          </w:tcPr>
          <w:p>
            <w:pPr>
              <w:pStyle w:val="19"/>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r>
              <w:rPr>
                <w:rFonts w:hint="eastAsia" w:cs="宋体"/>
              </w:rPr>
              <w:t>应急准备和响应</w:t>
            </w:r>
          </w:p>
        </w:tc>
        <w:tc>
          <w:tcPr>
            <w:tcW w:w="337" w:type="pct"/>
            <w:vAlign w:val="center"/>
          </w:tcPr>
          <w:p>
            <w:r>
              <w:rPr>
                <w:rFonts w:hint="eastAsia"/>
              </w:rPr>
              <w:t>EO</w:t>
            </w:r>
          </w:p>
          <w:p>
            <w:r>
              <w:rPr>
                <w:rFonts w:hint="eastAsia"/>
              </w:rPr>
              <w:t>8.2</w:t>
            </w:r>
          </w:p>
        </w:tc>
        <w:tc>
          <w:tcPr>
            <w:tcW w:w="3843" w:type="pct"/>
            <w:vAlign w:val="center"/>
          </w:tcPr>
          <w:p>
            <w:r>
              <w:rPr>
                <w:rFonts w:hint="eastAsia"/>
              </w:rPr>
              <w:t>●查策划有《应急准备与响应控制程序</w:t>
            </w:r>
            <w:r>
              <w:rPr>
                <w:rFonts w:hint="eastAsia" w:ascii="宋体" w:hAnsi="宋体" w:cs="宋体"/>
                <w:b/>
                <w:bCs/>
                <w:szCs w:val="21"/>
              </w:rPr>
              <w:t>HT/CX-8.2-A0-2022</w:t>
            </w:r>
            <w:r>
              <w:rPr>
                <w:rFonts w:hint="eastAsia"/>
              </w:rPr>
              <w:t>》，编制有火灾应急预案，触电事故应急预案等应急预案；</w:t>
            </w:r>
          </w:p>
          <w:p>
            <w:r>
              <w:rPr>
                <w:rFonts w:hint="eastAsia"/>
              </w:rPr>
              <w:t>应急准备工作开展以下活动：</w:t>
            </w:r>
          </w:p>
          <w:p>
            <w:r>
              <w:rPr>
                <w:rFonts w:hint="eastAsia"/>
              </w:rPr>
              <w:t>—建立有应急组织，提供应急组织机构图、消防队人员名单、职责权限规定等。</w:t>
            </w:r>
          </w:p>
          <w:p>
            <w:r>
              <w:rPr>
                <w:rFonts w:hint="eastAsia"/>
              </w:rPr>
              <w:t>—配备相应的消防器材，急救药品；</w:t>
            </w:r>
          </w:p>
          <w:p>
            <w:r>
              <w:rPr>
                <w:rFonts w:hint="eastAsia"/>
              </w:rPr>
              <w:t>—进行消防常识和能力的培训、潜在的火灾、触电的常识和能力的培训。</w:t>
            </w:r>
          </w:p>
          <w:p>
            <w:r>
              <w:rPr>
                <w:rFonts w:hint="eastAsia"/>
              </w:rPr>
              <w:t>按照程序要求定期召开应急演练，演练项目包括消防演练，触电事故演练，物体打击演练等；</w:t>
            </w:r>
          </w:p>
          <w:p>
            <w:r>
              <w:rPr>
                <w:rFonts w:hint="eastAsia"/>
              </w:rPr>
              <w:t>——抽应急演练记录</w:t>
            </w:r>
          </w:p>
          <w:p>
            <w:r>
              <w:rPr>
                <w:rFonts w:hint="eastAsia"/>
              </w:rPr>
              <w:t>演练时间：2022年</w:t>
            </w:r>
            <w:r>
              <w:t>8</w:t>
            </w:r>
            <w:r>
              <w:rPr>
                <w:rFonts w:hint="eastAsia"/>
              </w:rPr>
              <w:t>月9日；演练参加人员：全体人员；记录了演习的整体过程，记录人：刘茂，演练结束后对本次演练进行了总结，对演练效果进行了评价，通过演练，证明预案基本适宜。</w:t>
            </w:r>
          </w:p>
          <w:p>
            <w:r>
              <w:rPr>
                <w:rFonts w:hint="eastAsia"/>
              </w:rPr>
              <w:t>提供有《应急准备与救援预案评审会议纪要》，王学腾组织人员对应急预案进行了评审，评审结论：</w:t>
            </w:r>
          </w:p>
          <w:p>
            <w:r>
              <w:rPr>
                <w:rFonts w:hint="eastAsia"/>
              </w:rPr>
              <w:t>《预案》基本符合企业实际状况，能达到预期效果。</w:t>
            </w:r>
          </w:p>
        </w:tc>
        <w:tc>
          <w:tcPr>
            <w:tcW w:w="309" w:type="pct"/>
          </w:tcPr>
          <w:p>
            <w:pPr>
              <w:pStyle w:val="19"/>
            </w:pPr>
            <w:r>
              <w:rPr>
                <w:rFonts w:hint="eastAsia"/>
              </w:rPr>
              <w:t>Y</w:t>
            </w:r>
          </w:p>
        </w:tc>
      </w:tr>
    </w:tbl>
    <w:p>
      <w:pPr>
        <w:rPr>
          <w:rFonts w:cs="宋体"/>
        </w:rPr>
      </w:pPr>
      <w:r>
        <w:rPr>
          <w:rFonts w:hint="eastAsia" w:cs="宋体"/>
        </w:rPr>
        <w:t>注：不符合标注“N”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001"/>
        <w:gridCol w:w="11420"/>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1" w:type="pct"/>
            <w:vMerge w:val="restart"/>
            <w:vAlign w:val="center"/>
          </w:tcPr>
          <w:p>
            <w:pPr>
              <w:spacing w:before="120"/>
            </w:pPr>
            <w:r>
              <w:rPr>
                <w:rFonts w:hint="eastAsia" w:cs="宋体"/>
              </w:rPr>
              <w:t>过程与活动、抽样计划</w:t>
            </w:r>
          </w:p>
        </w:tc>
        <w:tc>
          <w:tcPr>
            <w:tcW w:w="337" w:type="pct"/>
            <w:vMerge w:val="restart"/>
            <w:vAlign w:val="center"/>
          </w:tcPr>
          <w:p>
            <w:r>
              <w:rPr>
                <w:rFonts w:hint="eastAsia" w:cs="宋体"/>
              </w:rPr>
              <w:t>涉及</w:t>
            </w:r>
          </w:p>
          <w:p>
            <w:r>
              <w:rPr>
                <w:rFonts w:hint="eastAsia" w:cs="宋体"/>
              </w:rPr>
              <w:t>条款</w:t>
            </w:r>
          </w:p>
        </w:tc>
        <w:tc>
          <w:tcPr>
            <w:tcW w:w="3843" w:type="pct"/>
            <w:vAlign w:val="center"/>
          </w:tcPr>
          <w:p>
            <w:r>
              <w:rPr>
                <w:rFonts w:hint="eastAsia" w:cs="宋体"/>
              </w:rPr>
              <w:t>受审核部门：生产技术部</w:t>
            </w:r>
            <w:r>
              <w:t xml:space="preserve">         </w:t>
            </w:r>
            <w:r>
              <w:rPr>
                <w:rFonts w:hint="eastAsia" w:cs="宋体"/>
              </w:rPr>
              <w:t>主管领导</w:t>
            </w:r>
            <w:r>
              <w:rPr>
                <w:rFonts w:hint="eastAsia"/>
              </w:rPr>
              <w:t>：石雪猛          陪同人员：</w:t>
            </w:r>
            <w:r>
              <w:rPr>
                <w:rFonts w:hint="eastAsia" w:ascii="宋体" w:hAnsi="宋体" w:cs="宋体"/>
                <w:szCs w:val="21"/>
              </w:rPr>
              <w:t>耿楠楠</w:t>
            </w:r>
          </w:p>
        </w:tc>
        <w:tc>
          <w:tcPr>
            <w:tcW w:w="309"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1" w:type="pct"/>
            <w:vMerge w:val="continue"/>
            <w:vAlign w:val="center"/>
          </w:tcPr>
          <w:p/>
        </w:tc>
        <w:tc>
          <w:tcPr>
            <w:tcW w:w="337" w:type="pct"/>
            <w:vMerge w:val="continue"/>
            <w:vAlign w:val="center"/>
          </w:tcPr>
          <w:p/>
        </w:tc>
        <w:tc>
          <w:tcPr>
            <w:tcW w:w="3843" w:type="pct"/>
            <w:vAlign w:val="center"/>
          </w:tcPr>
          <w:p>
            <w:pPr>
              <w:spacing w:before="120"/>
            </w:pPr>
            <w:r>
              <w:rPr>
                <w:rFonts w:hint="eastAsia" w:cs="宋体"/>
              </w:rPr>
              <w:t>审核员：杨园</w:t>
            </w:r>
            <w:r>
              <w:t xml:space="preserve">   </w:t>
            </w:r>
            <w:r>
              <w:rPr>
                <w:rFonts w:hint="eastAsia"/>
              </w:rPr>
              <w:t xml:space="preserve">    </w:t>
            </w:r>
            <w:r>
              <w:t xml:space="preserve">            </w:t>
            </w:r>
            <w:r>
              <w:rPr>
                <w:rFonts w:hint="eastAsia" w:cs="宋体"/>
              </w:rPr>
              <w:t>审核时间：</w:t>
            </w:r>
            <w:r>
              <w:t>20</w:t>
            </w:r>
            <w:r>
              <w:rPr>
                <w:rFonts w:hint="eastAsia"/>
              </w:rPr>
              <w:t>23年2月1</w:t>
            </w:r>
            <w:r>
              <w:t>8</w:t>
            </w:r>
            <w:r>
              <w:rPr>
                <w:rFonts w:hint="eastAsia"/>
              </w:rPr>
              <w:t>日</w:t>
            </w:r>
          </w:p>
        </w:tc>
        <w:tc>
          <w:tcPr>
            <w:tcW w:w="309"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Merge w:val="continue"/>
            <w:vAlign w:val="center"/>
          </w:tcPr>
          <w:p/>
        </w:tc>
        <w:tc>
          <w:tcPr>
            <w:tcW w:w="337" w:type="pct"/>
            <w:vMerge w:val="continue"/>
            <w:vAlign w:val="center"/>
          </w:tcPr>
          <w:p/>
        </w:tc>
        <w:tc>
          <w:tcPr>
            <w:tcW w:w="3843" w:type="pct"/>
            <w:vAlign w:val="center"/>
          </w:tcPr>
          <w:p>
            <w:pPr>
              <w:spacing w:line="260" w:lineRule="exact"/>
            </w:pPr>
            <w:r>
              <w:rPr>
                <w:rFonts w:hint="eastAsia"/>
              </w:rPr>
              <w:t>审核条款：</w:t>
            </w:r>
          </w:p>
          <w:p>
            <w:pPr>
              <w:pStyle w:val="19"/>
              <w:rPr>
                <w:rFonts w:ascii="楷体" w:hAnsi="楷体" w:eastAsia="楷体" w:cs="楷体"/>
                <w:szCs w:val="21"/>
              </w:rPr>
            </w:pPr>
            <w:r>
              <w:rPr>
                <w:rFonts w:hint="eastAsia" w:ascii="楷体" w:hAnsi="楷体" w:eastAsia="楷体" w:cs="楷体"/>
                <w:szCs w:val="21"/>
              </w:rPr>
              <w:t>EO5.3/6.2/6.1.2/8.1/8.2</w:t>
            </w:r>
          </w:p>
        </w:tc>
        <w:tc>
          <w:tcPr>
            <w:tcW w:w="309"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r>
              <w:rPr>
                <w:rFonts w:hint="eastAsia" w:cs="宋体"/>
              </w:rPr>
              <w:t>组织的岗位、职责权限</w:t>
            </w:r>
          </w:p>
        </w:tc>
        <w:tc>
          <w:tcPr>
            <w:tcW w:w="337" w:type="pct"/>
            <w:vAlign w:val="center"/>
          </w:tcPr>
          <w:p>
            <w:pPr>
              <w:pStyle w:val="2"/>
              <w:ind w:firstLine="0" w:firstLineChars="0"/>
              <w:jc w:val="left"/>
              <w:rPr>
                <w:rFonts w:cs="Times New Roman"/>
                <w:sz w:val="21"/>
                <w:lang w:val="zh-CN"/>
              </w:rPr>
            </w:pPr>
            <w:r>
              <w:rPr>
                <w:rFonts w:cs="Times New Roman"/>
                <w:sz w:val="21"/>
                <w:lang w:val="zh-CN"/>
              </w:rPr>
              <w:t>E</w:t>
            </w:r>
            <w:r>
              <w:rPr>
                <w:rFonts w:hint="eastAsia" w:cs="Times New Roman"/>
                <w:sz w:val="21"/>
                <w:lang w:val="zh-CN"/>
              </w:rPr>
              <w:t>O</w:t>
            </w:r>
            <w:r>
              <w:rPr>
                <w:rFonts w:cs="Times New Roman"/>
                <w:sz w:val="21"/>
                <w:lang w:val="zh-CN"/>
              </w:rPr>
              <w:t>5.3</w:t>
            </w:r>
          </w:p>
        </w:tc>
        <w:tc>
          <w:tcPr>
            <w:tcW w:w="3843" w:type="pct"/>
            <w:vAlign w:val="center"/>
          </w:tcPr>
          <w:p>
            <w:pPr>
              <w:pStyle w:val="2"/>
              <w:ind w:firstLine="0" w:firstLineChars="0"/>
              <w:jc w:val="left"/>
              <w:rPr>
                <w:rFonts w:cs="Times New Roman"/>
                <w:sz w:val="21"/>
                <w:lang w:val="zh-CN"/>
              </w:rPr>
            </w:pPr>
            <w:r>
              <w:rPr>
                <w:rFonts w:hint="eastAsia" w:cs="Times New Roman"/>
                <w:sz w:val="21"/>
                <w:lang w:val="zh-CN"/>
              </w:rPr>
              <w:t xml:space="preserve">办公室部门负责人：石雪猛 </w:t>
            </w:r>
          </w:p>
          <w:p>
            <w:pPr>
              <w:pStyle w:val="2"/>
              <w:ind w:firstLine="0" w:firstLineChars="0"/>
              <w:jc w:val="left"/>
              <w:rPr>
                <w:rFonts w:cs="Times New Roman"/>
                <w:sz w:val="21"/>
                <w:lang w:val="zh-CN"/>
              </w:rPr>
            </w:pPr>
            <w:r>
              <w:rPr>
                <w:rFonts w:hint="eastAsia" w:cs="Times New Roman"/>
                <w:sz w:val="21"/>
                <w:lang w:val="zh-CN"/>
              </w:rPr>
              <w:t>现场询问石雪猛主任其职责权限：主要负责公司负责生产过程的控制，监督本部门员工做好生产过程中的环境/职业健康安全工作的检查工作，及时将发现问题转达到相关部门，并做好问题的跟踪解决；负责组织对生产环境、设备进行维护保养，以保证适宜的过程能力，贯彻本部门环境\职业健康安全管理目标，控制重要环境因素、不可控风险，做好预防污染和预防伤亡事故工作；</w:t>
            </w:r>
            <w:r>
              <w:rPr>
                <w:rFonts w:cs="Times New Roman"/>
                <w:sz w:val="21"/>
                <w:lang w:val="zh-CN"/>
              </w:rPr>
              <w:t>负责安排车间对</w:t>
            </w:r>
            <w:r>
              <w:rPr>
                <w:rFonts w:hint="eastAsia" w:cs="Times New Roman"/>
                <w:sz w:val="21"/>
                <w:lang w:val="zh-CN"/>
              </w:rPr>
              <w:t>原材料、</w:t>
            </w:r>
            <w:r>
              <w:rPr>
                <w:rFonts w:cs="Times New Roman"/>
                <w:sz w:val="21"/>
                <w:lang w:val="zh-CN"/>
              </w:rPr>
              <w:t>成品的</w:t>
            </w:r>
            <w:r>
              <w:rPr>
                <w:rFonts w:hint="eastAsia" w:cs="Times New Roman"/>
                <w:sz w:val="21"/>
                <w:lang w:val="zh-CN"/>
              </w:rPr>
              <w:t>标识、</w:t>
            </w:r>
            <w:r>
              <w:rPr>
                <w:rFonts w:cs="Times New Roman"/>
                <w:sz w:val="21"/>
                <w:lang w:val="zh-CN"/>
              </w:rPr>
              <w:t>搬运、防护工作</w:t>
            </w:r>
            <w:r>
              <w:rPr>
                <w:rFonts w:hint="eastAsia" w:cs="Times New Roman"/>
                <w:sz w:val="21"/>
                <w:lang w:val="zh-CN"/>
              </w:rPr>
              <w:t>，</w:t>
            </w:r>
            <w:r>
              <w:rPr>
                <w:rFonts w:cs="Times New Roman"/>
                <w:sz w:val="21"/>
                <w:lang w:val="zh-CN"/>
              </w:rPr>
              <w:t>达到安全</w:t>
            </w:r>
            <w:r>
              <w:rPr>
                <w:rFonts w:hint="eastAsia" w:cs="Times New Roman"/>
                <w:sz w:val="21"/>
                <w:lang w:val="zh-CN"/>
              </w:rPr>
              <w:t>生产</w:t>
            </w:r>
            <w:r>
              <w:rPr>
                <w:rFonts w:cs="Times New Roman"/>
                <w:sz w:val="21"/>
                <w:lang w:val="zh-CN"/>
              </w:rPr>
              <w:t>；</w:t>
            </w:r>
            <w:r>
              <w:rPr>
                <w:rFonts w:hint="eastAsia" w:cs="Times New Roman"/>
                <w:sz w:val="21"/>
                <w:lang w:val="zh-CN"/>
              </w:rPr>
              <w:t>负责库房的管理；负责公司的质量检验、试验工作，监督本部门员工做好生产过程中的环境/职业健康安全工作的检查工作，及时将发现问题转达到相关部门，并做好问题的跟踪解决；负责公司监视和测量设备的管理工作，负责公司不合格品的控制工作，贯彻本部门环境\职业健康安全管理目标，控制重要环境因素、不可控风险，做好预防污染和预防伤亡事故工作等工作。</w:t>
            </w:r>
          </w:p>
          <w:p>
            <w:pPr>
              <w:pStyle w:val="2"/>
              <w:ind w:firstLine="0" w:firstLineChars="0"/>
              <w:jc w:val="left"/>
              <w:rPr>
                <w:rFonts w:cs="Times New Roman"/>
                <w:sz w:val="21"/>
                <w:lang w:val="zh-CN"/>
              </w:rPr>
            </w:pPr>
            <w:r>
              <w:rPr>
                <w:rFonts w:hint="eastAsia" w:cs="Times New Roman"/>
                <w:sz w:val="21"/>
                <w:lang w:val="zh-CN"/>
              </w:rPr>
              <w:t>与部门负责人沟通，职责明确，回答基本正确。</w:t>
            </w:r>
          </w:p>
        </w:tc>
        <w:tc>
          <w:tcPr>
            <w:tcW w:w="309" w:type="pct"/>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pPr>
              <w:rPr>
                <w:rFonts w:cs="宋体"/>
              </w:rPr>
            </w:pPr>
            <w:r>
              <w:rPr>
                <w:rFonts w:hint="eastAsia" w:cs="宋体"/>
              </w:rPr>
              <w:t>目标指标、管理方案</w:t>
            </w:r>
          </w:p>
        </w:tc>
        <w:tc>
          <w:tcPr>
            <w:tcW w:w="337" w:type="pct"/>
            <w:vAlign w:val="center"/>
          </w:tcPr>
          <w:p>
            <w:pPr>
              <w:rPr>
                <w:rFonts w:cs="宋体"/>
              </w:rPr>
            </w:pPr>
            <w:r>
              <w:rPr>
                <w:rFonts w:hint="eastAsia" w:cs="宋体"/>
              </w:rPr>
              <w:t>EO6.2</w:t>
            </w:r>
          </w:p>
        </w:tc>
        <w:tc>
          <w:tcPr>
            <w:tcW w:w="3843" w:type="pct"/>
            <w:vAlign w:val="center"/>
          </w:tcPr>
          <w:p>
            <w:pPr>
              <w:rPr>
                <w:rFonts w:cs="宋体"/>
              </w:rPr>
            </w:pPr>
            <w:r>
              <w:rPr>
                <w:rFonts w:hint="eastAsia" w:cs="宋体"/>
              </w:rPr>
              <w:t>●查《质量、环境、职业健康安全手册》制定了企业的管理目标，编制有《目标指标和管理方案控制程序》，目标分解至各部门，办公室负责定期考核，提供了目标考核记录，办公室目标考核情况如下：</w:t>
            </w:r>
          </w:p>
          <w:p>
            <w:pPr>
              <w:rPr>
                <w:rFonts w:cs="宋体"/>
              </w:rPr>
            </w:pPr>
            <w:r>
              <w:rPr>
                <w:rFonts w:hint="eastAsia" w:cs="宋体"/>
              </w:rPr>
              <w:t>分解目标</w:t>
            </w:r>
            <w:r>
              <w:rPr>
                <w:rFonts w:hint="eastAsia" w:cs="宋体"/>
              </w:rPr>
              <w:tab/>
            </w:r>
            <w:r>
              <w:rPr>
                <w:rFonts w:hint="eastAsia" w:cs="宋体"/>
              </w:rPr>
              <w:t xml:space="preserve">            计划</w:t>
            </w:r>
            <w:r>
              <w:rPr>
                <w:rFonts w:hint="eastAsia" w:cs="宋体"/>
              </w:rPr>
              <w:tab/>
            </w:r>
            <w:r>
              <w:rPr>
                <w:rFonts w:hint="eastAsia" w:cs="宋体"/>
              </w:rPr>
              <w:t>实际完成（统计周期2022年4季度）</w:t>
            </w:r>
          </w:p>
          <w:p>
            <w:pPr>
              <w:rPr>
                <w:rFonts w:cs="宋体"/>
              </w:rPr>
            </w:pPr>
            <w:r>
              <w:rPr>
                <w:rFonts w:hint="eastAsia" w:cs="宋体"/>
              </w:rPr>
              <w:t>火灾事故发生率</w:t>
            </w:r>
            <w:r>
              <w:rPr>
                <w:rFonts w:hint="eastAsia" w:cs="宋体"/>
              </w:rPr>
              <w:tab/>
            </w:r>
            <w:r>
              <w:rPr>
                <w:rFonts w:cs="宋体"/>
              </w:rPr>
              <w:t xml:space="preserve">         </w:t>
            </w:r>
            <w:r>
              <w:rPr>
                <w:rFonts w:hint="eastAsia" w:cs="宋体"/>
              </w:rPr>
              <w:t>为0</w:t>
            </w:r>
            <w:r>
              <w:rPr>
                <w:rFonts w:cs="宋体"/>
              </w:rPr>
              <w:t xml:space="preserve">     </w:t>
            </w:r>
            <w:r>
              <w:rPr>
                <w:rFonts w:hint="eastAsia" w:cs="宋体"/>
              </w:rPr>
              <w:tab/>
            </w:r>
            <w:r>
              <w:rPr>
                <w:rFonts w:cs="宋体"/>
              </w:rPr>
              <w:t xml:space="preserve"> </w:t>
            </w:r>
            <w:r>
              <w:rPr>
                <w:rFonts w:hint="eastAsia" w:cs="宋体"/>
              </w:rPr>
              <w:t>0</w:t>
            </w:r>
          </w:p>
          <w:p>
            <w:pPr>
              <w:rPr>
                <w:rFonts w:cs="宋体"/>
              </w:rPr>
            </w:pPr>
            <w:r>
              <w:rPr>
                <w:rFonts w:hint="eastAsia" w:cs="宋体"/>
              </w:rPr>
              <w:t xml:space="preserve">杜绝发生死亡、重伤事故 </w:t>
            </w:r>
            <w:r>
              <w:rPr>
                <w:rFonts w:cs="宋体"/>
              </w:rPr>
              <w:t xml:space="preserve"> </w:t>
            </w:r>
            <w:r>
              <w:rPr>
                <w:rFonts w:hint="eastAsia" w:cs="宋体"/>
              </w:rPr>
              <w:tab/>
            </w:r>
            <w:r>
              <w:rPr>
                <w:rFonts w:hint="eastAsia" w:cs="宋体"/>
              </w:rPr>
              <w:t>0</w:t>
            </w:r>
            <w:r>
              <w:rPr>
                <w:rFonts w:hint="eastAsia" w:cs="宋体"/>
              </w:rPr>
              <w:tab/>
            </w:r>
            <w:r>
              <w:rPr>
                <w:rFonts w:cs="宋体"/>
              </w:rPr>
              <w:t xml:space="preserve">     </w:t>
            </w:r>
            <w:r>
              <w:rPr>
                <w:rFonts w:hint="eastAsia" w:cs="宋体"/>
              </w:rPr>
              <w:t>0</w:t>
            </w:r>
          </w:p>
          <w:p>
            <w:pPr>
              <w:rPr>
                <w:rFonts w:cs="宋体"/>
              </w:rPr>
            </w:pPr>
            <w:r>
              <w:rPr>
                <w:rFonts w:hint="eastAsia" w:cs="宋体"/>
              </w:rPr>
              <w:t>废弃物100%实现分类存放，合理处置</w:t>
            </w:r>
            <w:r>
              <w:rPr>
                <w:rFonts w:hint="eastAsia" w:cs="宋体"/>
              </w:rPr>
              <w:tab/>
            </w:r>
            <w:r>
              <w:rPr>
                <w:rFonts w:hint="eastAsia" w:cs="宋体"/>
              </w:rPr>
              <w:t>100%</w:t>
            </w:r>
            <w:r>
              <w:rPr>
                <w:rFonts w:hint="eastAsia" w:cs="宋体"/>
              </w:rPr>
              <w:tab/>
            </w:r>
            <w:r>
              <w:rPr>
                <w:rFonts w:hint="eastAsia" w:cs="宋体"/>
              </w:rPr>
              <w:t>100%</w:t>
            </w:r>
          </w:p>
          <w:p>
            <w:pPr>
              <w:rPr>
                <w:rFonts w:cs="宋体"/>
              </w:rPr>
            </w:pPr>
            <w:r>
              <w:rPr>
                <w:rFonts w:hint="eastAsia" w:cs="宋体"/>
              </w:rPr>
              <w:t>杜绝发生重大污染事故</w:t>
            </w:r>
            <w:r>
              <w:rPr>
                <w:rFonts w:hint="eastAsia" w:cs="宋体"/>
              </w:rPr>
              <w:tab/>
            </w:r>
            <w:r>
              <w:rPr>
                <w:rFonts w:cs="宋体"/>
              </w:rPr>
              <w:t xml:space="preserve">   </w:t>
            </w:r>
            <w:r>
              <w:rPr>
                <w:rFonts w:hint="eastAsia" w:cs="宋体"/>
              </w:rPr>
              <w:t>0</w:t>
            </w:r>
            <w:r>
              <w:rPr>
                <w:rFonts w:hint="eastAsia" w:cs="宋体"/>
              </w:rPr>
              <w:tab/>
            </w:r>
            <w:r>
              <w:rPr>
                <w:rFonts w:cs="宋体"/>
              </w:rPr>
              <w:t xml:space="preserve">      </w:t>
            </w:r>
            <w:r>
              <w:rPr>
                <w:rFonts w:hint="eastAsia" w:cs="宋体"/>
              </w:rPr>
              <w:t>0</w:t>
            </w:r>
          </w:p>
          <w:p>
            <w:pPr>
              <w:rPr>
                <w:rFonts w:cs="宋体"/>
              </w:rPr>
            </w:pPr>
            <w:r>
              <w:rPr>
                <w:rFonts w:hint="eastAsia" w:cs="宋体"/>
              </w:rPr>
              <w:t>轻伤每年不超过3起</w:t>
            </w:r>
            <w:r>
              <w:rPr>
                <w:rFonts w:hint="eastAsia" w:cs="宋体"/>
              </w:rPr>
              <w:tab/>
            </w:r>
            <w:r>
              <w:rPr>
                <w:rFonts w:cs="宋体"/>
              </w:rPr>
              <w:t xml:space="preserve">      </w:t>
            </w:r>
            <w:r>
              <w:rPr>
                <w:rFonts w:hint="eastAsia" w:cs="宋体"/>
              </w:rPr>
              <w:t>小于3</w:t>
            </w:r>
            <w:r>
              <w:rPr>
                <w:rFonts w:cs="宋体"/>
              </w:rPr>
              <w:t xml:space="preserve">      </w:t>
            </w:r>
            <w:r>
              <w:rPr>
                <w:rFonts w:hint="eastAsia" w:cs="宋体"/>
              </w:rPr>
              <w:t>0</w:t>
            </w:r>
          </w:p>
          <w:p>
            <w:pPr>
              <w:rPr>
                <w:rFonts w:cs="宋体"/>
              </w:rPr>
            </w:pPr>
            <w:r>
              <w:rPr>
                <w:rFonts w:hint="eastAsia" w:cs="宋体"/>
              </w:rPr>
              <w:t>统计时间：2022.12.30</w:t>
            </w:r>
          </w:p>
          <w:p>
            <w:pPr>
              <w:rPr>
                <w:rFonts w:cs="宋体"/>
              </w:rPr>
            </w:pPr>
            <w:r>
              <w:rPr>
                <w:rFonts w:hint="eastAsia" w:cs="宋体"/>
              </w:rPr>
              <w:t>统计人：石雪猛</w:t>
            </w:r>
          </w:p>
          <w:p>
            <w:pPr>
              <w:rPr>
                <w:rFonts w:cs="宋体"/>
              </w:rPr>
            </w:pPr>
            <w:r>
              <w:rPr>
                <w:rFonts w:hint="eastAsia" w:cs="宋体"/>
              </w:rPr>
              <w:t>●查目标指标、环境、安全管理方案：</w:t>
            </w:r>
          </w:p>
          <w:p>
            <w:pPr>
              <w:rPr>
                <w:rFonts w:cs="宋体"/>
              </w:rPr>
            </w:pPr>
            <w:r>
              <w:rPr>
                <w:rFonts w:hint="eastAsia" w:cs="宋体"/>
              </w:rPr>
              <w:t>提供了生产技术部管理方案完成情况检查记录表</w:t>
            </w:r>
          </w:p>
          <w:p>
            <w:pPr>
              <w:rPr>
                <w:rFonts w:cs="宋体"/>
              </w:rPr>
            </w:pPr>
            <w:r>
              <w:rPr>
                <w:rFonts w:hint="eastAsia" w:cs="宋体"/>
              </w:rPr>
              <w:t>——抽目标指标：生产现场废弃物</w:t>
            </w:r>
            <w:r>
              <w:rPr>
                <w:rFonts w:cs="宋体"/>
              </w:rPr>
              <w:t>100%</w:t>
            </w:r>
            <w:r>
              <w:rPr>
                <w:rFonts w:hint="eastAsia" w:cs="宋体"/>
              </w:rPr>
              <w:t>实现分类存放，合理处置</w:t>
            </w:r>
          </w:p>
          <w:p>
            <w:pPr>
              <w:rPr>
                <w:rFonts w:cs="宋体"/>
              </w:rPr>
            </w:pPr>
            <w:r>
              <w:rPr>
                <w:rFonts w:hint="eastAsia" w:cs="宋体"/>
              </w:rPr>
              <w:t>管理方案：1、制作固废分类标识牌</w:t>
            </w:r>
          </w:p>
          <w:p>
            <w:pPr>
              <w:rPr>
                <w:rFonts w:cs="宋体"/>
              </w:rPr>
            </w:pPr>
            <w:r>
              <w:rPr>
                <w:rFonts w:hint="eastAsia" w:cs="宋体"/>
              </w:rPr>
              <w:t>2、划分固废分类存放区，制作存放容器</w:t>
            </w:r>
          </w:p>
          <w:p>
            <w:pPr>
              <w:rPr>
                <w:rFonts w:cs="宋体"/>
              </w:rPr>
            </w:pPr>
            <w:r>
              <w:rPr>
                <w:rFonts w:hint="eastAsia" w:cs="宋体"/>
              </w:rPr>
              <w:t>3、进行固废分类及要求的培训</w:t>
            </w:r>
          </w:p>
          <w:p>
            <w:pPr>
              <w:rPr>
                <w:rFonts w:cs="宋体"/>
              </w:rPr>
            </w:pPr>
            <w:r>
              <w:rPr>
                <w:rFonts w:hint="eastAsia" w:cs="宋体"/>
              </w:rPr>
              <w:t>4、每月检查固废分类存放及回收状况</w:t>
            </w:r>
          </w:p>
          <w:p>
            <w:pPr>
              <w:rPr>
                <w:rFonts w:cs="宋体"/>
              </w:rPr>
            </w:pPr>
            <w:r>
              <w:rPr>
                <w:rFonts w:hint="eastAsia" w:cs="宋体"/>
              </w:rPr>
              <w:t>资金支持：1</w:t>
            </w:r>
            <w:r>
              <w:rPr>
                <w:rFonts w:cs="宋体"/>
              </w:rPr>
              <w:t>000</w:t>
            </w:r>
            <w:r>
              <w:rPr>
                <w:rFonts w:hint="eastAsia" w:cs="宋体"/>
              </w:rPr>
              <w:t>元，责任部门：生产技术部</w:t>
            </w:r>
          </w:p>
          <w:p>
            <w:pPr>
              <w:rPr>
                <w:rFonts w:cs="宋体"/>
              </w:rPr>
            </w:pPr>
            <w:r>
              <w:rPr>
                <w:rFonts w:hint="eastAsia" w:cs="宋体"/>
              </w:rPr>
              <w:t>——抽目标指标：轻伤事故每年不超3起：1、交通事故发生不超过1起2、轻微机械伤害事故不超过1起</w:t>
            </w:r>
          </w:p>
          <w:p>
            <w:pPr>
              <w:rPr>
                <w:rFonts w:cs="宋体"/>
              </w:rPr>
            </w:pPr>
            <w:r>
              <w:rPr>
                <w:rFonts w:hint="eastAsia" w:cs="宋体"/>
              </w:rPr>
              <w:t>管理方案：</w:t>
            </w:r>
          </w:p>
          <w:p>
            <w:pPr>
              <w:rPr>
                <w:rFonts w:cs="宋体"/>
              </w:rPr>
            </w:pPr>
            <w:r>
              <w:rPr>
                <w:rFonts w:hint="eastAsia" w:cs="宋体"/>
              </w:rPr>
              <w:t>交通法规教育；制定设备安全操作规章；培训员工安全规章，树立安全意识；制定机械伤害应急预案</w:t>
            </w:r>
          </w:p>
          <w:p>
            <w:pPr>
              <w:rPr>
                <w:rFonts w:cs="宋体"/>
              </w:rPr>
            </w:pPr>
            <w:r>
              <w:rPr>
                <w:rFonts w:hint="eastAsia" w:cs="宋体"/>
              </w:rPr>
              <w:t>责任部门：生产技术部，办公室；</w:t>
            </w:r>
          </w:p>
          <w:p>
            <w:pPr>
              <w:rPr>
                <w:rFonts w:cs="宋体"/>
              </w:rPr>
            </w:pPr>
            <w:r>
              <w:rPr>
                <w:rFonts w:hint="eastAsia" w:cs="宋体"/>
              </w:rPr>
              <w:t>2</w:t>
            </w:r>
            <w:r>
              <w:rPr>
                <w:rFonts w:cs="宋体"/>
              </w:rPr>
              <w:t>022.12.30</w:t>
            </w:r>
            <w:r>
              <w:rPr>
                <w:rFonts w:hint="eastAsia" w:cs="宋体"/>
              </w:rPr>
              <w:t>日按照管理方案的策划对实际运行情况进行了检查，落实了管理方案的各项控制措施。</w:t>
            </w:r>
          </w:p>
          <w:p>
            <w:pPr>
              <w:rPr>
                <w:rFonts w:cs="宋体"/>
              </w:rPr>
            </w:pPr>
            <w:r>
              <w:rPr>
                <w:rFonts w:hint="eastAsia" w:cs="宋体"/>
              </w:rPr>
              <w:t>完成了阶段性目标，符合要求。</w:t>
            </w:r>
          </w:p>
        </w:tc>
        <w:tc>
          <w:tcPr>
            <w:tcW w:w="309" w:type="pct"/>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pPr>
              <w:rPr>
                <w:rFonts w:cs="宋体"/>
              </w:rPr>
            </w:pPr>
            <w:r>
              <w:rPr>
                <w:rFonts w:hint="eastAsia" w:cs="宋体"/>
              </w:rPr>
              <w:t>环境因素、危险源辨识</w:t>
            </w:r>
          </w:p>
        </w:tc>
        <w:tc>
          <w:tcPr>
            <w:tcW w:w="337" w:type="pct"/>
            <w:vAlign w:val="center"/>
          </w:tcPr>
          <w:p>
            <w:r>
              <w:t>E</w:t>
            </w:r>
            <w:r>
              <w:rPr>
                <w:rFonts w:hint="eastAsia"/>
              </w:rPr>
              <w:t>O</w:t>
            </w:r>
          </w:p>
          <w:p>
            <w:r>
              <w:t>6.1.2</w:t>
            </w:r>
          </w:p>
          <w:p>
            <w:pPr>
              <w:pStyle w:val="2"/>
              <w:ind w:firstLine="0" w:firstLineChars="0"/>
            </w:pPr>
          </w:p>
        </w:tc>
        <w:tc>
          <w:tcPr>
            <w:tcW w:w="3843" w:type="pct"/>
            <w:vAlign w:val="center"/>
          </w:tcPr>
          <w:p>
            <w:pPr>
              <w:pStyle w:val="2"/>
              <w:ind w:firstLine="0" w:firstLineChars="0"/>
              <w:jc w:val="left"/>
              <w:rPr>
                <w:rFonts w:cs="Times New Roman"/>
                <w:sz w:val="21"/>
                <w:lang w:val="zh-CN"/>
              </w:rPr>
            </w:pPr>
            <w:r>
              <w:rPr>
                <w:rFonts w:hint="eastAsia" w:cs="Times New Roman"/>
                <w:sz w:val="21"/>
                <w:lang w:val="zh-CN"/>
              </w:rPr>
              <w:t>执行公司《环境因素识别与评价控制程序HT/CX-6.1.2-A0-2022》《危险源辩识与风险评价控制程序HT/CX-4.3.1-A0-2022》</w:t>
            </w:r>
          </w:p>
          <w:p>
            <w:pPr>
              <w:pStyle w:val="2"/>
              <w:ind w:firstLine="0" w:firstLineChars="0"/>
              <w:jc w:val="left"/>
              <w:rPr>
                <w:rFonts w:cs="Times New Roman"/>
                <w:sz w:val="21"/>
                <w:lang w:val="zh-CN"/>
              </w:rPr>
            </w:pPr>
            <w:r>
              <w:rPr>
                <w:rFonts w:hint="eastAsia" w:cs="Times New Roman"/>
                <w:sz w:val="21"/>
                <w:lang w:val="zh-CN"/>
              </w:rPr>
              <w:t>在办公室组织下开展了环境因素、危险源辨识工作并评价出重大环境因素和重大职业健康安全风险。</w:t>
            </w:r>
          </w:p>
          <w:p>
            <w:pPr>
              <w:jc w:val="left"/>
              <w:rPr>
                <w:lang w:val="zh-CN"/>
              </w:rPr>
            </w:pPr>
            <w:r>
              <w:rPr>
                <w:rFonts w:hint="eastAsia"/>
                <w:lang w:val="zh-CN"/>
              </w:rPr>
              <w:t>提供《环境因素评价记录表》，按产品、活动、服务等过程进行了环境因素的识别，涉及车间、库房等，生产技术部涉及的环境因素包括办公过程的能源消耗、固废、车间下脚料废弃、意外火灾、设备噪声、划伤、砸伤等。</w:t>
            </w:r>
          </w:p>
          <w:p>
            <w:pPr>
              <w:rPr>
                <w:lang w:val="zh-CN"/>
              </w:rPr>
            </w:pPr>
            <w:r>
              <w:rPr>
                <w:rFonts w:hint="eastAsia"/>
                <w:lang w:val="zh-CN"/>
              </w:rPr>
              <w:t>评价处重要环境因素： 固体废弃物废弃、潜在火灾的发生、原材料消耗、设备运转产生噪声。评价基本准确。</w:t>
            </w:r>
          </w:p>
          <w:p>
            <w:pPr>
              <w:rPr>
                <w:lang w:val="zh-CN"/>
              </w:rPr>
            </w:pPr>
            <w:r>
              <w:rPr>
                <w:rFonts w:hint="eastAsia"/>
                <w:lang w:val="zh-CN"/>
              </w:rPr>
              <w:t>提供《职业健康安全危险源识别与评价表》，按照作业活动、区域进行了识别，涉及生产区域、库房，生产技术部涉及的危险源包括：</w:t>
            </w:r>
          </w:p>
          <w:p>
            <w:pPr>
              <w:rPr>
                <w:lang w:val="zh-CN"/>
              </w:rPr>
            </w:pPr>
            <w:r>
              <w:rPr>
                <w:rFonts w:hint="eastAsia"/>
                <w:lang w:val="zh-CN"/>
              </w:rPr>
              <w:t>设备漏电</w:t>
            </w:r>
            <w:r>
              <w:rPr>
                <w:rFonts w:hint="eastAsia"/>
                <w:lang w:val="zh-CN"/>
              </w:rPr>
              <w:tab/>
            </w:r>
            <w:r>
              <w:rPr>
                <w:rFonts w:hint="eastAsia"/>
                <w:lang w:val="zh-CN"/>
              </w:rPr>
              <w:t>触电、局部火灾</w:t>
            </w:r>
          </w:p>
          <w:p>
            <w:pPr>
              <w:rPr>
                <w:lang w:val="zh-CN"/>
              </w:rPr>
            </w:pPr>
            <w:r>
              <w:rPr>
                <w:rFonts w:hint="eastAsia"/>
                <w:lang w:val="zh-CN"/>
              </w:rPr>
              <w:t>误操作</w:t>
            </w:r>
            <w:r>
              <w:rPr>
                <w:rFonts w:hint="eastAsia"/>
                <w:lang w:val="zh-CN"/>
              </w:rPr>
              <w:tab/>
            </w:r>
            <w:r>
              <w:rPr>
                <w:lang w:val="zh-CN"/>
              </w:rPr>
              <w:t xml:space="preserve">   </w:t>
            </w:r>
            <w:r>
              <w:rPr>
                <w:rFonts w:hint="eastAsia"/>
                <w:lang w:val="zh-CN"/>
              </w:rPr>
              <w:t>机械伤害</w:t>
            </w:r>
          </w:p>
          <w:p>
            <w:pPr>
              <w:rPr>
                <w:lang w:val="zh-CN"/>
              </w:rPr>
            </w:pPr>
            <w:r>
              <w:rPr>
                <w:rFonts w:hint="eastAsia"/>
                <w:lang w:val="zh-CN"/>
              </w:rPr>
              <w:t>设备漏电</w:t>
            </w:r>
            <w:r>
              <w:rPr>
                <w:rFonts w:hint="eastAsia"/>
                <w:lang w:val="zh-CN"/>
              </w:rPr>
              <w:tab/>
            </w:r>
            <w:r>
              <w:rPr>
                <w:rFonts w:hint="eastAsia"/>
                <w:lang w:val="zh-CN"/>
              </w:rPr>
              <w:t>触电、局部火灾</w:t>
            </w:r>
          </w:p>
          <w:p>
            <w:pPr>
              <w:rPr>
                <w:lang w:val="zh-CN"/>
              </w:rPr>
            </w:pPr>
            <w:r>
              <w:rPr>
                <w:rFonts w:hint="eastAsia"/>
                <w:lang w:val="zh-CN"/>
              </w:rPr>
              <w:t>高空坠落</w:t>
            </w:r>
            <w:r>
              <w:rPr>
                <w:rFonts w:hint="eastAsia"/>
                <w:lang w:val="zh-CN"/>
              </w:rPr>
              <w:tab/>
            </w:r>
            <w:r>
              <w:rPr>
                <w:rFonts w:hint="eastAsia"/>
                <w:lang w:val="zh-CN"/>
              </w:rPr>
              <w:t>砸伤</w:t>
            </w:r>
          </w:p>
          <w:p>
            <w:pPr>
              <w:rPr>
                <w:lang w:val="zh-CN"/>
              </w:rPr>
            </w:pPr>
            <w:r>
              <w:rPr>
                <w:rFonts w:hint="eastAsia"/>
                <w:lang w:val="zh-CN"/>
              </w:rPr>
              <w:t>堆放散落</w:t>
            </w:r>
            <w:r>
              <w:rPr>
                <w:rFonts w:hint="eastAsia"/>
                <w:lang w:val="zh-CN"/>
              </w:rPr>
              <w:tab/>
            </w:r>
            <w:r>
              <w:rPr>
                <w:rFonts w:hint="eastAsia"/>
                <w:lang w:val="zh-CN"/>
              </w:rPr>
              <w:t>砸伤</w:t>
            </w:r>
          </w:p>
          <w:p>
            <w:pPr>
              <w:rPr>
                <w:lang w:val="zh-CN"/>
              </w:rPr>
            </w:pPr>
            <w:r>
              <w:rPr>
                <w:rFonts w:hint="eastAsia"/>
                <w:lang w:val="zh-CN"/>
              </w:rPr>
              <w:t>误操作</w:t>
            </w:r>
            <w:r>
              <w:rPr>
                <w:rFonts w:hint="eastAsia"/>
                <w:lang w:val="zh-CN"/>
              </w:rPr>
              <w:tab/>
            </w:r>
            <w:r>
              <w:rPr>
                <w:rFonts w:hint="eastAsia"/>
                <w:lang w:val="zh-CN"/>
              </w:rPr>
              <w:t>机械伤害</w:t>
            </w:r>
          </w:p>
          <w:p>
            <w:pPr>
              <w:rPr>
                <w:lang w:val="zh-CN"/>
              </w:rPr>
            </w:pPr>
            <w:r>
              <w:rPr>
                <w:rFonts w:hint="eastAsia"/>
                <w:lang w:val="zh-CN"/>
              </w:rPr>
              <w:t>高温中暑</w:t>
            </w:r>
            <w:r>
              <w:rPr>
                <w:rFonts w:hint="eastAsia"/>
                <w:lang w:val="zh-CN"/>
              </w:rPr>
              <w:tab/>
            </w:r>
            <w:r>
              <w:rPr>
                <w:rFonts w:hint="eastAsia"/>
                <w:lang w:val="zh-CN"/>
              </w:rPr>
              <w:t>高温中暑</w:t>
            </w:r>
          </w:p>
          <w:p>
            <w:pPr>
              <w:rPr>
                <w:lang w:val="zh-CN"/>
              </w:rPr>
            </w:pPr>
            <w:r>
              <w:rPr>
                <w:rFonts w:hint="eastAsia"/>
                <w:lang w:val="zh-CN"/>
              </w:rPr>
              <w:t>驾驶员违章驾驶、高空坠落</w:t>
            </w:r>
            <w:r>
              <w:rPr>
                <w:rFonts w:hint="eastAsia"/>
                <w:lang w:val="zh-CN"/>
              </w:rPr>
              <w:tab/>
            </w:r>
            <w:r>
              <w:rPr>
                <w:rFonts w:hint="eastAsia"/>
                <w:lang w:val="zh-CN"/>
              </w:rPr>
              <w:t>可能导致交通事故、砸伤</w:t>
            </w:r>
          </w:p>
          <w:p>
            <w:pPr>
              <w:rPr>
                <w:lang w:val="zh-CN"/>
              </w:rPr>
            </w:pPr>
            <w:r>
              <w:rPr>
                <w:rFonts w:hint="eastAsia"/>
                <w:lang w:val="zh-CN"/>
              </w:rPr>
              <w:t>作业工具使用不当</w:t>
            </w:r>
            <w:r>
              <w:rPr>
                <w:rFonts w:hint="eastAsia"/>
                <w:lang w:val="zh-CN"/>
              </w:rPr>
              <w:tab/>
            </w:r>
            <w:r>
              <w:rPr>
                <w:rFonts w:hint="eastAsia"/>
                <w:lang w:val="zh-CN"/>
              </w:rPr>
              <w:t>伤手、机械伤害</w:t>
            </w:r>
          </w:p>
          <w:p>
            <w:pPr>
              <w:pStyle w:val="2"/>
              <w:ind w:firstLine="0" w:firstLineChars="0"/>
              <w:rPr>
                <w:rFonts w:cs="Times New Roman"/>
                <w:sz w:val="21"/>
                <w:lang w:val="en-GB"/>
              </w:rPr>
            </w:pPr>
            <w:r>
              <w:rPr>
                <w:rFonts w:hint="eastAsia"/>
                <w:lang w:val="zh-CN"/>
              </w:rPr>
              <w:t>。。。。。</w:t>
            </w:r>
            <w:r>
              <w:rPr>
                <w:rFonts w:hint="eastAsia" w:cs="Times New Roman"/>
                <w:sz w:val="21"/>
                <w:lang w:val="en-GB"/>
              </w:rPr>
              <w:t>，评价基本全面。</w:t>
            </w:r>
          </w:p>
          <w:p>
            <w:pPr>
              <w:rPr>
                <w:rFonts w:cs="宋体"/>
              </w:rPr>
            </w:pPr>
            <w:r>
              <w:rPr>
                <w:rFonts w:hint="eastAsia"/>
                <w:lang w:val="en-GB"/>
              </w:rPr>
              <w:t>不可接受风险为触电、物体打击、</w:t>
            </w:r>
            <w:r>
              <w:rPr>
                <w:rFonts w:hint="eastAsia"/>
                <w:lang w:val="zh-CN"/>
              </w:rPr>
              <w:t>噪声伤害、机械伤害，评价基本准确。</w:t>
            </w:r>
          </w:p>
        </w:tc>
        <w:tc>
          <w:tcPr>
            <w:tcW w:w="309" w:type="pct"/>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r>
              <w:rPr>
                <w:rFonts w:hint="eastAsia" w:cs="宋体"/>
              </w:rPr>
              <w:t>运行控制</w:t>
            </w:r>
          </w:p>
        </w:tc>
        <w:tc>
          <w:tcPr>
            <w:tcW w:w="337" w:type="pct"/>
            <w:vAlign w:val="center"/>
          </w:tcPr>
          <w:p>
            <w:r>
              <w:t>E</w:t>
            </w:r>
            <w:r>
              <w:rPr>
                <w:rFonts w:hint="eastAsia"/>
              </w:rPr>
              <w:t>O</w:t>
            </w:r>
          </w:p>
          <w:p>
            <w:r>
              <w:t>8.1</w:t>
            </w:r>
          </w:p>
        </w:tc>
        <w:tc>
          <w:tcPr>
            <w:tcW w:w="3843" w:type="pct"/>
            <w:vAlign w:val="center"/>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●本部门执行《环境、职业健康安全运行控制程序HT/CX-8.1-A0-2022》《</w:t>
            </w:r>
            <w:r>
              <w:rPr>
                <w:rFonts w:hint="eastAsia" w:cs="宋体" w:asciiTheme="minorEastAsia" w:hAnsiTheme="minorEastAsia" w:eastAsiaTheme="minorEastAsia"/>
                <w:szCs w:val="21"/>
                <w:lang w:val="en-GB"/>
              </w:rPr>
              <w:t>生产生活固废垃圾处理/利用作业指导书HT05-ZY-2022</w:t>
            </w:r>
            <w:r>
              <w:rPr>
                <w:rFonts w:hint="eastAsia" w:cs="宋体" w:asciiTheme="minorEastAsia" w:hAnsiTheme="minorEastAsia" w:eastAsiaTheme="minorEastAsia"/>
                <w:szCs w:val="21"/>
              </w:rPr>
              <w:t>》《员工职业健康及劳动保护管理规定  HT08-ZY-2022》《能源使用管理规定HT10-ZY-2022》《安全防火规程》《能源使用管理规定》《设备操作规程》等管理文件和制度。</w:t>
            </w:r>
          </w:p>
          <w:p>
            <w:pPr>
              <w:rPr>
                <w:lang w:val="en-GB"/>
              </w:rPr>
            </w:pPr>
            <w:r>
              <w:rPr>
                <w:rFonts w:hint="eastAsia"/>
                <w:lang w:val="en-GB"/>
              </w:rPr>
              <w:t>根据运行的性质，识别出了风险和机遇、重要环境因素及危险源并制定了控制措施。制定环境/职业健康安全目标与管理方案，对重要环境因素和不可接受风险的辨识与控制措施进行了策划。</w:t>
            </w:r>
          </w:p>
          <w:p>
            <w:pPr>
              <w:rPr>
                <w:lang w:val="en-GB"/>
              </w:rPr>
            </w:pPr>
            <w:r>
              <w:rPr>
                <w:rFonts w:hint="eastAsia"/>
                <w:lang w:val="en-GB"/>
              </w:rPr>
              <w:t>●现场查看运行控制情况</w:t>
            </w:r>
          </w:p>
          <w:p>
            <w:pPr>
              <w:rPr>
                <w:lang w:val="en-GB"/>
              </w:rPr>
            </w:pPr>
            <w:r>
              <w:rPr>
                <w:rFonts w:hint="eastAsia"/>
                <w:lang w:val="en-GB"/>
              </w:rPr>
              <w:t>1、废水废气：车间无废水产生。该公司生产焊接过程产生少量废气，配备有移动焊烟净化器。</w:t>
            </w:r>
          </w:p>
          <w:p>
            <w:pPr>
              <w:rPr>
                <w:lang w:val="en-GB"/>
              </w:rPr>
            </w:pPr>
            <w:r>
              <w:rPr>
                <w:rFonts w:hint="eastAsia"/>
                <w:lang w:val="en-GB"/>
              </w:rPr>
              <w:t>2、固废：生活垃圾和一般固废如车间下角料、不合格品等分区存放，进行了登记，按区域暂存并统一处理。车间无危废。</w:t>
            </w:r>
          </w:p>
          <w:p>
            <w:pPr>
              <w:rPr>
                <w:lang w:val="en-GB"/>
              </w:rPr>
            </w:pPr>
            <w:r>
              <w:rPr>
                <w:rFonts w:hint="eastAsia"/>
                <w:lang w:val="en-GB"/>
              </w:rPr>
              <w:t>3、噪声管控：工厂位于工业园区，远离居民区。生产过程中金属织网机、金属织网机（重）、金属织网机（小）、整径机、汽液过滤网、氩弧焊机等等设备产生的机加工噪声，采取厂房隔音，和选用低噪声的设备和工具，同时给工人配备了劳保用品进行防护。</w:t>
            </w:r>
          </w:p>
          <w:p>
            <w:pPr>
              <w:rPr>
                <w:lang w:val="en-GB"/>
              </w:rPr>
            </w:pPr>
            <w:r>
              <w:rPr>
                <w:rFonts w:hint="eastAsia"/>
                <w:lang w:val="en-GB"/>
              </w:rPr>
              <w:t>4、节约能源：人员能做到人走灯灭，下班离开时设备及时关闭，节约用电；</w:t>
            </w:r>
          </w:p>
          <w:p>
            <w:pPr>
              <w:rPr>
                <w:lang w:val="en-GB"/>
              </w:rPr>
            </w:pPr>
            <w:r>
              <w:rPr>
                <w:rFonts w:hint="eastAsia"/>
                <w:lang w:val="en-GB"/>
              </w:rPr>
              <w:t>5、潜在火灾管控：现场查看车间配备有灭火器，车间物料无易燃物质，灭火器定期进行巡检并登记。</w:t>
            </w:r>
          </w:p>
          <w:p>
            <w:pPr>
              <w:rPr>
                <w:lang w:val="en-GB"/>
              </w:rPr>
            </w:pPr>
            <w:r>
              <w:rPr>
                <w:rFonts w:hint="eastAsia"/>
                <w:lang w:val="en-GB"/>
              </w:rPr>
              <w:t>6、每天上班时间不超过8小时。为员工安排了体检。</w:t>
            </w:r>
          </w:p>
          <w:p>
            <w:pPr>
              <w:rPr>
                <w:lang w:val="en-GB"/>
              </w:rPr>
            </w:pPr>
            <w:r>
              <w:rPr>
                <w:rFonts w:hint="eastAsia"/>
                <w:lang w:val="en-GB"/>
              </w:rPr>
              <w:t>7、机械伤害控制：查企业制定了《基础设施控制程序》、设备操作规程并发放到生产部，在机加工过程中严格遵守各项操作规程，安全生产，文明生产。企业制定有《整经机设备操作规程》《金属织网机操作规程》等安全操作规程并张贴在车间墙上醒目位置；能提供防止员工意外伤害加重的急救药品如创可贴、杀菌药水等。</w:t>
            </w:r>
          </w:p>
          <w:p>
            <w:pPr>
              <w:rPr>
                <w:lang w:val="en-GB"/>
              </w:rPr>
            </w:pPr>
            <w:r>
              <w:rPr>
                <w:rFonts w:hint="eastAsia"/>
                <w:lang w:val="en-GB"/>
              </w:rPr>
              <w:t>现场巡视车间各设备对应位置均张贴有应急处置卡、安全操作规程；设备上有警报装置和急停按钮。</w:t>
            </w:r>
          </w:p>
          <w:p>
            <w:pPr>
              <w:rPr>
                <w:lang w:val="en-GB"/>
              </w:rPr>
            </w:pPr>
            <w:r>
              <w:rPr>
                <w:rFonts w:hint="eastAsia"/>
                <w:lang w:val="en-GB"/>
              </w:rPr>
              <w:t>8、车间运转物料使用液压叉车。装卸货物注意防护，物品摆放高度适宜，防止物体打击、坠物砸伤。</w:t>
            </w:r>
          </w:p>
          <w:p>
            <w:pPr>
              <w:rPr>
                <w:lang w:val="en-GB"/>
              </w:rPr>
            </w:pPr>
            <w:r>
              <w:rPr>
                <w:rFonts w:hint="eastAsia"/>
                <w:lang w:val="en-GB"/>
              </w:rPr>
              <w:t>9、安全防护：提供了劳保用品发放记录，公司给员工发放手套、口罩等劳保用品，查看劳保用品有领用记录。</w:t>
            </w:r>
          </w:p>
          <w:p>
            <w:pPr>
              <w:rPr>
                <w:rFonts w:hint="eastAsia"/>
                <w:lang w:val="en-GB"/>
              </w:rPr>
            </w:pPr>
            <w:r>
              <w:rPr>
                <w:rFonts w:hint="eastAsia"/>
                <w:lang w:val="en-GB"/>
              </w:rPr>
              <w:t>10、交通安全：对员工和出现场人员进行安全教育，教育人员遵守道路交通安全法，车辆定期年检。进厂送货车辆进入厂区后减速行驶，不超过5KM/小时。</w:t>
            </w:r>
          </w:p>
          <w:p>
            <w:pPr>
              <w:rPr>
                <w:rFonts w:hint="default"/>
                <w:lang w:val="en-US" w:eastAsia="zh-CN"/>
              </w:rPr>
            </w:pPr>
            <w:r>
              <w:rPr>
                <w:rFonts w:hint="eastAsia"/>
                <w:lang w:val="en-US" w:eastAsia="zh-CN"/>
              </w:rPr>
              <w:t>场内货物运转使用叉车，按要求进行了登记和检测，人员持证上岗。</w:t>
            </w:r>
          </w:p>
          <w:p>
            <w:pPr>
              <w:rPr>
                <w:lang w:val="en-GB"/>
              </w:rPr>
            </w:pPr>
            <w:r>
              <w:rPr>
                <w:rFonts w:hint="eastAsia"/>
                <w:lang w:val="en-GB"/>
              </w:rPr>
              <w:t>●现场查看：生产车间内有张贴有 “设备安全操作规程”“安全十须知”“编织机安全操作规程”等各种设备操作规程、应急处置卡，张贴在车间墙上醒目位置。现场查看车间各工序设备摆放合理，自动化程度较高，各设备运转正常，设备装有报警装置、急停按钮，人员操作方法合理，并佩带要相应的防护措施，操作人员穿戴口罩、手套等安全防护用品。人员下班能及时关闭设备。车间有0</w:t>
            </w:r>
            <w:r>
              <w:rPr>
                <w:lang w:val="en-GB"/>
              </w:rPr>
              <w:t>.8</w:t>
            </w:r>
            <w:r>
              <w:rPr>
                <w:rFonts w:hint="eastAsia"/>
                <w:lang w:val="en-GB"/>
              </w:rPr>
              <w:t>m³空压机，人员均培训了使用操作规程。</w:t>
            </w:r>
          </w:p>
          <w:p>
            <w:pPr>
              <w:rPr>
                <w:lang w:val="en-GB"/>
              </w:rPr>
            </w:pPr>
            <w:r>
              <w:rPr>
                <w:rFonts w:hint="eastAsia"/>
                <w:lang w:val="en-GB"/>
              </w:rPr>
              <w:t>现场观察到操作工能熟练操作，抽查一名员工，知道一定的应急处置措施和安全防护知识。</w:t>
            </w:r>
          </w:p>
          <w:p>
            <w:pPr>
              <w:rPr>
                <w:lang w:val="en-GB"/>
              </w:rPr>
            </w:pPr>
            <w:r>
              <w:rPr>
                <w:rFonts w:hint="eastAsia"/>
                <w:lang w:val="en-GB"/>
              </w:rPr>
              <w:t xml:space="preserve">车间作业现场自动化程度较高，无严重职业健康危害因素，编织机等机加工设备有运转噪声，通过保养维护和减震措施，通过厂房衰减。风险整体可控。 </w:t>
            </w:r>
          </w:p>
          <w:p>
            <w:pPr>
              <w:rPr>
                <w:lang w:val="en-GB"/>
              </w:rPr>
            </w:pPr>
            <w:r>
              <w:rPr>
                <w:rFonts w:hint="eastAsia"/>
                <w:lang w:val="en-GB"/>
              </w:rPr>
              <w:t>生产车间内现场设备按工艺布局，电线布线合理，电线均处于完好状态，无裸露，设备有接地及保护装置，控制柜及漏电</w:t>
            </w:r>
          </w:p>
          <w:p>
            <w:pPr>
              <w:rPr>
                <w:lang w:val="en-GB"/>
              </w:rPr>
            </w:pPr>
            <w:r>
              <w:rPr>
                <w:rFonts w:hint="eastAsia"/>
                <w:lang w:val="en-GB"/>
              </w:rPr>
              <w:t>保护器状态良好。设备有报警装置和急停按钮。车间配备有灭火器。车间固废分类存放，定期外售。</w:t>
            </w:r>
          </w:p>
          <w:p>
            <w:pPr>
              <w:rPr>
                <w:color w:val="1F497D" w:themeColor="text2"/>
              </w:rPr>
            </w:pPr>
            <w:r>
              <w:rPr>
                <w:rFonts w:hint="eastAsia"/>
                <w:color w:val="1F497D" w:themeColor="text2"/>
              </w:rPr>
              <w:t>但审核发现，成品仓库东门口处有一台灭火器失效。-</w:t>
            </w:r>
            <w:r>
              <w:rPr>
                <w:color w:val="1F497D" w:themeColor="text2"/>
              </w:rPr>
              <w:t>-</w:t>
            </w:r>
            <w:r>
              <w:rPr>
                <w:rFonts w:hint="eastAsia"/>
                <w:color w:val="1F497D" w:themeColor="text2"/>
              </w:rPr>
              <w:t>不符合。</w:t>
            </w:r>
          </w:p>
          <w:p>
            <w:pPr>
              <w:rPr>
                <w:lang w:val="en-GB"/>
              </w:rPr>
            </w:pPr>
          </w:p>
          <w:p>
            <w:pPr>
              <w:pStyle w:val="2"/>
              <w:ind w:firstLine="0" w:firstLineChars="83"/>
              <w:rPr>
                <w:rFonts w:ascii="宋体" w:hAnsi="宋体"/>
                <w:snapToGrid w:val="0"/>
                <w:color w:val="000000"/>
                <w:w w:val="0"/>
                <w:kern w:val="0"/>
                <w:sz w:val="0"/>
                <w:szCs w:val="0"/>
                <w:u w:color="000000"/>
                <w:shd w:val="clear" w:color="000000" w:fill="000000"/>
                <w:lang w:val="zh-CN" w:bidi="zh-CN"/>
              </w:rPr>
            </w:pPr>
          </w:p>
          <w:p>
            <w:pPr>
              <w:pStyle w:val="2"/>
              <w:ind w:firstLine="0" w:firstLineChars="83"/>
              <w:rPr>
                <w:rFonts w:eastAsia="Times New Roman"/>
                <w:snapToGrid w:val="0"/>
                <w:color w:val="000000"/>
                <w:w w:val="0"/>
                <w:sz w:val="0"/>
                <w:szCs w:val="0"/>
                <w:u w:color="000000"/>
                <w:shd w:val="clear" w:color="000000" w:fill="000000"/>
                <w:lang w:val="zh-CN" w:eastAsia="zh-CN" w:bidi="zh-CN"/>
              </w:rPr>
            </w:pPr>
          </w:p>
          <w:p>
            <w:pPr>
              <w:pStyle w:val="2"/>
              <w:ind w:firstLine="199" w:firstLineChars="83"/>
            </w:pPr>
            <w:r>
              <w:drawing>
                <wp:anchor distT="0" distB="0" distL="114300" distR="114300" simplePos="0" relativeHeight="251666432" behindDoc="0" locked="0" layoutInCell="1" allowOverlap="1">
                  <wp:simplePos x="0" y="0"/>
                  <wp:positionH relativeFrom="column">
                    <wp:posOffset>5274310</wp:posOffset>
                  </wp:positionH>
                  <wp:positionV relativeFrom="paragraph">
                    <wp:posOffset>42545</wp:posOffset>
                  </wp:positionV>
                  <wp:extent cx="1719580" cy="229171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19580" cy="2291715"/>
                          </a:xfrm>
                          <a:prstGeom prst="rect">
                            <a:avLst/>
                          </a:prstGeom>
                          <a:noFill/>
                          <a:ln>
                            <a:noFill/>
                          </a:ln>
                        </pic:spPr>
                      </pic:pic>
                    </a:graphicData>
                  </a:graphic>
                </wp:anchor>
              </w:drawing>
            </w:r>
            <w:r>
              <w:drawing>
                <wp:inline distT="0" distB="0" distL="0" distR="0">
                  <wp:extent cx="1705610" cy="227266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10641" cy="2279339"/>
                          </a:xfrm>
                          <a:prstGeom prst="rect">
                            <a:avLst/>
                          </a:prstGeom>
                          <a:noFill/>
                          <a:ln>
                            <a:noFill/>
                          </a:ln>
                        </pic:spPr>
                      </pic:pic>
                    </a:graphicData>
                  </a:graphic>
                </wp:inline>
              </w:drawing>
            </w:r>
            <w:r>
              <w:rPr>
                <w:rFonts w:eastAsia="Times New Roman" w:cs="Times New Roman"/>
                <w:snapToGrid w:val="0"/>
                <w:color w:val="000000"/>
                <w:w w:val="0"/>
                <w:kern w:val="0"/>
                <w:sz w:val="0"/>
                <w:szCs w:val="0"/>
                <w:u w:color="000000"/>
                <w:shd w:val="clear" w:color="000000" w:fill="000000"/>
                <w:lang w:val="zh-CN" w:eastAsia="zh-CN" w:bidi="zh-CN"/>
              </w:rPr>
              <w:t xml:space="preserve"> </w:t>
            </w:r>
            <w:r>
              <w:drawing>
                <wp:inline distT="0" distB="0" distL="0" distR="0">
                  <wp:extent cx="1689735" cy="225171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99809" cy="2264905"/>
                          </a:xfrm>
                          <a:prstGeom prst="rect">
                            <a:avLst/>
                          </a:prstGeom>
                          <a:noFill/>
                          <a:ln>
                            <a:noFill/>
                          </a:ln>
                        </pic:spPr>
                      </pic:pic>
                    </a:graphicData>
                  </a:graphic>
                </wp:inline>
              </w:drawing>
            </w:r>
            <w:r>
              <w:rPr>
                <w:rFonts w:eastAsia="Times New Roman" w:cs="Times New Roman"/>
                <w:snapToGrid w:val="0"/>
                <w:color w:val="000000"/>
                <w:w w:val="0"/>
                <w:kern w:val="0"/>
                <w:sz w:val="0"/>
                <w:szCs w:val="0"/>
                <w:u w:color="000000"/>
                <w:shd w:val="clear" w:color="000000" w:fill="000000"/>
                <w:lang w:val="zh-CN" w:eastAsia="zh-CN" w:bidi="zh-CN"/>
              </w:rPr>
              <w:t xml:space="preserve"> </w:t>
            </w:r>
            <w:r>
              <w:rPr>
                <w:rFonts w:eastAsia="Times New Roman" w:cs="Times New Roman"/>
                <w:snapToGrid w:val="0"/>
                <w:color w:val="000000"/>
                <w:w w:val="0"/>
                <w:kern w:val="0"/>
                <w:sz w:val="0"/>
                <w:szCs w:val="0"/>
                <w:u w:color="000000"/>
                <w:shd w:val="clear" w:color="000000" w:fill="000000"/>
                <w:lang w:val="zh-CN" w:eastAsia="zh-CN" w:bidi="zh-CN"/>
              </w:rPr>
              <w:drawing>
                <wp:inline distT="0" distB="0" distL="0" distR="0">
                  <wp:extent cx="1710055" cy="227901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17882" cy="2288988"/>
                          </a:xfrm>
                          <a:prstGeom prst="rect">
                            <a:avLst/>
                          </a:prstGeom>
                          <a:noFill/>
                          <a:ln>
                            <a:noFill/>
                          </a:ln>
                        </pic:spPr>
                      </pic:pic>
                    </a:graphicData>
                  </a:graphic>
                </wp:inline>
              </w:drawing>
            </w:r>
          </w:p>
          <w:p>
            <w:pPr>
              <w:pStyle w:val="2"/>
              <w:ind w:firstLine="420"/>
              <w:rPr>
                <w:rFonts w:cs="Times New Roman"/>
                <w:sz w:val="21"/>
                <w:lang w:val="en-GB"/>
              </w:rPr>
            </w:pPr>
            <w:r>
              <w:rPr>
                <w:rFonts w:hint="eastAsia" w:cs="Times New Roman"/>
                <w:sz w:val="21"/>
                <w:lang w:val="en-GB"/>
              </w:rPr>
              <w:t xml:space="preserve">安全标识 </w:t>
            </w:r>
            <w:r>
              <w:rPr>
                <w:rFonts w:cs="Times New Roman"/>
                <w:sz w:val="21"/>
                <w:lang w:val="en-GB"/>
              </w:rPr>
              <w:t xml:space="preserve">                                              </w:t>
            </w:r>
            <w:r>
              <w:rPr>
                <w:rFonts w:hint="eastAsia" w:cs="Times New Roman"/>
                <w:sz w:val="21"/>
                <w:lang w:val="en-GB"/>
              </w:rPr>
              <w:t xml:space="preserve">操作规程 </w:t>
            </w:r>
            <w:r>
              <w:rPr>
                <w:rFonts w:cs="Times New Roman"/>
                <w:sz w:val="21"/>
                <w:lang w:val="en-GB"/>
              </w:rPr>
              <w:t xml:space="preserve">                </w:t>
            </w:r>
            <w:r>
              <w:rPr>
                <w:rFonts w:hint="eastAsia" w:cs="Times New Roman"/>
                <w:sz w:val="21"/>
                <w:lang w:val="en-GB"/>
              </w:rPr>
              <w:t>库房</w:t>
            </w:r>
          </w:p>
          <w:p>
            <w:pPr>
              <w:pStyle w:val="2"/>
              <w:ind w:firstLine="0" w:firstLineChars="0"/>
            </w:pPr>
            <w:r>
              <w:drawing>
                <wp:anchor distT="0" distB="0" distL="114300" distR="114300" simplePos="0" relativeHeight="251661312" behindDoc="0" locked="0" layoutInCell="1" allowOverlap="1">
                  <wp:simplePos x="0" y="0"/>
                  <wp:positionH relativeFrom="column">
                    <wp:posOffset>5391785</wp:posOffset>
                  </wp:positionH>
                  <wp:positionV relativeFrom="paragraph">
                    <wp:posOffset>120015</wp:posOffset>
                  </wp:positionV>
                  <wp:extent cx="1767205" cy="235458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67205" cy="235458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3649980</wp:posOffset>
                  </wp:positionH>
                  <wp:positionV relativeFrom="paragraph">
                    <wp:posOffset>148590</wp:posOffset>
                  </wp:positionV>
                  <wp:extent cx="1725930" cy="2334895"/>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25930" cy="233489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1811655</wp:posOffset>
                  </wp:positionH>
                  <wp:positionV relativeFrom="paragraph">
                    <wp:posOffset>118110</wp:posOffset>
                  </wp:positionV>
                  <wp:extent cx="1794510" cy="2391410"/>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4510" cy="239141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-17780</wp:posOffset>
                  </wp:positionH>
                  <wp:positionV relativeFrom="paragraph">
                    <wp:posOffset>140335</wp:posOffset>
                  </wp:positionV>
                  <wp:extent cx="1807845" cy="2408555"/>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7845" cy="2408555"/>
                          </a:xfrm>
                          <a:prstGeom prst="rect">
                            <a:avLst/>
                          </a:prstGeom>
                          <a:noFill/>
                          <a:ln>
                            <a:noFill/>
                          </a:ln>
                        </pic:spPr>
                      </pic:pic>
                    </a:graphicData>
                  </a:graphic>
                </wp:anchor>
              </w:drawing>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20"/>
              <w:rPr>
                <w:rFonts w:cs="Times New Roman"/>
                <w:sz w:val="21"/>
                <w:lang w:val="en-GB"/>
              </w:rPr>
            </w:pPr>
          </w:p>
          <w:p>
            <w:pPr>
              <w:pStyle w:val="2"/>
              <w:ind w:firstLine="420"/>
              <w:rPr>
                <w:rFonts w:cs="Times New Roman"/>
                <w:sz w:val="21"/>
                <w:lang w:val="en-GB"/>
              </w:rPr>
            </w:pPr>
            <w:r>
              <w:rPr>
                <w:rFonts w:hint="eastAsia" w:cs="Times New Roman"/>
                <w:sz w:val="21"/>
                <w:lang w:val="en-GB"/>
              </w:rPr>
              <w:t xml:space="preserve">操作规程 </w:t>
            </w:r>
            <w:r>
              <w:rPr>
                <w:rFonts w:cs="Times New Roman"/>
                <w:sz w:val="21"/>
                <w:lang w:val="en-GB"/>
              </w:rPr>
              <w:t xml:space="preserve">                  </w:t>
            </w:r>
            <w:r>
              <w:rPr>
                <w:rFonts w:hint="eastAsia" w:cs="Times New Roman"/>
                <w:sz w:val="21"/>
                <w:lang w:val="en-GB"/>
              </w:rPr>
              <w:t xml:space="preserve">控制面板、急停按钮 </w:t>
            </w:r>
            <w:r>
              <w:rPr>
                <w:rFonts w:cs="Times New Roman"/>
                <w:sz w:val="21"/>
                <w:lang w:val="en-GB"/>
              </w:rPr>
              <w:t xml:space="preserve">          </w:t>
            </w:r>
            <w:r>
              <w:rPr>
                <w:rFonts w:hint="eastAsia" w:cs="Times New Roman"/>
                <w:sz w:val="21"/>
                <w:lang w:val="en-GB"/>
              </w:rPr>
              <w:t xml:space="preserve">固废分类 </w:t>
            </w:r>
            <w:r>
              <w:rPr>
                <w:rFonts w:cs="Times New Roman"/>
                <w:sz w:val="21"/>
                <w:lang w:val="en-GB"/>
              </w:rPr>
              <w:t xml:space="preserve">                  </w:t>
            </w:r>
            <w:r>
              <w:rPr>
                <w:rFonts w:hint="eastAsia" w:cs="Times New Roman"/>
                <w:sz w:val="21"/>
                <w:lang w:val="en-GB"/>
              </w:rPr>
              <w:t xml:space="preserve">车间灭火器 </w:t>
            </w:r>
            <w:r>
              <w:rPr>
                <w:rFonts w:cs="Times New Roman"/>
                <w:sz w:val="21"/>
                <w:lang w:val="en-GB"/>
              </w:rPr>
              <w:t xml:space="preserve">                  </w:t>
            </w:r>
          </w:p>
          <w:p>
            <w:pPr>
              <w:pStyle w:val="2"/>
              <w:ind w:firstLine="420"/>
              <w:rPr>
                <w:rFonts w:cs="Times New Roman"/>
                <w:sz w:val="21"/>
                <w:lang w:val="en-GB"/>
              </w:rPr>
            </w:pPr>
          </w:p>
          <w:p>
            <w:pPr>
              <w:pStyle w:val="2"/>
              <w:ind w:firstLine="480"/>
              <w:rPr>
                <w:rFonts w:cs="Times New Roman"/>
                <w:sz w:val="21"/>
                <w:lang w:val="en-GB"/>
              </w:rPr>
            </w:pPr>
            <w:r>
              <w:drawing>
                <wp:inline distT="0" distB="0" distL="114300" distR="114300">
                  <wp:extent cx="1712595" cy="2292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1716025" cy="2296878"/>
                          </a:xfrm>
                          <a:prstGeom prst="rect">
                            <a:avLst/>
                          </a:prstGeom>
                          <a:noFill/>
                          <a:ln>
                            <a:noFill/>
                          </a:ln>
                        </pic:spPr>
                      </pic:pic>
                    </a:graphicData>
                  </a:graphic>
                </wp:inline>
              </w:drawing>
            </w:r>
            <w:r>
              <w:drawing>
                <wp:inline distT="0" distB="0" distL="114300" distR="114300">
                  <wp:extent cx="1691005" cy="2299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1692159" cy="2301162"/>
                          </a:xfrm>
                          <a:prstGeom prst="rect">
                            <a:avLst/>
                          </a:prstGeom>
                          <a:noFill/>
                          <a:ln>
                            <a:noFill/>
                          </a:ln>
                        </pic:spPr>
                      </pic:pic>
                    </a:graphicData>
                  </a:graphic>
                </wp:inline>
              </w:drawing>
            </w:r>
          </w:p>
          <w:p>
            <w:pPr>
              <w:spacing w:before="120" w:line="360" w:lineRule="auto"/>
              <w:rPr>
                <w:rFonts w:hint="eastAsia" w:ascii="方正仿宋简体" w:eastAsia="方正仿宋简体"/>
                <w:b/>
              </w:rPr>
            </w:pPr>
            <w:r>
              <w:rPr>
                <w:rFonts w:hint="eastAsia"/>
                <w:lang w:val="en-GB"/>
              </w:rPr>
              <w:t xml:space="preserve"> </w:t>
            </w:r>
            <w:r>
              <w:rPr>
                <w:lang w:val="en-GB"/>
              </w:rPr>
              <w:t xml:space="preserve">   </w:t>
            </w:r>
            <w:r>
              <w:t xml:space="preserve"> </w:t>
            </w:r>
            <w:r>
              <w:rPr>
                <w:rFonts w:hint="eastAsia"/>
              </w:rPr>
              <w:t>成品仓库东门口处有灭火器失效</w:t>
            </w:r>
            <w:r>
              <w:t>—</w:t>
            </w:r>
            <w:r>
              <w:rPr>
                <w:rFonts w:hint="eastAsia"/>
              </w:rPr>
              <w:t>已开不符合</w:t>
            </w:r>
          </w:p>
          <w:p>
            <w:pPr>
              <w:pStyle w:val="2"/>
              <w:ind w:firstLine="0" w:firstLineChars="0"/>
              <w:rPr>
                <w:rFonts w:hint="eastAsia" w:cs="Times New Roman"/>
                <w:sz w:val="21"/>
                <w:lang w:val="en-GB"/>
              </w:rPr>
            </w:pPr>
          </w:p>
        </w:tc>
        <w:tc>
          <w:tcPr>
            <w:tcW w:w="309" w:type="pct"/>
          </w:tcPr>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1" w:type="pct"/>
            <w:vAlign w:val="center"/>
          </w:tcPr>
          <w:p>
            <w:r>
              <w:rPr>
                <w:rFonts w:hint="eastAsia" w:cs="宋体"/>
              </w:rPr>
              <w:t>应急准备和响应</w:t>
            </w:r>
          </w:p>
        </w:tc>
        <w:tc>
          <w:tcPr>
            <w:tcW w:w="337" w:type="pct"/>
            <w:vAlign w:val="center"/>
          </w:tcPr>
          <w:p>
            <w:r>
              <w:rPr>
                <w:rFonts w:hint="eastAsia"/>
              </w:rPr>
              <w:t>EO</w:t>
            </w:r>
          </w:p>
          <w:p>
            <w:r>
              <w:rPr>
                <w:rFonts w:hint="eastAsia"/>
              </w:rPr>
              <w:t>8.2</w:t>
            </w:r>
          </w:p>
        </w:tc>
        <w:tc>
          <w:tcPr>
            <w:tcW w:w="3843" w:type="pct"/>
            <w:vAlign w:val="center"/>
          </w:tcPr>
          <w:p>
            <w:r>
              <w:rPr>
                <w:rFonts w:hint="eastAsia"/>
              </w:rPr>
              <w:t>●执行公司《应急准备与响应控制程序</w:t>
            </w:r>
            <w:r>
              <w:rPr>
                <w:rFonts w:hint="eastAsia" w:ascii="宋体" w:hAnsi="宋体" w:cs="宋体"/>
                <w:b/>
                <w:bCs/>
                <w:szCs w:val="21"/>
              </w:rPr>
              <w:t>HT/CX-8.2-A0-2022</w:t>
            </w:r>
            <w:r>
              <w:rPr>
                <w:rFonts w:hint="eastAsia"/>
              </w:rPr>
              <w:t>》，参加了公司组织的应急演练。</w:t>
            </w:r>
          </w:p>
          <w:p>
            <w:r>
              <w:rPr>
                <w:rFonts w:hint="eastAsia"/>
              </w:rPr>
              <w:t>生产技术部2022年</w:t>
            </w:r>
            <w:r>
              <w:t>8</w:t>
            </w:r>
            <w:r>
              <w:rPr>
                <w:rFonts w:hint="eastAsia"/>
              </w:rPr>
              <w:t>月9日参加了公司组织的消防演练。</w:t>
            </w:r>
          </w:p>
          <w:p>
            <w:pPr>
              <w:pStyle w:val="2"/>
              <w:ind w:firstLine="0" w:firstLineChars="0"/>
            </w:pPr>
            <w:r>
              <w:rPr>
                <w:rFonts w:hint="eastAsia" w:cs="Times New Roman"/>
                <w:sz w:val="21"/>
              </w:rPr>
              <w:t>具体见办公室应急演练记录。</w:t>
            </w:r>
          </w:p>
        </w:tc>
        <w:tc>
          <w:tcPr>
            <w:tcW w:w="309" w:type="pct"/>
          </w:tcPr>
          <w:p>
            <w:pPr>
              <w:pStyle w:val="19"/>
            </w:pPr>
            <w:r>
              <w:rPr>
                <w:rFonts w:hint="eastAsia"/>
              </w:rPr>
              <w:t>Y</w:t>
            </w:r>
          </w:p>
        </w:tc>
      </w:tr>
    </w:tbl>
    <w:p>
      <w:pPr>
        <w:pStyle w:val="6"/>
        <w:rPr>
          <w:rFonts w:ascii="隶书" w:hAnsi="宋体" w:eastAsia="隶书"/>
          <w:bCs/>
          <w:color w:val="000000"/>
          <w:sz w:val="36"/>
          <w:szCs w:val="36"/>
        </w:rPr>
      </w:pPr>
    </w:p>
    <w:p>
      <w:pPr>
        <w:rPr>
          <w:rFonts w:cs="宋体"/>
        </w:rPr>
      </w:pPr>
      <w:r>
        <w:rPr>
          <w:rFonts w:hint="eastAsia" w:cs="宋体"/>
        </w:rPr>
        <w:t>注：不符合标注“N”</w:t>
      </w:r>
    </w:p>
    <w:p>
      <w:pPr>
        <w:pStyle w:val="6"/>
        <w:rPr>
          <w:rFonts w:ascii="隶书" w:hAnsi="宋体" w:eastAsia="隶书"/>
          <w:bCs/>
          <w:color w:val="000000"/>
          <w:sz w:val="36"/>
          <w:szCs w:val="36"/>
        </w:rPr>
      </w:pPr>
    </w:p>
    <w:p>
      <w:pPr>
        <w:pStyle w:val="6"/>
        <w:jc w:val="center"/>
        <w:rPr>
          <w:rFonts w:ascii="隶书" w:hAnsi="宋体" w:eastAsia="隶书"/>
          <w:bCs/>
          <w:color w:val="000000"/>
          <w:sz w:val="36"/>
          <w:szCs w:val="36"/>
        </w:rPr>
      </w:pPr>
    </w:p>
    <w:p>
      <w:pPr>
        <w:pStyle w:val="6"/>
        <w:jc w:val="center"/>
        <w:rPr>
          <w:rFonts w:ascii="隶书" w:hAnsi="宋体" w:eastAsia="隶书"/>
          <w:bCs/>
          <w:color w:val="000000"/>
          <w:sz w:val="36"/>
          <w:szCs w:val="36"/>
        </w:rPr>
      </w:pPr>
    </w:p>
    <w:p>
      <w:pPr>
        <w:pStyle w:val="6"/>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23"/>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3"/>
        <w:rFonts w:hint="default"/>
      </w:rPr>
      <w:t>北京国标联合认证有限公司</w:t>
    </w:r>
    <w:r>
      <w:rPr>
        <w:rStyle w:val="23"/>
        <w:rFonts w:hint="default"/>
      </w:rPr>
      <w:tab/>
    </w:r>
    <w:r>
      <w:rPr>
        <w:rStyle w:val="23"/>
        <w:rFonts w:hint="default"/>
      </w:rPr>
      <w:tab/>
    </w:r>
    <w:r>
      <w:rPr>
        <w:rStyle w:val="23"/>
        <w:rFonts w:hint="default"/>
      </w:rPr>
      <w:tab/>
    </w:r>
  </w:p>
  <w:p>
    <w:pPr>
      <w:pStyle w:val="12"/>
      <w:pBdr>
        <w:bottom w:val="none" w:color="auto" w:sz="0" w:space="0"/>
      </w:pBdr>
      <w:spacing w:line="320" w:lineRule="exact"/>
      <w:ind w:firstLine="720" w:firstLineChars="400"/>
      <w:jc w:val="left"/>
    </w:pPr>
    <w:r>
      <w:pict>
        <v:shape id="_x0000_s3073" o:spid="_x0000_s3073"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23"/>
        <w:rFonts w:hint="default"/>
        <w:w w:val="90"/>
      </w:rPr>
      <w:t>Beijing International Standard united Certification Co.,Ltd.</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pStyle w:val="25"/>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yZWEwNTJkZmJlNThmOGIyN2MwMTRiZTI2ODcwNWIifQ=="/>
    <w:docVar w:name="KSO_WPS_MARK_KEY" w:val="6a15c9d4-a19b-446c-8d38-4685bde7589a"/>
  </w:docVars>
  <w:rsids>
    <w:rsidRoot w:val="00172A27"/>
    <w:rsid w:val="00013567"/>
    <w:rsid w:val="000140EB"/>
    <w:rsid w:val="00021848"/>
    <w:rsid w:val="00026D72"/>
    <w:rsid w:val="00033385"/>
    <w:rsid w:val="0003659A"/>
    <w:rsid w:val="000446B9"/>
    <w:rsid w:val="00051592"/>
    <w:rsid w:val="0006145E"/>
    <w:rsid w:val="00072A39"/>
    <w:rsid w:val="00076125"/>
    <w:rsid w:val="00083BC3"/>
    <w:rsid w:val="000A154C"/>
    <w:rsid w:val="000B4A92"/>
    <w:rsid w:val="000C36F3"/>
    <w:rsid w:val="000C4ACB"/>
    <w:rsid w:val="000D7B7B"/>
    <w:rsid w:val="000E2732"/>
    <w:rsid w:val="001041C5"/>
    <w:rsid w:val="00123246"/>
    <w:rsid w:val="001260F1"/>
    <w:rsid w:val="001427D7"/>
    <w:rsid w:val="00145E50"/>
    <w:rsid w:val="00157FD6"/>
    <w:rsid w:val="00160A39"/>
    <w:rsid w:val="00165E6E"/>
    <w:rsid w:val="001661A1"/>
    <w:rsid w:val="00172A27"/>
    <w:rsid w:val="001821B1"/>
    <w:rsid w:val="001867DB"/>
    <w:rsid w:val="0018700F"/>
    <w:rsid w:val="001A50FB"/>
    <w:rsid w:val="001C72C6"/>
    <w:rsid w:val="001D0DB4"/>
    <w:rsid w:val="001F3ADA"/>
    <w:rsid w:val="001F42FE"/>
    <w:rsid w:val="00204924"/>
    <w:rsid w:val="00207C6E"/>
    <w:rsid w:val="00211DB6"/>
    <w:rsid w:val="00212460"/>
    <w:rsid w:val="00223A24"/>
    <w:rsid w:val="002254EB"/>
    <w:rsid w:val="002360D5"/>
    <w:rsid w:val="00236F20"/>
    <w:rsid w:val="00251D2E"/>
    <w:rsid w:val="00290B4E"/>
    <w:rsid w:val="002A1318"/>
    <w:rsid w:val="002A3C5D"/>
    <w:rsid w:val="002A3CD4"/>
    <w:rsid w:val="002A623A"/>
    <w:rsid w:val="002C589D"/>
    <w:rsid w:val="002E2DFE"/>
    <w:rsid w:val="002E6964"/>
    <w:rsid w:val="002E74C7"/>
    <w:rsid w:val="002F09A6"/>
    <w:rsid w:val="002F2502"/>
    <w:rsid w:val="002F477A"/>
    <w:rsid w:val="00310FB8"/>
    <w:rsid w:val="00312095"/>
    <w:rsid w:val="0032118A"/>
    <w:rsid w:val="0032334E"/>
    <w:rsid w:val="00334864"/>
    <w:rsid w:val="00355F46"/>
    <w:rsid w:val="0035685F"/>
    <w:rsid w:val="00357846"/>
    <w:rsid w:val="003675EE"/>
    <w:rsid w:val="00380FF9"/>
    <w:rsid w:val="0038473B"/>
    <w:rsid w:val="00397A02"/>
    <w:rsid w:val="003B2E16"/>
    <w:rsid w:val="003D0F6E"/>
    <w:rsid w:val="003D3EDA"/>
    <w:rsid w:val="003F218C"/>
    <w:rsid w:val="00400DCC"/>
    <w:rsid w:val="004045B8"/>
    <w:rsid w:val="00405AA8"/>
    <w:rsid w:val="004121DE"/>
    <w:rsid w:val="00420E26"/>
    <w:rsid w:val="004239A3"/>
    <w:rsid w:val="00434D9A"/>
    <w:rsid w:val="00435B26"/>
    <w:rsid w:val="00441793"/>
    <w:rsid w:val="004529DE"/>
    <w:rsid w:val="00471A8E"/>
    <w:rsid w:val="00482E71"/>
    <w:rsid w:val="0049261B"/>
    <w:rsid w:val="004B4C77"/>
    <w:rsid w:val="00505289"/>
    <w:rsid w:val="005173ED"/>
    <w:rsid w:val="00522133"/>
    <w:rsid w:val="005331E3"/>
    <w:rsid w:val="00551187"/>
    <w:rsid w:val="00585411"/>
    <w:rsid w:val="0059033B"/>
    <w:rsid w:val="005920E3"/>
    <w:rsid w:val="005A35F8"/>
    <w:rsid w:val="005B12EE"/>
    <w:rsid w:val="005D4F86"/>
    <w:rsid w:val="005E6605"/>
    <w:rsid w:val="00600FFE"/>
    <w:rsid w:val="006010BE"/>
    <w:rsid w:val="006046B1"/>
    <w:rsid w:val="00614400"/>
    <w:rsid w:val="00616C88"/>
    <w:rsid w:val="00623DB8"/>
    <w:rsid w:val="0064216D"/>
    <w:rsid w:val="00651601"/>
    <w:rsid w:val="00653FED"/>
    <w:rsid w:val="00654DB6"/>
    <w:rsid w:val="006624E8"/>
    <w:rsid w:val="00677C75"/>
    <w:rsid w:val="00687DEA"/>
    <w:rsid w:val="006A0CE0"/>
    <w:rsid w:val="006A2897"/>
    <w:rsid w:val="006C0FA1"/>
    <w:rsid w:val="006F58B6"/>
    <w:rsid w:val="0071269C"/>
    <w:rsid w:val="0071280F"/>
    <w:rsid w:val="00714C74"/>
    <w:rsid w:val="00715AD7"/>
    <w:rsid w:val="00742F6F"/>
    <w:rsid w:val="00744C8F"/>
    <w:rsid w:val="0075460D"/>
    <w:rsid w:val="00755FAA"/>
    <w:rsid w:val="007618BC"/>
    <w:rsid w:val="00774406"/>
    <w:rsid w:val="00782772"/>
    <w:rsid w:val="007878F3"/>
    <w:rsid w:val="007A3C37"/>
    <w:rsid w:val="007B0BBE"/>
    <w:rsid w:val="007B5841"/>
    <w:rsid w:val="007D01FD"/>
    <w:rsid w:val="007E39F0"/>
    <w:rsid w:val="007F0014"/>
    <w:rsid w:val="007F45E9"/>
    <w:rsid w:val="007F4E9F"/>
    <w:rsid w:val="007F6029"/>
    <w:rsid w:val="007F749C"/>
    <w:rsid w:val="00824FC1"/>
    <w:rsid w:val="00834733"/>
    <w:rsid w:val="00836165"/>
    <w:rsid w:val="008375BE"/>
    <w:rsid w:val="00844632"/>
    <w:rsid w:val="008708AE"/>
    <w:rsid w:val="008711DD"/>
    <w:rsid w:val="00874E05"/>
    <w:rsid w:val="0088308D"/>
    <w:rsid w:val="0088483B"/>
    <w:rsid w:val="008929A8"/>
    <w:rsid w:val="008A39AA"/>
    <w:rsid w:val="008C3BD9"/>
    <w:rsid w:val="008C7931"/>
    <w:rsid w:val="008F3646"/>
    <w:rsid w:val="00905D8D"/>
    <w:rsid w:val="00905F79"/>
    <w:rsid w:val="009135B2"/>
    <w:rsid w:val="00941503"/>
    <w:rsid w:val="009446A0"/>
    <w:rsid w:val="0094500A"/>
    <w:rsid w:val="009537E3"/>
    <w:rsid w:val="00961CA6"/>
    <w:rsid w:val="00962BED"/>
    <w:rsid w:val="009712C5"/>
    <w:rsid w:val="00975325"/>
    <w:rsid w:val="009809B6"/>
    <w:rsid w:val="00981DF4"/>
    <w:rsid w:val="009936A6"/>
    <w:rsid w:val="009A70B7"/>
    <w:rsid w:val="009B4E68"/>
    <w:rsid w:val="009B5238"/>
    <w:rsid w:val="009B6BE0"/>
    <w:rsid w:val="009B6EDF"/>
    <w:rsid w:val="009C0B29"/>
    <w:rsid w:val="009C44D5"/>
    <w:rsid w:val="009C6DD0"/>
    <w:rsid w:val="009D0F0A"/>
    <w:rsid w:val="00A002FB"/>
    <w:rsid w:val="00A15291"/>
    <w:rsid w:val="00A165A1"/>
    <w:rsid w:val="00A301F6"/>
    <w:rsid w:val="00A45C76"/>
    <w:rsid w:val="00A57690"/>
    <w:rsid w:val="00A67554"/>
    <w:rsid w:val="00A7157B"/>
    <w:rsid w:val="00A77992"/>
    <w:rsid w:val="00A93020"/>
    <w:rsid w:val="00A97D96"/>
    <w:rsid w:val="00AA0DAB"/>
    <w:rsid w:val="00AA720D"/>
    <w:rsid w:val="00AB02C6"/>
    <w:rsid w:val="00AB161A"/>
    <w:rsid w:val="00AB4282"/>
    <w:rsid w:val="00AC1DBD"/>
    <w:rsid w:val="00AE42D5"/>
    <w:rsid w:val="00AE5013"/>
    <w:rsid w:val="00AF4E34"/>
    <w:rsid w:val="00B00216"/>
    <w:rsid w:val="00B15FD5"/>
    <w:rsid w:val="00B30A2C"/>
    <w:rsid w:val="00B31601"/>
    <w:rsid w:val="00B42D5F"/>
    <w:rsid w:val="00B566E4"/>
    <w:rsid w:val="00B6409C"/>
    <w:rsid w:val="00BA2C64"/>
    <w:rsid w:val="00BB2606"/>
    <w:rsid w:val="00BB7A1E"/>
    <w:rsid w:val="00BC2F18"/>
    <w:rsid w:val="00BD08F8"/>
    <w:rsid w:val="00BD718F"/>
    <w:rsid w:val="00BF20E7"/>
    <w:rsid w:val="00C029A2"/>
    <w:rsid w:val="00C02E35"/>
    <w:rsid w:val="00C072AC"/>
    <w:rsid w:val="00C32D32"/>
    <w:rsid w:val="00C342F5"/>
    <w:rsid w:val="00C37726"/>
    <w:rsid w:val="00C43D2E"/>
    <w:rsid w:val="00C44682"/>
    <w:rsid w:val="00C56CE3"/>
    <w:rsid w:val="00C57F19"/>
    <w:rsid w:val="00C65889"/>
    <w:rsid w:val="00C65CAC"/>
    <w:rsid w:val="00C66521"/>
    <w:rsid w:val="00C7571F"/>
    <w:rsid w:val="00C8683C"/>
    <w:rsid w:val="00C97E70"/>
    <w:rsid w:val="00CA14AB"/>
    <w:rsid w:val="00CB14CA"/>
    <w:rsid w:val="00CB446F"/>
    <w:rsid w:val="00CE78CA"/>
    <w:rsid w:val="00CF6AF0"/>
    <w:rsid w:val="00D07043"/>
    <w:rsid w:val="00D071E7"/>
    <w:rsid w:val="00D10CAC"/>
    <w:rsid w:val="00D172D1"/>
    <w:rsid w:val="00D34CC3"/>
    <w:rsid w:val="00D46365"/>
    <w:rsid w:val="00D50829"/>
    <w:rsid w:val="00D60D85"/>
    <w:rsid w:val="00D80CA6"/>
    <w:rsid w:val="00D8740F"/>
    <w:rsid w:val="00D96736"/>
    <w:rsid w:val="00D9741F"/>
    <w:rsid w:val="00DA5F3B"/>
    <w:rsid w:val="00DD51B4"/>
    <w:rsid w:val="00DD7CD7"/>
    <w:rsid w:val="00DF0D72"/>
    <w:rsid w:val="00DF0F45"/>
    <w:rsid w:val="00DF3BF6"/>
    <w:rsid w:val="00DF7526"/>
    <w:rsid w:val="00E01F63"/>
    <w:rsid w:val="00E02EF8"/>
    <w:rsid w:val="00E0336F"/>
    <w:rsid w:val="00E13F5C"/>
    <w:rsid w:val="00E16C0B"/>
    <w:rsid w:val="00E31828"/>
    <w:rsid w:val="00E3278A"/>
    <w:rsid w:val="00E43C8D"/>
    <w:rsid w:val="00E51194"/>
    <w:rsid w:val="00E613B7"/>
    <w:rsid w:val="00E65E64"/>
    <w:rsid w:val="00E720D9"/>
    <w:rsid w:val="00E807C2"/>
    <w:rsid w:val="00E9536F"/>
    <w:rsid w:val="00EB360F"/>
    <w:rsid w:val="00EC4750"/>
    <w:rsid w:val="00ED3BD4"/>
    <w:rsid w:val="00ED4B5B"/>
    <w:rsid w:val="00EE4515"/>
    <w:rsid w:val="00EE6AC2"/>
    <w:rsid w:val="00EF1633"/>
    <w:rsid w:val="00F00191"/>
    <w:rsid w:val="00F04800"/>
    <w:rsid w:val="00F05C2A"/>
    <w:rsid w:val="00F1178D"/>
    <w:rsid w:val="00F21C1A"/>
    <w:rsid w:val="00F24FCD"/>
    <w:rsid w:val="00F50FDB"/>
    <w:rsid w:val="00F739D9"/>
    <w:rsid w:val="00F771AA"/>
    <w:rsid w:val="00F848E2"/>
    <w:rsid w:val="00F8779D"/>
    <w:rsid w:val="00F926EC"/>
    <w:rsid w:val="00FA1B8C"/>
    <w:rsid w:val="00FA7BEF"/>
    <w:rsid w:val="00FB191E"/>
    <w:rsid w:val="00FD3D3F"/>
    <w:rsid w:val="00FD5223"/>
    <w:rsid w:val="00FF180E"/>
    <w:rsid w:val="00FF3FF2"/>
    <w:rsid w:val="011C32F2"/>
    <w:rsid w:val="012263CD"/>
    <w:rsid w:val="01282E62"/>
    <w:rsid w:val="01842762"/>
    <w:rsid w:val="01955289"/>
    <w:rsid w:val="01A4698D"/>
    <w:rsid w:val="01FA0FD9"/>
    <w:rsid w:val="02523B07"/>
    <w:rsid w:val="025739FF"/>
    <w:rsid w:val="02837B03"/>
    <w:rsid w:val="028D0AA4"/>
    <w:rsid w:val="02B50726"/>
    <w:rsid w:val="02C85F12"/>
    <w:rsid w:val="02CD3CC1"/>
    <w:rsid w:val="032C18A2"/>
    <w:rsid w:val="033F31F1"/>
    <w:rsid w:val="037800D1"/>
    <w:rsid w:val="03D42E2E"/>
    <w:rsid w:val="03DA63F1"/>
    <w:rsid w:val="03DD1CE2"/>
    <w:rsid w:val="045333A8"/>
    <w:rsid w:val="0462668B"/>
    <w:rsid w:val="047A22F0"/>
    <w:rsid w:val="048C6EE4"/>
    <w:rsid w:val="049D76C3"/>
    <w:rsid w:val="053F161D"/>
    <w:rsid w:val="05972EAF"/>
    <w:rsid w:val="05AA02EA"/>
    <w:rsid w:val="05AD1B88"/>
    <w:rsid w:val="066B43AF"/>
    <w:rsid w:val="06986394"/>
    <w:rsid w:val="06993CE0"/>
    <w:rsid w:val="069A69A2"/>
    <w:rsid w:val="06AE7966"/>
    <w:rsid w:val="06B56F46"/>
    <w:rsid w:val="06C642C0"/>
    <w:rsid w:val="070659F4"/>
    <w:rsid w:val="071602E4"/>
    <w:rsid w:val="07554285"/>
    <w:rsid w:val="076F0163"/>
    <w:rsid w:val="07834179"/>
    <w:rsid w:val="07CD02C0"/>
    <w:rsid w:val="07E725D1"/>
    <w:rsid w:val="07F4584C"/>
    <w:rsid w:val="080D2DB2"/>
    <w:rsid w:val="08112C28"/>
    <w:rsid w:val="087F5A5E"/>
    <w:rsid w:val="089D7C92"/>
    <w:rsid w:val="08D55A15"/>
    <w:rsid w:val="08E753B1"/>
    <w:rsid w:val="08F06A48"/>
    <w:rsid w:val="091268D2"/>
    <w:rsid w:val="09175C96"/>
    <w:rsid w:val="091F0FEF"/>
    <w:rsid w:val="0933642F"/>
    <w:rsid w:val="095261F1"/>
    <w:rsid w:val="0955726C"/>
    <w:rsid w:val="099C3EDE"/>
    <w:rsid w:val="09A908B8"/>
    <w:rsid w:val="09AB5FE4"/>
    <w:rsid w:val="0A482F82"/>
    <w:rsid w:val="0A57028D"/>
    <w:rsid w:val="0A647F66"/>
    <w:rsid w:val="0A6D017A"/>
    <w:rsid w:val="0A7113D6"/>
    <w:rsid w:val="0A93759F"/>
    <w:rsid w:val="0AA542C9"/>
    <w:rsid w:val="0AAB206E"/>
    <w:rsid w:val="0AF81AF7"/>
    <w:rsid w:val="0B46289C"/>
    <w:rsid w:val="0B5D1FB9"/>
    <w:rsid w:val="0B957346"/>
    <w:rsid w:val="0BC17E1F"/>
    <w:rsid w:val="0C5745FC"/>
    <w:rsid w:val="0C5E598A"/>
    <w:rsid w:val="0C8148FB"/>
    <w:rsid w:val="0C874E63"/>
    <w:rsid w:val="0CB5709F"/>
    <w:rsid w:val="0CB81F92"/>
    <w:rsid w:val="0CC815A3"/>
    <w:rsid w:val="0CE02843"/>
    <w:rsid w:val="0D0C188A"/>
    <w:rsid w:val="0D18022F"/>
    <w:rsid w:val="0D305579"/>
    <w:rsid w:val="0D4E7FF2"/>
    <w:rsid w:val="0D57284E"/>
    <w:rsid w:val="0D7911B7"/>
    <w:rsid w:val="0D9759E8"/>
    <w:rsid w:val="0DA941E4"/>
    <w:rsid w:val="0DF36210"/>
    <w:rsid w:val="0E010CC3"/>
    <w:rsid w:val="0E0F46AC"/>
    <w:rsid w:val="0E146C48"/>
    <w:rsid w:val="0E425735"/>
    <w:rsid w:val="0E861CE7"/>
    <w:rsid w:val="0E8869F3"/>
    <w:rsid w:val="0ED62150"/>
    <w:rsid w:val="0F03021F"/>
    <w:rsid w:val="0F040A6B"/>
    <w:rsid w:val="0F461C36"/>
    <w:rsid w:val="0F4E6AA9"/>
    <w:rsid w:val="0F5F0397"/>
    <w:rsid w:val="0F6239E3"/>
    <w:rsid w:val="0F6D5D93"/>
    <w:rsid w:val="0F7554C5"/>
    <w:rsid w:val="0FD61CDB"/>
    <w:rsid w:val="0FDC3796"/>
    <w:rsid w:val="10AF4A06"/>
    <w:rsid w:val="10B71B0D"/>
    <w:rsid w:val="10FA04FC"/>
    <w:rsid w:val="110D7335"/>
    <w:rsid w:val="11186A50"/>
    <w:rsid w:val="121F3E0E"/>
    <w:rsid w:val="12235033"/>
    <w:rsid w:val="12244F80"/>
    <w:rsid w:val="12296A3A"/>
    <w:rsid w:val="12C02EFB"/>
    <w:rsid w:val="12DB7D35"/>
    <w:rsid w:val="12FE7EC7"/>
    <w:rsid w:val="13097082"/>
    <w:rsid w:val="1340228E"/>
    <w:rsid w:val="134A19ED"/>
    <w:rsid w:val="13837902"/>
    <w:rsid w:val="138C54D3"/>
    <w:rsid w:val="140137CB"/>
    <w:rsid w:val="140E53EF"/>
    <w:rsid w:val="1417616F"/>
    <w:rsid w:val="142851FC"/>
    <w:rsid w:val="142E34B0"/>
    <w:rsid w:val="14443E5B"/>
    <w:rsid w:val="144E09DA"/>
    <w:rsid w:val="148A7C64"/>
    <w:rsid w:val="148C39B2"/>
    <w:rsid w:val="149E5DB4"/>
    <w:rsid w:val="14A10B0A"/>
    <w:rsid w:val="14A140BF"/>
    <w:rsid w:val="14E32ED1"/>
    <w:rsid w:val="151237B6"/>
    <w:rsid w:val="158463ED"/>
    <w:rsid w:val="15E83562"/>
    <w:rsid w:val="161948F8"/>
    <w:rsid w:val="161B17EB"/>
    <w:rsid w:val="16247C45"/>
    <w:rsid w:val="16262248"/>
    <w:rsid w:val="16294BEA"/>
    <w:rsid w:val="162D5764"/>
    <w:rsid w:val="16726C02"/>
    <w:rsid w:val="16802341"/>
    <w:rsid w:val="168801D3"/>
    <w:rsid w:val="16F5338F"/>
    <w:rsid w:val="1755215E"/>
    <w:rsid w:val="178105D0"/>
    <w:rsid w:val="17B95C4B"/>
    <w:rsid w:val="17E72CD8"/>
    <w:rsid w:val="182757CA"/>
    <w:rsid w:val="187E3513"/>
    <w:rsid w:val="192C0F19"/>
    <w:rsid w:val="19355CC5"/>
    <w:rsid w:val="194C01BE"/>
    <w:rsid w:val="19680B28"/>
    <w:rsid w:val="19791DF2"/>
    <w:rsid w:val="19A846E9"/>
    <w:rsid w:val="19DC491F"/>
    <w:rsid w:val="1A0F2A33"/>
    <w:rsid w:val="1A16534C"/>
    <w:rsid w:val="1A204BC7"/>
    <w:rsid w:val="1A294FCF"/>
    <w:rsid w:val="1A5535FC"/>
    <w:rsid w:val="1A954C6D"/>
    <w:rsid w:val="1A995373"/>
    <w:rsid w:val="1A9F7253"/>
    <w:rsid w:val="1AAC2C73"/>
    <w:rsid w:val="1AC75042"/>
    <w:rsid w:val="1B4239E1"/>
    <w:rsid w:val="1BA62EAA"/>
    <w:rsid w:val="1BB11F7A"/>
    <w:rsid w:val="1BE97638"/>
    <w:rsid w:val="1C2C7853"/>
    <w:rsid w:val="1C58634D"/>
    <w:rsid w:val="1C8B122A"/>
    <w:rsid w:val="1D0600A4"/>
    <w:rsid w:val="1D170C59"/>
    <w:rsid w:val="1D1B6E43"/>
    <w:rsid w:val="1D436C02"/>
    <w:rsid w:val="1D556162"/>
    <w:rsid w:val="1DA5015E"/>
    <w:rsid w:val="1DA5166B"/>
    <w:rsid w:val="1DA653E3"/>
    <w:rsid w:val="1DC31AF1"/>
    <w:rsid w:val="1DC43E7C"/>
    <w:rsid w:val="1DF736E1"/>
    <w:rsid w:val="1E3D18A3"/>
    <w:rsid w:val="1E635082"/>
    <w:rsid w:val="1E670E70"/>
    <w:rsid w:val="1EA71413"/>
    <w:rsid w:val="1EB9594C"/>
    <w:rsid w:val="1EC831EB"/>
    <w:rsid w:val="1ED307E2"/>
    <w:rsid w:val="1EF32C5F"/>
    <w:rsid w:val="1F0625DD"/>
    <w:rsid w:val="1F0A3BEB"/>
    <w:rsid w:val="1F1A7E37"/>
    <w:rsid w:val="1F2E38E2"/>
    <w:rsid w:val="1F2F6360"/>
    <w:rsid w:val="1F7D399A"/>
    <w:rsid w:val="1F856DAB"/>
    <w:rsid w:val="1F8A493F"/>
    <w:rsid w:val="1FB61837"/>
    <w:rsid w:val="1FCD30FB"/>
    <w:rsid w:val="1FEE6024"/>
    <w:rsid w:val="201063F5"/>
    <w:rsid w:val="204D5FEA"/>
    <w:rsid w:val="206A094A"/>
    <w:rsid w:val="206D21E8"/>
    <w:rsid w:val="207C79FC"/>
    <w:rsid w:val="20997235"/>
    <w:rsid w:val="20CE5D86"/>
    <w:rsid w:val="21C1390C"/>
    <w:rsid w:val="21CC7047"/>
    <w:rsid w:val="21F16621"/>
    <w:rsid w:val="22097CEF"/>
    <w:rsid w:val="22130B27"/>
    <w:rsid w:val="222039B6"/>
    <w:rsid w:val="222A53DB"/>
    <w:rsid w:val="226118D9"/>
    <w:rsid w:val="2265358C"/>
    <w:rsid w:val="227855A0"/>
    <w:rsid w:val="22853819"/>
    <w:rsid w:val="22D36C7A"/>
    <w:rsid w:val="235602E5"/>
    <w:rsid w:val="23571659"/>
    <w:rsid w:val="238D0D17"/>
    <w:rsid w:val="238F1507"/>
    <w:rsid w:val="239006C7"/>
    <w:rsid w:val="2398654C"/>
    <w:rsid w:val="23C22EE2"/>
    <w:rsid w:val="23C860B3"/>
    <w:rsid w:val="23CA4387"/>
    <w:rsid w:val="24353877"/>
    <w:rsid w:val="24426220"/>
    <w:rsid w:val="244B0A92"/>
    <w:rsid w:val="246F1264"/>
    <w:rsid w:val="24C26FE9"/>
    <w:rsid w:val="24E61397"/>
    <w:rsid w:val="251D30A0"/>
    <w:rsid w:val="25457DBB"/>
    <w:rsid w:val="25714529"/>
    <w:rsid w:val="25931B77"/>
    <w:rsid w:val="25950217"/>
    <w:rsid w:val="25977C55"/>
    <w:rsid w:val="25EB42DB"/>
    <w:rsid w:val="26C345E8"/>
    <w:rsid w:val="27090EBD"/>
    <w:rsid w:val="2718762A"/>
    <w:rsid w:val="272A2BE1"/>
    <w:rsid w:val="27506FC9"/>
    <w:rsid w:val="2752510C"/>
    <w:rsid w:val="27574277"/>
    <w:rsid w:val="275E25EC"/>
    <w:rsid w:val="278E3170"/>
    <w:rsid w:val="279A7D67"/>
    <w:rsid w:val="27CA237A"/>
    <w:rsid w:val="27D8088F"/>
    <w:rsid w:val="27DB7654"/>
    <w:rsid w:val="27FE1768"/>
    <w:rsid w:val="280276BA"/>
    <w:rsid w:val="28645A2F"/>
    <w:rsid w:val="28966C30"/>
    <w:rsid w:val="28987B9E"/>
    <w:rsid w:val="28B44E58"/>
    <w:rsid w:val="28F2772E"/>
    <w:rsid w:val="292A511A"/>
    <w:rsid w:val="2944442E"/>
    <w:rsid w:val="29840D86"/>
    <w:rsid w:val="29996CC8"/>
    <w:rsid w:val="29D92A4C"/>
    <w:rsid w:val="29F81BE8"/>
    <w:rsid w:val="2A2C559A"/>
    <w:rsid w:val="2A895E70"/>
    <w:rsid w:val="2A9A2789"/>
    <w:rsid w:val="2AE57DE8"/>
    <w:rsid w:val="2B125E66"/>
    <w:rsid w:val="2B577D1D"/>
    <w:rsid w:val="2B581C2C"/>
    <w:rsid w:val="2BCA6D78"/>
    <w:rsid w:val="2BD559B4"/>
    <w:rsid w:val="2BD82C0B"/>
    <w:rsid w:val="2BE1079C"/>
    <w:rsid w:val="2C024716"/>
    <w:rsid w:val="2C64742D"/>
    <w:rsid w:val="2CC969F8"/>
    <w:rsid w:val="2CED0939"/>
    <w:rsid w:val="2CF726C7"/>
    <w:rsid w:val="2D140503"/>
    <w:rsid w:val="2D157E8F"/>
    <w:rsid w:val="2D2A393B"/>
    <w:rsid w:val="2D424A3C"/>
    <w:rsid w:val="2D6A7F4C"/>
    <w:rsid w:val="2D6C3F53"/>
    <w:rsid w:val="2D7864AB"/>
    <w:rsid w:val="2D8E211C"/>
    <w:rsid w:val="2DCF44E2"/>
    <w:rsid w:val="2DDF0A87"/>
    <w:rsid w:val="2DE405F9"/>
    <w:rsid w:val="2E400F3C"/>
    <w:rsid w:val="2E6764C9"/>
    <w:rsid w:val="2E70537D"/>
    <w:rsid w:val="2E9F5C62"/>
    <w:rsid w:val="2EC83D8C"/>
    <w:rsid w:val="2F2B5748"/>
    <w:rsid w:val="2F5F4DFE"/>
    <w:rsid w:val="2F666780"/>
    <w:rsid w:val="2FA31782"/>
    <w:rsid w:val="2FBE7E66"/>
    <w:rsid w:val="2FE01DC9"/>
    <w:rsid w:val="300F0BC6"/>
    <w:rsid w:val="30131FAD"/>
    <w:rsid w:val="3048367F"/>
    <w:rsid w:val="305D4027"/>
    <w:rsid w:val="306453B6"/>
    <w:rsid w:val="30CE6A2C"/>
    <w:rsid w:val="30D83F84"/>
    <w:rsid w:val="310B76AB"/>
    <w:rsid w:val="31172428"/>
    <w:rsid w:val="31174143"/>
    <w:rsid w:val="311D5D13"/>
    <w:rsid w:val="311E2B2F"/>
    <w:rsid w:val="3126266B"/>
    <w:rsid w:val="31845AF8"/>
    <w:rsid w:val="31B201DD"/>
    <w:rsid w:val="31BB1005"/>
    <w:rsid w:val="31C25868"/>
    <w:rsid w:val="31D02F2B"/>
    <w:rsid w:val="31D9137F"/>
    <w:rsid w:val="31FB2A20"/>
    <w:rsid w:val="32BC3287"/>
    <w:rsid w:val="32C27B60"/>
    <w:rsid w:val="32E20814"/>
    <w:rsid w:val="32FC7B27"/>
    <w:rsid w:val="33063EDA"/>
    <w:rsid w:val="33155620"/>
    <w:rsid w:val="33264F6B"/>
    <w:rsid w:val="332C1E5A"/>
    <w:rsid w:val="3333106F"/>
    <w:rsid w:val="338E5414"/>
    <w:rsid w:val="33E83C08"/>
    <w:rsid w:val="33EB5818"/>
    <w:rsid w:val="340D2DD0"/>
    <w:rsid w:val="342A6A66"/>
    <w:rsid w:val="34425A0E"/>
    <w:rsid w:val="344C23E9"/>
    <w:rsid w:val="34516A90"/>
    <w:rsid w:val="347A0611"/>
    <w:rsid w:val="34951FE2"/>
    <w:rsid w:val="34A75871"/>
    <w:rsid w:val="34BD4BA2"/>
    <w:rsid w:val="34E73E31"/>
    <w:rsid w:val="34F07218"/>
    <w:rsid w:val="350445E2"/>
    <w:rsid w:val="35586B6B"/>
    <w:rsid w:val="357C4FF0"/>
    <w:rsid w:val="359F1CD5"/>
    <w:rsid w:val="35AD3F57"/>
    <w:rsid w:val="360D5BA8"/>
    <w:rsid w:val="36121410"/>
    <w:rsid w:val="364A6DFC"/>
    <w:rsid w:val="36F17277"/>
    <w:rsid w:val="37076A9B"/>
    <w:rsid w:val="37176880"/>
    <w:rsid w:val="371F710E"/>
    <w:rsid w:val="37217B5C"/>
    <w:rsid w:val="372E2279"/>
    <w:rsid w:val="37985945"/>
    <w:rsid w:val="37C36BD9"/>
    <w:rsid w:val="37D050DF"/>
    <w:rsid w:val="37D317E8"/>
    <w:rsid w:val="37E64902"/>
    <w:rsid w:val="3870237E"/>
    <w:rsid w:val="38961E84"/>
    <w:rsid w:val="38AC5838"/>
    <w:rsid w:val="38C02141"/>
    <w:rsid w:val="395A3BD0"/>
    <w:rsid w:val="39765215"/>
    <w:rsid w:val="39822409"/>
    <w:rsid w:val="399860D0"/>
    <w:rsid w:val="399A6A80"/>
    <w:rsid w:val="39FA4695"/>
    <w:rsid w:val="39FE4185"/>
    <w:rsid w:val="39FF3A59"/>
    <w:rsid w:val="3A1D33B8"/>
    <w:rsid w:val="3A30455A"/>
    <w:rsid w:val="3A3867EE"/>
    <w:rsid w:val="3A3A1C12"/>
    <w:rsid w:val="3A6F3596"/>
    <w:rsid w:val="3A706705"/>
    <w:rsid w:val="3A8328DC"/>
    <w:rsid w:val="3A9C574C"/>
    <w:rsid w:val="3AA770DD"/>
    <w:rsid w:val="3AAB598F"/>
    <w:rsid w:val="3AD279CD"/>
    <w:rsid w:val="3B072ADF"/>
    <w:rsid w:val="3BA86E4D"/>
    <w:rsid w:val="3BF42EE7"/>
    <w:rsid w:val="3BFA04A9"/>
    <w:rsid w:val="3BFC2946"/>
    <w:rsid w:val="3C215F09"/>
    <w:rsid w:val="3C3B1043"/>
    <w:rsid w:val="3C50777E"/>
    <w:rsid w:val="3C902148"/>
    <w:rsid w:val="3C9C1A33"/>
    <w:rsid w:val="3CF0309B"/>
    <w:rsid w:val="3CF63839"/>
    <w:rsid w:val="3CFF58C3"/>
    <w:rsid w:val="3D1B5640"/>
    <w:rsid w:val="3D430101"/>
    <w:rsid w:val="3D5210F2"/>
    <w:rsid w:val="3D5D7415"/>
    <w:rsid w:val="3D5F4520"/>
    <w:rsid w:val="3D8F7591"/>
    <w:rsid w:val="3DA07AD8"/>
    <w:rsid w:val="3DFD4754"/>
    <w:rsid w:val="3E1026D9"/>
    <w:rsid w:val="3E130E71"/>
    <w:rsid w:val="3E13183F"/>
    <w:rsid w:val="3E3B7BEB"/>
    <w:rsid w:val="3E5604CF"/>
    <w:rsid w:val="3E6B790F"/>
    <w:rsid w:val="3E833AAE"/>
    <w:rsid w:val="3E8A3B75"/>
    <w:rsid w:val="3EAF5881"/>
    <w:rsid w:val="3EB412B6"/>
    <w:rsid w:val="3EBA43F3"/>
    <w:rsid w:val="3EDE747D"/>
    <w:rsid w:val="3EEC39BF"/>
    <w:rsid w:val="3F103E47"/>
    <w:rsid w:val="3F161E6C"/>
    <w:rsid w:val="3F2B709E"/>
    <w:rsid w:val="3F30107F"/>
    <w:rsid w:val="3F42776D"/>
    <w:rsid w:val="3F43088C"/>
    <w:rsid w:val="3F4F7037"/>
    <w:rsid w:val="3F6F78D3"/>
    <w:rsid w:val="3F7722E4"/>
    <w:rsid w:val="3FE71217"/>
    <w:rsid w:val="3FFC40F9"/>
    <w:rsid w:val="402358E4"/>
    <w:rsid w:val="40385F17"/>
    <w:rsid w:val="403B2FAA"/>
    <w:rsid w:val="40955117"/>
    <w:rsid w:val="414032D5"/>
    <w:rsid w:val="416D3A05"/>
    <w:rsid w:val="41AE46E3"/>
    <w:rsid w:val="41BA5992"/>
    <w:rsid w:val="41FA7928"/>
    <w:rsid w:val="421D3C7F"/>
    <w:rsid w:val="42350960"/>
    <w:rsid w:val="423F7C62"/>
    <w:rsid w:val="4258678C"/>
    <w:rsid w:val="42666D6B"/>
    <w:rsid w:val="42750D5C"/>
    <w:rsid w:val="42B44C7C"/>
    <w:rsid w:val="42D71A17"/>
    <w:rsid w:val="42F75C15"/>
    <w:rsid w:val="42F921F5"/>
    <w:rsid w:val="42FA0482"/>
    <w:rsid w:val="436332AB"/>
    <w:rsid w:val="43686B13"/>
    <w:rsid w:val="437E1E93"/>
    <w:rsid w:val="438111E1"/>
    <w:rsid w:val="43BB6C43"/>
    <w:rsid w:val="43FB34E3"/>
    <w:rsid w:val="44000F96"/>
    <w:rsid w:val="444C4A3E"/>
    <w:rsid w:val="446E1F07"/>
    <w:rsid w:val="44767327"/>
    <w:rsid w:val="447B63D2"/>
    <w:rsid w:val="448939E8"/>
    <w:rsid w:val="448B4867"/>
    <w:rsid w:val="44986F84"/>
    <w:rsid w:val="44E4041B"/>
    <w:rsid w:val="4582210E"/>
    <w:rsid w:val="45E06E35"/>
    <w:rsid w:val="45F12DF0"/>
    <w:rsid w:val="46014AC2"/>
    <w:rsid w:val="462336CA"/>
    <w:rsid w:val="463A06F9"/>
    <w:rsid w:val="464C44CA"/>
    <w:rsid w:val="468974CC"/>
    <w:rsid w:val="46B34549"/>
    <w:rsid w:val="46DA1AD6"/>
    <w:rsid w:val="47076371"/>
    <w:rsid w:val="470D5BB3"/>
    <w:rsid w:val="475278BE"/>
    <w:rsid w:val="478A7058"/>
    <w:rsid w:val="4820176A"/>
    <w:rsid w:val="483D2F97"/>
    <w:rsid w:val="4846162B"/>
    <w:rsid w:val="48A91760"/>
    <w:rsid w:val="48EC5AF0"/>
    <w:rsid w:val="48F21359"/>
    <w:rsid w:val="48FF5824"/>
    <w:rsid w:val="49096D51"/>
    <w:rsid w:val="492A29FA"/>
    <w:rsid w:val="49B979FB"/>
    <w:rsid w:val="49DB003F"/>
    <w:rsid w:val="4A065CCD"/>
    <w:rsid w:val="4A21681C"/>
    <w:rsid w:val="4A224033"/>
    <w:rsid w:val="4A7933B4"/>
    <w:rsid w:val="4AE4195E"/>
    <w:rsid w:val="4AE515FF"/>
    <w:rsid w:val="4B045373"/>
    <w:rsid w:val="4B1C090F"/>
    <w:rsid w:val="4B4439C2"/>
    <w:rsid w:val="4BA17066"/>
    <w:rsid w:val="4BB125CF"/>
    <w:rsid w:val="4BD411EA"/>
    <w:rsid w:val="4BDC2C88"/>
    <w:rsid w:val="4BEA4569"/>
    <w:rsid w:val="4C067384"/>
    <w:rsid w:val="4C422E07"/>
    <w:rsid w:val="4C5F211F"/>
    <w:rsid w:val="4C6D1A42"/>
    <w:rsid w:val="4CC95367"/>
    <w:rsid w:val="4CEA5E5F"/>
    <w:rsid w:val="4CFC3801"/>
    <w:rsid w:val="4D7B7443"/>
    <w:rsid w:val="4D8A359A"/>
    <w:rsid w:val="4DB8446C"/>
    <w:rsid w:val="4DDC25D7"/>
    <w:rsid w:val="4E2645D9"/>
    <w:rsid w:val="4E432B3D"/>
    <w:rsid w:val="4E484948"/>
    <w:rsid w:val="4E4E112E"/>
    <w:rsid w:val="4E6014DC"/>
    <w:rsid w:val="4E906B84"/>
    <w:rsid w:val="4EC0220F"/>
    <w:rsid w:val="4EE27962"/>
    <w:rsid w:val="4F135B85"/>
    <w:rsid w:val="4F416B96"/>
    <w:rsid w:val="4F5246EB"/>
    <w:rsid w:val="4F9D0EFE"/>
    <w:rsid w:val="4FA64C4B"/>
    <w:rsid w:val="4FB6748A"/>
    <w:rsid w:val="50534713"/>
    <w:rsid w:val="505A1BA0"/>
    <w:rsid w:val="505C090C"/>
    <w:rsid w:val="5065032C"/>
    <w:rsid w:val="507E1724"/>
    <w:rsid w:val="50B26E4E"/>
    <w:rsid w:val="50CA4969"/>
    <w:rsid w:val="512A5408"/>
    <w:rsid w:val="512F2A1E"/>
    <w:rsid w:val="515A73E2"/>
    <w:rsid w:val="51713A23"/>
    <w:rsid w:val="5191315A"/>
    <w:rsid w:val="51B153A0"/>
    <w:rsid w:val="51B178D7"/>
    <w:rsid w:val="521961E1"/>
    <w:rsid w:val="524C787C"/>
    <w:rsid w:val="52541547"/>
    <w:rsid w:val="52622E1E"/>
    <w:rsid w:val="52BF7DD2"/>
    <w:rsid w:val="530028C4"/>
    <w:rsid w:val="533505B9"/>
    <w:rsid w:val="533B19FC"/>
    <w:rsid w:val="53634C01"/>
    <w:rsid w:val="53937294"/>
    <w:rsid w:val="53C71634"/>
    <w:rsid w:val="53D70873"/>
    <w:rsid w:val="53EC33B3"/>
    <w:rsid w:val="53F57F4F"/>
    <w:rsid w:val="547552EE"/>
    <w:rsid w:val="54887ACF"/>
    <w:rsid w:val="54AA6F8B"/>
    <w:rsid w:val="553E7190"/>
    <w:rsid w:val="55911EF9"/>
    <w:rsid w:val="559D43FA"/>
    <w:rsid w:val="55AF412E"/>
    <w:rsid w:val="55CA2C97"/>
    <w:rsid w:val="562B5EAA"/>
    <w:rsid w:val="56306A8D"/>
    <w:rsid w:val="56595C72"/>
    <w:rsid w:val="566C29CD"/>
    <w:rsid w:val="567535C9"/>
    <w:rsid w:val="56A8690E"/>
    <w:rsid w:val="56E147BB"/>
    <w:rsid w:val="56EA7907"/>
    <w:rsid w:val="573828A1"/>
    <w:rsid w:val="575925A3"/>
    <w:rsid w:val="578A6C00"/>
    <w:rsid w:val="5794182D"/>
    <w:rsid w:val="57C04574"/>
    <w:rsid w:val="57DD5F3B"/>
    <w:rsid w:val="57E069DE"/>
    <w:rsid w:val="57F61A9D"/>
    <w:rsid w:val="582708F3"/>
    <w:rsid w:val="58A753F3"/>
    <w:rsid w:val="58C116F7"/>
    <w:rsid w:val="58C34BCC"/>
    <w:rsid w:val="58EF7663"/>
    <w:rsid w:val="59144D9C"/>
    <w:rsid w:val="59684D1F"/>
    <w:rsid w:val="596C2A61"/>
    <w:rsid w:val="59A4342A"/>
    <w:rsid w:val="59C23AC5"/>
    <w:rsid w:val="5A211504"/>
    <w:rsid w:val="5A44578C"/>
    <w:rsid w:val="5A736072"/>
    <w:rsid w:val="5A7F4A16"/>
    <w:rsid w:val="5AAB580B"/>
    <w:rsid w:val="5AC43E16"/>
    <w:rsid w:val="5B0E5935"/>
    <w:rsid w:val="5B160185"/>
    <w:rsid w:val="5B435A44"/>
    <w:rsid w:val="5B44356A"/>
    <w:rsid w:val="5B4E0839"/>
    <w:rsid w:val="5B6D2AC1"/>
    <w:rsid w:val="5B8F6EDB"/>
    <w:rsid w:val="5C8A7B5D"/>
    <w:rsid w:val="5C90184F"/>
    <w:rsid w:val="5D691E5B"/>
    <w:rsid w:val="5D8C3D01"/>
    <w:rsid w:val="5D987ED9"/>
    <w:rsid w:val="5DA91E5B"/>
    <w:rsid w:val="5DB449D7"/>
    <w:rsid w:val="5DD60DF1"/>
    <w:rsid w:val="5DDB4A18"/>
    <w:rsid w:val="5E300D21"/>
    <w:rsid w:val="5E543AC4"/>
    <w:rsid w:val="5E9465B6"/>
    <w:rsid w:val="5EA8095C"/>
    <w:rsid w:val="5EB36458"/>
    <w:rsid w:val="5EBA4D07"/>
    <w:rsid w:val="5EBB7FE7"/>
    <w:rsid w:val="5EBD5071"/>
    <w:rsid w:val="5ECE43A1"/>
    <w:rsid w:val="5EF41EF5"/>
    <w:rsid w:val="5EFF1C82"/>
    <w:rsid w:val="5EFF572F"/>
    <w:rsid w:val="5F0D0843"/>
    <w:rsid w:val="5F5F0FB8"/>
    <w:rsid w:val="5F7B38FD"/>
    <w:rsid w:val="5F7E4D8D"/>
    <w:rsid w:val="5F8B6CA4"/>
    <w:rsid w:val="5F95080F"/>
    <w:rsid w:val="5F9542C3"/>
    <w:rsid w:val="5FB92B44"/>
    <w:rsid w:val="5FFE462F"/>
    <w:rsid w:val="6025396A"/>
    <w:rsid w:val="603A402A"/>
    <w:rsid w:val="604C0FCC"/>
    <w:rsid w:val="6081589C"/>
    <w:rsid w:val="608F34D9"/>
    <w:rsid w:val="60C04D97"/>
    <w:rsid w:val="60F041D8"/>
    <w:rsid w:val="60F15F42"/>
    <w:rsid w:val="60FD48E7"/>
    <w:rsid w:val="61354081"/>
    <w:rsid w:val="6155177A"/>
    <w:rsid w:val="618E553F"/>
    <w:rsid w:val="61903BE7"/>
    <w:rsid w:val="61960A21"/>
    <w:rsid w:val="61DF5AFF"/>
    <w:rsid w:val="61ED04B8"/>
    <w:rsid w:val="6247665C"/>
    <w:rsid w:val="6248062A"/>
    <w:rsid w:val="624B1348"/>
    <w:rsid w:val="626F3307"/>
    <w:rsid w:val="627E086B"/>
    <w:rsid w:val="627E55B4"/>
    <w:rsid w:val="62853BC4"/>
    <w:rsid w:val="62AE1EC2"/>
    <w:rsid w:val="634B193A"/>
    <w:rsid w:val="636613E1"/>
    <w:rsid w:val="63892462"/>
    <w:rsid w:val="638F0C6D"/>
    <w:rsid w:val="639130C5"/>
    <w:rsid w:val="63BA5E61"/>
    <w:rsid w:val="63CA5825"/>
    <w:rsid w:val="63D538F9"/>
    <w:rsid w:val="6417181C"/>
    <w:rsid w:val="646F3406"/>
    <w:rsid w:val="64722EF6"/>
    <w:rsid w:val="64C179D9"/>
    <w:rsid w:val="64CC0858"/>
    <w:rsid w:val="64D8544F"/>
    <w:rsid w:val="64F47DAF"/>
    <w:rsid w:val="650E0E71"/>
    <w:rsid w:val="651E019D"/>
    <w:rsid w:val="656C2C83"/>
    <w:rsid w:val="657A1AA1"/>
    <w:rsid w:val="658D65D9"/>
    <w:rsid w:val="658E35C5"/>
    <w:rsid w:val="659A0956"/>
    <w:rsid w:val="65B4393D"/>
    <w:rsid w:val="65DC4ACB"/>
    <w:rsid w:val="66067D9A"/>
    <w:rsid w:val="663112CB"/>
    <w:rsid w:val="66365258"/>
    <w:rsid w:val="664A7C0A"/>
    <w:rsid w:val="666653FA"/>
    <w:rsid w:val="66D25ECE"/>
    <w:rsid w:val="66F627FA"/>
    <w:rsid w:val="670F0ED0"/>
    <w:rsid w:val="67310E46"/>
    <w:rsid w:val="67A535E2"/>
    <w:rsid w:val="67F87BB6"/>
    <w:rsid w:val="683E7CBF"/>
    <w:rsid w:val="684A43D1"/>
    <w:rsid w:val="685B4D0D"/>
    <w:rsid w:val="68684A5C"/>
    <w:rsid w:val="68993147"/>
    <w:rsid w:val="689B6EBF"/>
    <w:rsid w:val="68F23C58"/>
    <w:rsid w:val="68F452C7"/>
    <w:rsid w:val="69004F3B"/>
    <w:rsid w:val="691B497C"/>
    <w:rsid w:val="698060B5"/>
    <w:rsid w:val="69E421A0"/>
    <w:rsid w:val="6A023D8F"/>
    <w:rsid w:val="6A114F5F"/>
    <w:rsid w:val="6A2230B3"/>
    <w:rsid w:val="6A4C5F97"/>
    <w:rsid w:val="6A4E61B3"/>
    <w:rsid w:val="6A831AF0"/>
    <w:rsid w:val="6A83774D"/>
    <w:rsid w:val="6AA162E3"/>
    <w:rsid w:val="6AB06526"/>
    <w:rsid w:val="6B0B7C00"/>
    <w:rsid w:val="6B1637B6"/>
    <w:rsid w:val="6B3B04E6"/>
    <w:rsid w:val="6B674B73"/>
    <w:rsid w:val="6B6932A5"/>
    <w:rsid w:val="6B8F67CD"/>
    <w:rsid w:val="6BF479FF"/>
    <w:rsid w:val="6C4038DA"/>
    <w:rsid w:val="6C423718"/>
    <w:rsid w:val="6C507FC1"/>
    <w:rsid w:val="6C67530A"/>
    <w:rsid w:val="6C9874AC"/>
    <w:rsid w:val="6CA9147F"/>
    <w:rsid w:val="6CCF5389"/>
    <w:rsid w:val="6CDA5ADC"/>
    <w:rsid w:val="6D414939"/>
    <w:rsid w:val="6D532C4E"/>
    <w:rsid w:val="6D836174"/>
    <w:rsid w:val="6DAA1F98"/>
    <w:rsid w:val="6E0E20CE"/>
    <w:rsid w:val="6E3918BE"/>
    <w:rsid w:val="6EA3225C"/>
    <w:rsid w:val="6EAD16FA"/>
    <w:rsid w:val="6F046E40"/>
    <w:rsid w:val="6F1A5811"/>
    <w:rsid w:val="6F3767C1"/>
    <w:rsid w:val="6F5463D0"/>
    <w:rsid w:val="6F612A76"/>
    <w:rsid w:val="6F745D74"/>
    <w:rsid w:val="6FA03EB6"/>
    <w:rsid w:val="6FC20673"/>
    <w:rsid w:val="6FD131C7"/>
    <w:rsid w:val="6FEE0979"/>
    <w:rsid w:val="707F6841"/>
    <w:rsid w:val="70C40F7D"/>
    <w:rsid w:val="70E34831"/>
    <w:rsid w:val="70EE5FFA"/>
    <w:rsid w:val="70EF1F9B"/>
    <w:rsid w:val="70F829D5"/>
    <w:rsid w:val="71211781"/>
    <w:rsid w:val="713C0B14"/>
    <w:rsid w:val="71583B88"/>
    <w:rsid w:val="7170694F"/>
    <w:rsid w:val="719E7794"/>
    <w:rsid w:val="71A42C8B"/>
    <w:rsid w:val="71A87053"/>
    <w:rsid w:val="71C1726B"/>
    <w:rsid w:val="71CF64C6"/>
    <w:rsid w:val="720C2BDC"/>
    <w:rsid w:val="721F290F"/>
    <w:rsid w:val="72216EF5"/>
    <w:rsid w:val="7236678B"/>
    <w:rsid w:val="723A2DA8"/>
    <w:rsid w:val="723B26D6"/>
    <w:rsid w:val="72435ED2"/>
    <w:rsid w:val="72486967"/>
    <w:rsid w:val="725D7955"/>
    <w:rsid w:val="729606F7"/>
    <w:rsid w:val="72A41658"/>
    <w:rsid w:val="72AF3281"/>
    <w:rsid w:val="72C81D85"/>
    <w:rsid w:val="72E505AA"/>
    <w:rsid w:val="72F606FE"/>
    <w:rsid w:val="734D1F8A"/>
    <w:rsid w:val="735008A6"/>
    <w:rsid w:val="73740A39"/>
    <w:rsid w:val="73843460"/>
    <w:rsid w:val="73A82490"/>
    <w:rsid w:val="73C0372C"/>
    <w:rsid w:val="73C10152"/>
    <w:rsid w:val="742F2BB2"/>
    <w:rsid w:val="743C3640"/>
    <w:rsid w:val="74A0585D"/>
    <w:rsid w:val="74F7526D"/>
    <w:rsid w:val="75104791"/>
    <w:rsid w:val="7546771A"/>
    <w:rsid w:val="758C7D84"/>
    <w:rsid w:val="75AB44BA"/>
    <w:rsid w:val="76263B40"/>
    <w:rsid w:val="762C1A00"/>
    <w:rsid w:val="763A22AD"/>
    <w:rsid w:val="76880357"/>
    <w:rsid w:val="76DD5309"/>
    <w:rsid w:val="77217EB5"/>
    <w:rsid w:val="772A140E"/>
    <w:rsid w:val="777C610E"/>
    <w:rsid w:val="77E76882"/>
    <w:rsid w:val="77EA751B"/>
    <w:rsid w:val="78395DAD"/>
    <w:rsid w:val="78890175"/>
    <w:rsid w:val="799043B8"/>
    <w:rsid w:val="79A25BD4"/>
    <w:rsid w:val="7A2B3E1B"/>
    <w:rsid w:val="7A771C84"/>
    <w:rsid w:val="7AAF67FA"/>
    <w:rsid w:val="7AB304EA"/>
    <w:rsid w:val="7ABB2CBA"/>
    <w:rsid w:val="7AD41DBD"/>
    <w:rsid w:val="7ADA0446"/>
    <w:rsid w:val="7BEB5610"/>
    <w:rsid w:val="7C17769E"/>
    <w:rsid w:val="7C690A14"/>
    <w:rsid w:val="7C7E7CDC"/>
    <w:rsid w:val="7C9E08D4"/>
    <w:rsid w:val="7CBF51E6"/>
    <w:rsid w:val="7D8775BA"/>
    <w:rsid w:val="7DB11D69"/>
    <w:rsid w:val="7DBB1012"/>
    <w:rsid w:val="7DE82CDE"/>
    <w:rsid w:val="7E0560D0"/>
    <w:rsid w:val="7E3C3C99"/>
    <w:rsid w:val="7E4159BB"/>
    <w:rsid w:val="7E616FF2"/>
    <w:rsid w:val="7E6671D0"/>
    <w:rsid w:val="7F285F22"/>
    <w:rsid w:val="7F2C666B"/>
    <w:rsid w:val="7F387A7F"/>
    <w:rsid w:val="7F554B61"/>
    <w:rsid w:val="7F636901"/>
    <w:rsid w:val="7F736048"/>
    <w:rsid w:val="7F821A2C"/>
    <w:rsid w:val="7F840255"/>
    <w:rsid w:val="7F875650"/>
    <w:rsid w:val="7FA206DC"/>
    <w:rsid w:val="7FF32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Body Text Indent"/>
    <w:basedOn w:val="1"/>
    <w:qFormat/>
    <w:uiPriority w:val="0"/>
    <w:pPr>
      <w:ind w:left="420" w:leftChars="200"/>
    </w:pPr>
  </w:style>
  <w:style w:type="paragraph" w:styleId="8">
    <w:name w:val="Block Text"/>
    <w:basedOn w:val="1"/>
    <w:qFormat/>
    <w:uiPriority w:val="0"/>
    <w:pPr>
      <w:ind w:left="1785" w:right="3407"/>
    </w:pPr>
    <w:rPr>
      <w:sz w:val="24"/>
    </w:rPr>
  </w:style>
  <w:style w:type="paragraph" w:styleId="9">
    <w:name w:val="Plain Text"/>
    <w:basedOn w:val="1"/>
    <w:qFormat/>
    <w:uiPriority w:val="0"/>
    <w:rPr>
      <w:rFonts w:ascii="宋体" w:hAnsi="Courier New"/>
    </w:rPr>
  </w:style>
  <w:style w:type="paragraph" w:styleId="10">
    <w:name w:val="Balloon Text"/>
    <w:basedOn w:val="1"/>
    <w:link w:val="22"/>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next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7"/>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338DE6"/>
      <w:u w:val="none"/>
    </w:rPr>
  </w:style>
  <w:style w:type="paragraph" w:customStyle="1" w:styleId="19">
    <w:name w:val="表格文字"/>
    <w:basedOn w:val="1"/>
    <w:qFormat/>
    <w:uiPriority w:val="0"/>
    <w:pPr>
      <w:spacing w:before="25" w:after="25"/>
    </w:pPr>
    <w:rPr>
      <w:bCs/>
      <w:spacing w:val="10"/>
    </w:rPr>
  </w:style>
  <w:style w:type="character" w:customStyle="1" w:styleId="20">
    <w:name w:val="页眉 字符"/>
    <w:basedOn w:val="17"/>
    <w:link w:val="12"/>
    <w:qFormat/>
    <w:uiPriority w:val="99"/>
    <w:rPr>
      <w:rFonts w:ascii="Times New Roman" w:hAnsi="Times New Roman" w:eastAsia="宋体" w:cs="Times New Roman"/>
      <w:sz w:val="18"/>
      <w:szCs w:val="18"/>
    </w:rPr>
  </w:style>
  <w:style w:type="character" w:customStyle="1" w:styleId="21">
    <w:name w:val="页脚 字符"/>
    <w:basedOn w:val="17"/>
    <w:link w:val="11"/>
    <w:qFormat/>
    <w:uiPriority w:val="99"/>
    <w:rPr>
      <w:rFonts w:ascii="Times New Roman" w:hAnsi="Times New Roman" w:eastAsia="宋体" w:cs="Times New Roman"/>
      <w:sz w:val="18"/>
      <w:szCs w:val="18"/>
    </w:rPr>
  </w:style>
  <w:style w:type="character" w:customStyle="1" w:styleId="22">
    <w:name w:val="批注框文本 字符"/>
    <w:basedOn w:val="17"/>
    <w:link w:val="10"/>
    <w:semiHidden/>
    <w:qFormat/>
    <w:uiPriority w:val="99"/>
    <w:rPr>
      <w:rFonts w:ascii="Times New Roman" w:hAnsi="Times New Roman" w:eastAsia="宋体" w:cs="Times New Roman"/>
      <w:sz w:val="18"/>
      <w:szCs w:val="18"/>
    </w:rPr>
  </w:style>
  <w:style w:type="character" w:customStyle="1" w:styleId="23">
    <w:name w:val="Char Char1"/>
    <w:qFormat/>
    <w:locked/>
    <w:uiPriority w:val="0"/>
    <w:rPr>
      <w:rFonts w:hint="eastAsia" w:ascii="宋体" w:hAnsi="Courier New" w:eastAsia="宋体"/>
      <w:kern w:val="2"/>
      <w:sz w:val="21"/>
      <w:lang w:val="en-US" w:eastAsia="zh-CN" w:bidi="ar-SA"/>
    </w:rPr>
  </w:style>
  <w:style w:type="paragraph" w:customStyle="1" w:styleId="24">
    <w:name w:val="Table Paragraph"/>
    <w:basedOn w:val="1"/>
    <w:unhideWhenUsed/>
    <w:qFormat/>
    <w:uiPriority w:val="1"/>
    <w:rPr>
      <w:rFonts w:hint="eastAsia"/>
      <w:sz w:val="24"/>
    </w:rPr>
  </w:style>
  <w:style w:type="paragraph" w:customStyle="1" w:styleId="25">
    <w:name w:val="Char"/>
    <w:basedOn w:val="1"/>
    <w:qFormat/>
    <w:uiPriority w:val="0"/>
    <w:pPr>
      <w:numPr>
        <w:ilvl w:val="0"/>
        <w:numId w:val="1"/>
      </w:numPr>
      <w:tabs>
        <w:tab w:val="left" w:pos="252"/>
      </w:tabs>
    </w:pPr>
    <w:rPr>
      <w:sz w:val="24"/>
    </w:rPr>
  </w:style>
  <w:style w:type="paragraph" w:styleId="26">
    <w:name w:val="List Paragraph"/>
    <w:basedOn w:val="1"/>
    <w:qFormat/>
    <w:uiPriority w:val="99"/>
    <w:pPr>
      <w:ind w:firstLine="420" w:firstLineChars="200"/>
    </w:pPr>
  </w:style>
  <w:style w:type="paragraph" w:customStyle="1" w:styleId="27">
    <w:name w:val="Char Char Char Char"/>
    <w:basedOn w:val="1"/>
    <w:qFormat/>
    <w:uiPriority w:val="0"/>
    <w:rPr>
      <w:rFonts w:ascii="Tahoma" w:hAnsi="Tahoma"/>
      <w:sz w:val="24"/>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Char Char Char 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10141</Words>
  <Characters>10981</Characters>
  <Lines>86</Lines>
  <Paragraphs>24</Paragraphs>
  <TotalTime>352</TotalTime>
  <ScaleCrop>false</ScaleCrop>
  <LinksUpToDate>false</LinksUpToDate>
  <CharactersWithSpaces>11617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2023-02-18T08:20:49Z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C750CBA7631E4663AE248E0CA462FBD5</vt:lpwstr>
  </property>
</Properties>
</file>