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pPr>
      <w:r>
        <w:rPr>
          <w:rFonts w:hint="eastAsia" w:ascii="隶书" w:hAnsi="宋体" w:eastAsia="隶书"/>
          <w:bCs/>
          <w:color w:val="000000"/>
          <w:sz w:val="36"/>
          <w:szCs w:val="36"/>
          <w:lang w:val="en-US" w:eastAsia="zh-CN"/>
        </w:rPr>
        <w:t xml:space="preserve"> </w:t>
      </w:r>
      <w:r>
        <w:rPr>
          <w:rFonts w:hint="eastAsia" w:ascii="隶书" w:hAnsi="宋体" w:eastAsia="隶书"/>
          <w:bCs/>
          <w:color w:val="000000"/>
          <w:sz w:val="36"/>
          <w:szCs w:val="36"/>
        </w:rPr>
        <w:t>管理体系审核记录表</w:t>
      </w:r>
    </w:p>
    <w:tbl>
      <w:tblPr>
        <w:tblStyle w:val="15"/>
        <w:tblpPr w:leftFromText="180" w:rightFromText="180" w:vertAnchor="text" w:horzAnchor="page" w:tblpX="1090" w:tblpY="337"/>
        <w:tblOverlap w:val="never"/>
        <w:tblW w:w="15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1039"/>
        <w:gridCol w:w="11348"/>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45"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过程与活动、</w:t>
            </w:r>
          </w:p>
          <w:p>
            <w:pPr>
              <w:bidi w:val="0"/>
              <w:rPr>
                <w:rFonts w:hint="eastAsia" w:ascii="楷体" w:hAnsi="楷体" w:eastAsia="楷体" w:cs="楷体"/>
                <w:sz w:val="21"/>
                <w:szCs w:val="21"/>
              </w:rPr>
            </w:pPr>
            <w:r>
              <w:rPr>
                <w:rFonts w:hint="eastAsia" w:ascii="楷体" w:hAnsi="楷体" w:eastAsia="楷体" w:cs="楷体"/>
                <w:sz w:val="21"/>
                <w:szCs w:val="21"/>
              </w:rPr>
              <w:t>抽样计划</w:t>
            </w:r>
          </w:p>
        </w:tc>
        <w:tc>
          <w:tcPr>
            <w:tcW w:w="1039"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涉及</w:t>
            </w:r>
          </w:p>
          <w:p>
            <w:pPr>
              <w:bidi w:val="0"/>
              <w:rPr>
                <w:rFonts w:hint="eastAsia" w:ascii="楷体" w:hAnsi="楷体" w:eastAsia="楷体" w:cs="楷体"/>
                <w:sz w:val="21"/>
                <w:szCs w:val="21"/>
              </w:rPr>
            </w:pPr>
            <w:r>
              <w:rPr>
                <w:rFonts w:hint="eastAsia" w:ascii="楷体" w:hAnsi="楷体" w:eastAsia="楷体" w:cs="楷体"/>
                <w:sz w:val="21"/>
                <w:szCs w:val="21"/>
              </w:rPr>
              <w:t>条款</w:t>
            </w:r>
          </w:p>
        </w:tc>
        <w:tc>
          <w:tcPr>
            <w:tcW w:w="11348"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受审核部门：</w:t>
            </w:r>
            <w:r>
              <w:rPr>
                <w:rFonts w:hint="eastAsia" w:ascii="楷体" w:hAnsi="楷体" w:eastAsia="楷体" w:cs="楷体"/>
                <w:sz w:val="21"/>
                <w:szCs w:val="21"/>
                <w:lang w:eastAsia="zh-CN"/>
              </w:rPr>
              <w:t>管理</w:t>
            </w:r>
            <w:r>
              <w:rPr>
                <w:rFonts w:hint="eastAsia" w:ascii="楷体" w:hAnsi="楷体" w:eastAsia="楷体" w:cs="楷体"/>
                <w:sz w:val="21"/>
                <w:szCs w:val="21"/>
              </w:rPr>
              <w:t>层         主管领导：</w:t>
            </w:r>
            <w:r>
              <w:rPr>
                <w:rFonts w:hint="eastAsia" w:ascii="楷体" w:hAnsi="楷体" w:eastAsia="楷体" w:cs="楷体"/>
                <w:sz w:val="21"/>
                <w:szCs w:val="21"/>
                <w:lang w:val="en-US" w:eastAsia="zh-CN"/>
              </w:rPr>
              <w:t xml:space="preserve">李月江           </w:t>
            </w:r>
            <w:r>
              <w:rPr>
                <w:rFonts w:hint="eastAsia" w:ascii="楷体" w:hAnsi="楷体" w:eastAsia="楷体" w:cs="楷体"/>
                <w:sz w:val="21"/>
                <w:szCs w:val="21"/>
              </w:rPr>
              <w:t>陪同人员：</w:t>
            </w:r>
            <w:r>
              <w:rPr>
                <w:rFonts w:hint="eastAsia" w:ascii="楷体" w:hAnsi="楷体" w:eastAsia="楷体" w:cs="楷体"/>
                <w:sz w:val="21"/>
                <w:szCs w:val="21"/>
                <w:lang w:val="en-US" w:eastAsia="zh-CN"/>
              </w:rPr>
              <w:t>刘会欣</w:t>
            </w:r>
          </w:p>
        </w:tc>
        <w:tc>
          <w:tcPr>
            <w:tcW w:w="1068"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45" w:type="dxa"/>
            <w:vMerge w:val="continue"/>
            <w:vAlign w:val="center"/>
          </w:tcPr>
          <w:p>
            <w:pPr>
              <w:bidi w:val="0"/>
              <w:rPr>
                <w:rFonts w:hint="eastAsia" w:ascii="楷体" w:hAnsi="楷体" w:eastAsia="楷体" w:cs="楷体"/>
                <w:sz w:val="21"/>
                <w:szCs w:val="21"/>
              </w:rPr>
            </w:pPr>
          </w:p>
        </w:tc>
        <w:tc>
          <w:tcPr>
            <w:tcW w:w="1039" w:type="dxa"/>
            <w:vMerge w:val="continue"/>
            <w:vAlign w:val="center"/>
          </w:tcPr>
          <w:p>
            <w:pPr>
              <w:bidi w:val="0"/>
              <w:rPr>
                <w:rFonts w:hint="eastAsia" w:ascii="楷体" w:hAnsi="楷体" w:eastAsia="楷体" w:cs="楷体"/>
                <w:sz w:val="21"/>
                <w:szCs w:val="21"/>
              </w:rPr>
            </w:pPr>
          </w:p>
        </w:tc>
        <w:tc>
          <w:tcPr>
            <w:tcW w:w="11348"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周文廷</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审核时间：202</w:t>
            </w:r>
            <w:r>
              <w:rPr>
                <w:rFonts w:hint="eastAsia" w:ascii="楷体" w:hAnsi="楷体" w:eastAsia="楷体" w:cs="楷体"/>
                <w:sz w:val="21"/>
                <w:szCs w:val="21"/>
                <w:lang w:val="en-US" w:eastAsia="zh-CN"/>
              </w:rPr>
              <w:t>3</w:t>
            </w:r>
            <w:r>
              <w:rPr>
                <w:rFonts w:hint="eastAsia" w:ascii="楷体" w:hAnsi="楷体" w:eastAsia="楷体" w:cs="楷体"/>
                <w:sz w:val="21"/>
                <w:szCs w:val="21"/>
                <w:lang w:eastAsia="zh-CN"/>
              </w:rPr>
              <w:t>年</w:t>
            </w:r>
            <w:r>
              <w:rPr>
                <w:rFonts w:hint="eastAsia" w:ascii="楷体" w:hAnsi="楷体" w:eastAsia="楷体" w:cs="楷体"/>
                <w:sz w:val="21"/>
                <w:szCs w:val="21"/>
                <w:lang w:val="en-US" w:eastAsia="zh-CN"/>
              </w:rPr>
              <w:t>2月17日</w:t>
            </w:r>
          </w:p>
        </w:tc>
        <w:tc>
          <w:tcPr>
            <w:tcW w:w="1068"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45" w:type="dxa"/>
            <w:vMerge w:val="continue"/>
            <w:vAlign w:val="center"/>
          </w:tcPr>
          <w:p>
            <w:pPr>
              <w:bidi w:val="0"/>
              <w:rPr>
                <w:rFonts w:hint="eastAsia" w:ascii="楷体" w:hAnsi="楷体" w:eastAsia="楷体" w:cs="楷体"/>
                <w:sz w:val="21"/>
                <w:szCs w:val="21"/>
              </w:rPr>
            </w:pPr>
          </w:p>
        </w:tc>
        <w:tc>
          <w:tcPr>
            <w:tcW w:w="1039" w:type="dxa"/>
            <w:vMerge w:val="continue"/>
            <w:vAlign w:val="center"/>
          </w:tcPr>
          <w:p>
            <w:pPr>
              <w:bidi w:val="0"/>
              <w:rPr>
                <w:rFonts w:hint="eastAsia" w:ascii="楷体" w:hAnsi="楷体" w:eastAsia="楷体" w:cs="楷体"/>
                <w:sz w:val="21"/>
                <w:szCs w:val="21"/>
              </w:rPr>
            </w:pPr>
          </w:p>
        </w:tc>
        <w:tc>
          <w:tcPr>
            <w:tcW w:w="11348"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审核条款：</w:t>
            </w:r>
          </w:p>
          <w:p>
            <w:pPr>
              <w:bidi w:val="0"/>
              <w:rPr>
                <w:rFonts w:hint="eastAsia" w:ascii="楷体" w:hAnsi="楷体" w:eastAsia="楷体" w:cs="楷体"/>
                <w:sz w:val="21"/>
                <w:szCs w:val="21"/>
              </w:rPr>
            </w:pPr>
            <w:r>
              <w:rPr>
                <w:rFonts w:hint="eastAsia" w:ascii="楷体" w:hAnsi="楷体" w:eastAsia="楷体" w:cs="楷体"/>
                <w:sz w:val="21"/>
                <w:szCs w:val="21"/>
              </w:rPr>
              <w:t>QEO</w:t>
            </w:r>
            <w:r>
              <w:rPr>
                <w:rFonts w:hint="eastAsia" w:ascii="楷体" w:hAnsi="楷体" w:eastAsia="楷体" w:cs="楷体"/>
                <w:sz w:val="21"/>
                <w:szCs w:val="21"/>
                <w:lang w:val="en-US" w:eastAsia="zh-CN"/>
              </w:rPr>
              <w:t>:4.1/4.2/</w:t>
            </w:r>
            <w:r>
              <w:rPr>
                <w:rFonts w:hint="eastAsia" w:ascii="楷体" w:hAnsi="楷体" w:eastAsia="楷体" w:cs="楷体"/>
                <w:sz w:val="21"/>
                <w:szCs w:val="21"/>
              </w:rPr>
              <w:t>4.3/4.4/5.1/5.2/5.3/6.2/9.3/10.1/10.3</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Q:6.1/6.3/7.1.1</w:t>
            </w:r>
          </w:p>
          <w:p>
            <w:pPr>
              <w:bidi w:val="0"/>
              <w:rPr>
                <w:rFonts w:hint="eastAsia" w:ascii="楷体" w:hAnsi="楷体" w:eastAsia="楷体" w:cs="楷体"/>
                <w:sz w:val="21"/>
                <w:szCs w:val="21"/>
                <w:lang w:val="en-US"/>
              </w:rPr>
            </w:pPr>
            <w:r>
              <w:rPr>
                <w:rFonts w:hint="eastAsia" w:ascii="楷体" w:hAnsi="楷体" w:eastAsia="楷体" w:cs="楷体"/>
                <w:sz w:val="21"/>
                <w:szCs w:val="21"/>
                <w:lang w:val="en-US" w:eastAsia="zh-CN"/>
              </w:rPr>
              <w:t>EO:7.1/6.1.1</w:t>
            </w:r>
          </w:p>
        </w:tc>
        <w:tc>
          <w:tcPr>
            <w:tcW w:w="1068"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45" w:type="dxa"/>
            <w:vAlign w:val="center"/>
          </w:tcPr>
          <w:p>
            <w:pPr>
              <w:bidi w:val="0"/>
              <w:rPr>
                <w:rFonts w:hint="eastAsia" w:ascii="楷体" w:hAnsi="楷体" w:eastAsia="楷体" w:cs="楷体"/>
                <w:sz w:val="21"/>
                <w:szCs w:val="21"/>
              </w:rPr>
            </w:pPr>
            <w:r>
              <w:rPr>
                <w:rFonts w:hint="eastAsia" w:ascii="楷体" w:hAnsi="楷体" w:eastAsia="楷体" w:cs="楷体"/>
                <w:sz w:val="21"/>
                <w:szCs w:val="21"/>
                <w:lang w:val="en-US" w:eastAsia="zh-CN"/>
              </w:rPr>
              <w:t>专项审核（范围的确认、资质的确认、法律法规执行情况、环境、安全抽查、一阶段不符合验证）</w:t>
            </w:r>
          </w:p>
          <w:p>
            <w:pPr>
              <w:bidi w:val="0"/>
              <w:rPr>
                <w:rFonts w:hint="eastAsia" w:ascii="楷体" w:hAnsi="楷体" w:eastAsia="楷体" w:cs="楷体"/>
                <w:sz w:val="21"/>
                <w:szCs w:val="21"/>
                <w:lang w:val="en-US" w:eastAsia="zh-CN"/>
              </w:rPr>
            </w:pPr>
          </w:p>
        </w:tc>
        <w:tc>
          <w:tcPr>
            <w:tcW w:w="1039" w:type="dxa"/>
            <w:vAlign w:val="center"/>
          </w:tcPr>
          <w:p>
            <w:pPr>
              <w:bidi w:val="0"/>
              <w:rPr>
                <w:rFonts w:hint="eastAsia" w:ascii="楷体" w:hAnsi="楷体" w:eastAsia="楷体" w:cs="楷体"/>
                <w:sz w:val="21"/>
                <w:szCs w:val="21"/>
                <w:lang w:val="en-US" w:eastAsia="zh-CN"/>
              </w:rPr>
            </w:pPr>
          </w:p>
        </w:tc>
        <w:tc>
          <w:tcPr>
            <w:tcW w:w="11348"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w:t>
            </w:r>
            <w:r>
              <w:rPr>
                <w:rFonts w:hint="eastAsia" w:ascii="楷体" w:hAnsi="楷体" w:eastAsia="楷体" w:cs="楷体"/>
                <w:sz w:val="21"/>
                <w:szCs w:val="21"/>
              </w:rPr>
              <w:t>管理者代表：</w:t>
            </w:r>
            <w:r>
              <w:rPr>
                <w:rFonts w:hint="eastAsia" w:ascii="楷体" w:hAnsi="楷体" w:eastAsia="楷体" w:cs="楷体"/>
                <w:sz w:val="21"/>
                <w:szCs w:val="21"/>
                <w:lang w:val="en-US" w:eastAsia="zh-CN"/>
              </w:rPr>
              <w:t>李月江</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资质：营业执照：统一社会信用代码：91131125089426955L。网上查询，有效资质；</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河北哈通丝网制品有限公司成立于201</w:t>
            </w:r>
            <w:r>
              <w:rPr>
                <w:rFonts w:hint="eastAsia" w:ascii="楷体" w:hAnsi="楷体" w:eastAsia="楷体" w:cs="楷体"/>
                <w:sz w:val="21"/>
                <w:szCs w:val="21"/>
                <w:lang w:val="en-US" w:eastAsia="zh-CN"/>
              </w:rPr>
              <w:t>4</w:t>
            </w:r>
            <w:r>
              <w:rPr>
                <w:rFonts w:hint="eastAsia" w:ascii="楷体" w:hAnsi="楷体" w:eastAsia="楷体" w:cs="楷体"/>
                <w:sz w:val="21"/>
                <w:szCs w:val="21"/>
              </w:rPr>
              <w:t>年1月</w:t>
            </w:r>
            <w:r>
              <w:rPr>
                <w:rFonts w:hint="eastAsia" w:ascii="楷体" w:hAnsi="楷体" w:eastAsia="楷体" w:cs="楷体"/>
                <w:sz w:val="21"/>
                <w:szCs w:val="21"/>
                <w:lang w:val="en-US" w:eastAsia="zh-CN"/>
              </w:rPr>
              <w:t>8</w:t>
            </w:r>
            <w:r>
              <w:rPr>
                <w:rFonts w:hint="eastAsia" w:ascii="楷体" w:hAnsi="楷体" w:eastAsia="楷体" w:cs="楷体"/>
                <w:sz w:val="21"/>
                <w:szCs w:val="21"/>
              </w:rPr>
              <w:t>日,有效期</w:t>
            </w:r>
            <w:r>
              <w:rPr>
                <w:rFonts w:hint="eastAsia" w:ascii="楷体" w:hAnsi="楷体" w:eastAsia="楷体" w:cs="楷体"/>
                <w:sz w:val="21"/>
                <w:szCs w:val="21"/>
                <w:lang w:eastAsia="zh-CN"/>
              </w:rPr>
              <w:t>：</w:t>
            </w:r>
            <w:r>
              <w:rPr>
                <w:rFonts w:hint="eastAsia" w:ascii="楷体" w:hAnsi="楷体" w:eastAsia="楷体" w:cs="楷体"/>
                <w:sz w:val="21"/>
                <w:szCs w:val="21"/>
              </w:rPr>
              <w:t>2014-01-08 至 2044-01-07， 注册资本</w:t>
            </w:r>
            <w:r>
              <w:rPr>
                <w:rFonts w:hint="eastAsia" w:ascii="楷体" w:hAnsi="楷体" w:eastAsia="楷体" w:cs="楷体"/>
                <w:sz w:val="21"/>
                <w:szCs w:val="21"/>
                <w:lang w:val="en-US" w:eastAsia="zh-CN"/>
              </w:rPr>
              <w:t>300</w:t>
            </w:r>
            <w:r>
              <w:rPr>
                <w:rFonts w:hint="eastAsia" w:ascii="楷体" w:hAnsi="楷体" w:eastAsia="楷体" w:cs="楷体"/>
                <w:sz w:val="21"/>
                <w:szCs w:val="21"/>
              </w:rPr>
              <w:t>万元，注册</w:t>
            </w:r>
            <w:r>
              <w:rPr>
                <w:rFonts w:hint="eastAsia" w:ascii="楷体" w:hAnsi="楷体" w:eastAsia="楷体" w:cs="楷体"/>
                <w:sz w:val="21"/>
                <w:szCs w:val="21"/>
                <w:lang w:val="en-US" w:eastAsia="zh-CN"/>
              </w:rPr>
              <w:t>/经营</w:t>
            </w:r>
            <w:r>
              <w:rPr>
                <w:rFonts w:hint="eastAsia" w:ascii="楷体" w:hAnsi="楷体" w:eastAsia="楷体" w:cs="楷体"/>
                <w:sz w:val="21"/>
                <w:szCs w:val="21"/>
              </w:rPr>
              <w:t>地址：安平县工业园东区纬一路5号，</w:t>
            </w:r>
          </w:p>
          <w:p>
            <w:pPr>
              <w:bidi w:val="0"/>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企业因业务需要与安平县广通五金网业有限公司合作经营，使用相同的基础设施、生产设备和人员（管理人员、生产人员），公司有各自的业务团队，总人员60余人，涉及到</w:t>
            </w:r>
            <w:r>
              <w:rPr>
                <w:rFonts w:hint="eastAsia" w:ascii="楷体" w:hAnsi="楷体" w:eastAsia="楷体" w:cs="楷体"/>
                <w:sz w:val="21"/>
                <w:szCs w:val="21"/>
              </w:rPr>
              <w:t>河北哈通丝网制品有限公司</w:t>
            </w:r>
            <w:r>
              <w:rPr>
                <w:rFonts w:hint="eastAsia" w:ascii="楷体" w:hAnsi="楷体" w:eastAsia="楷体" w:cs="楷体"/>
                <w:sz w:val="21"/>
                <w:szCs w:val="21"/>
                <w:lang w:val="en-US" w:eastAsia="zh-CN"/>
              </w:rPr>
              <w:t>的管理体系覆盖人员30人</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主要经营范围：不锈钢网、不锈钢丝、铁丝、气液过滤网、石笼网、护栏网、过滤器、电焊网、六角网、刺绳、金刚网、烧秸网、丝网深加工产品及进出口业务。（法律、法规及国务院决定禁止或者限制的事项，不得经营；需要其他部门审批的事项，待批准后方可经营）</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5、申请认证范围：</w:t>
            </w:r>
          </w:p>
          <w:p>
            <w:pPr>
              <w:bidi w:val="0"/>
              <w:rPr>
                <w:rFonts w:hint="eastAsia" w:ascii="楷体" w:hAnsi="楷体" w:eastAsia="楷体" w:cs="楷体"/>
                <w:sz w:val="21"/>
                <w:szCs w:val="21"/>
              </w:rPr>
            </w:pPr>
            <w:r>
              <w:rPr>
                <w:rFonts w:hint="eastAsia" w:ascii="楷体" w:hAnsi="楷体" w:eastAsia="楷体" w:cs="楷体"/>
                <w:sz w:val="21"/>
                <w:szCs w:val="21"/>
              </w:rPr>
              <w:t>Q：不锈钢网、丝网深加工产品（金属滤芯）的生产</w:t>
            </w:r>
          </w:p>
          <w:p>
            <w:pPr>
              <w:bidi w:val="0"/>
              <w:rPr>
                <w:rFonts w:hint="eastAsia" w:ascii="楷体" w:hAnsi="楷体" w:eastAsia="楷体" w:cs="楷体"/>
                <w:sz w:val="21"/>
                <w:szCs w:val="21"/>
              </w:rPr>
            </w:pPr>
            <w:r>
              <w:rPr>
                <w:rFonts w:hint="eastAsia" w:ascii="楷体" w:hAnsi="楷体" w:eastAsia="楷体" w:cs="楷体"/>
                <w:sz w:val="21"/>
                <w:szCs w:val="21"/>
              </w:rPr>
              <w:t>E：不锈钢网、丝网深加工产品（金属滤芯）的生产所涉及场所的相关环境管理活动</w:t>
            </w:r>
          </w:p>
          <w:p>
            <w:pPr>
              <w:bidi w:val="0"/>
              <w:rPr>
                <w:rFonts w:hint="eastAsia" w:ascii="楷体" w:hAnsi="楷体" w:eastAsia="楷体" w:cs="楷体"/>
                <w:sz w:val="21"/>
                <w:szCs w:val="21"/>
              </w:rPr>
            </w:pPr>
            <w:r>
              <w:rPr>
                <w:rFonts w:hint="eastAsia" w:ascii="楷体" w:hAnsi="楷体" w:eastAsia="楷体" w:cs="楷体"/>
                <w:sz w:val="21"/>
                <w:szCs w:val="21"/>
              </w:rPr>
              <w:t>O：不锈钢网、丝网深加工产品（金属滤芯）的生产所涉及场所的相关职业健康安全管理活动；</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w:t>
            </w:r>
            <w:r>
              <w:rPr>
                <w:rFonts w:hint="eastAsia" w:ascii="楷体" w:hAnsi="楷体" w:eastAsia="楷体" w:cs="楷体"/>
                <w:sz w:val="21"/>
                <w:szCs w:val="21"/>
              </w:rPr>
              <w:t>、</w:t>
            </w:r>
            <w:r>
              <w:rPr>
                <w:rFonts w:hint="eastAsia" w:ascii="楷体" w:hAnsi="楷体" w:eastAsia="楷体" w:cs="楷体"/>
                <w:sz w:val="21"/>
                <w:szCs w:val="21"/>
                <w:lang w:val="en-US" w:eastAsia="zh-CN"/>
              </w:rPr>
              <w:t>企业目前经营状况：网上查询，无被投诉情况，无质量事故。</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7、组织机构：</w:t>
            </w:r>
            <w:r>
              <w:rPr>
                <w:rFonts w:hint="eastAsia" w:ascii="楷体" w:hAnsi="楷体" w:eastAsia="楷体" w:cs="楷体"/>
                <w:sz w:val="21"/>
                <w:szCs w:val="21"/>
              </w:rPr>
              <w:t>管理层、办公室、</w:t>
            </w:r>
            <w:r>
              <w:rPr>
                <w:rFonts w:hint="eastAsia" w:ascii="楷体" w:hAnsi="楷体" w:eastAsia="楷体" w:cs="楷体"/>
                <w:sz w:val="21"/>
                <w:szCs w:val="21"/>
                <w:lang w:val="en-US" w:eastAsia="zh-CN"/>
              </w:rPr>
              <w:t>供销</w:t>
            </w:r>
            <w:r>
              <w:rPr>
                <w:rFonts w:hint="eastAsia" w:ascii="楷体" w:hAnsi="楷体" w:eastAsia="楷体" w:cs="楷体"/>
                <w:sz w:val="21"/>
                <w:szCs w:val="21"/>
              </w:rPr>
              <w:t>部、</w:t>
            </w:r>
            <w:r>
              <w:rPr>
                <w:rFonts w:hint="eastAsia" w:ascii="楷体" w:hAnsi="楷体" w:eastAsia="楷体" w:cs="楷体"/>
                <w:sz w:val="21"/>
                <w:szCs w:val="21"/>
                <w:lang w:val="en-US" w:eastAsia="zh-CN"/>
              </w:rPr>
              <w:t>生产</w:t>
            </w:r>
            <w:r>
              <w:rPr>
                <w:rFonts w:hint="eastAsia" w:ascii="楷体" w:hAnsi="楷体" w:eastAsia="楷体" w:cs="楷体"/>
                <w:sz w:val="21"/>
                <w:szCs w:val="21"/>
              </w:rPr>
              <w:t>技术部等部门。</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8、2023.2.16日的一阶段审核：一阶段审核未提出问题，文审问题已整改 </w:t>
            </w:r>
          </w:p>
        </w:tc>
        <w:tc>
          <w:tcPr>
            <w:tcW w:w="1068"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5" w:type="dxa"/>
          </w:tcPr>
          <w:p>
            <w:pPr>
              <w:bidi w:val="0"/>
              <w:rPr>
                <w:rFonts w:hint="eastAsia" w:ascii="楷体" w:hAnsi="楷体" w:eastAsia="楷体" w:cs="楷体"/>
                <w:sz w:val="21"/>
                <w:szCs w:val="21"/>
              </w:rPr>
            </w:pPr>
            <w:r>
              <w:rPr>
                <w:rFonts w:hint="eastAsia" w:ascii="楷体" w:hAnsi="楷体" w:eastAsia="楷体" w:cs="楷体"/>
                <w:sz w:val="21"/>
                <w:szCs w:val="21"/>
              </w:rPr>
              <w:t>理解组织及其环境</w:t>
            </w:r>
          </w:p>
        </w:tc>
        <w:tc>
          <w:tcPr>
            <w:tcW w:w="1039"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QEO</w:t>
            </w:r>
          </w:p>
          <w:p>
            <w:pPr>
              <w:bidi w:val="0"/>
              <w:rPr>
                <w:rFonts w:hint="eastAsia" w:ascii="楷体" w:hAnsi="楷体" w:eastAsia="楷体" w:cs="楷体"/>
                <w:sz w:val="21"/>
                <w:szCs w:val="21"/>
              </w:rPr>
            </w:pPr>
            <w:r>
              <w:rPr>
                <w:rFonts w:hint="eastAsia" w:ascii="楷体" w:hAnsi="楷体" w:eastAsia="楷体" w:cs="楷体"/>
                <w:sz w:val="21"/>
                <w:szCs w:val="21"/>
              </w:rPr>
              <w:t>4.1</w:t>
            </w:r>
          </w:p>
        </w:tc>
        <w:tc>
          <w:tcPr>
            <w:tcW w:w="11348" w:type="dxa"/>
          </w:tcPr>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eastAsia="zh-CN"/>
              </w:rPr>
              <w:t>●</w:t>
            </w:r>
            <w:r>
              <w:rPr>
                <w:rFonts w:hint="eastAsia" w:ascii="楷体" w:hAnsi="楷体" w:eastAsia="楷体" w:cs="楷体"/>
                <w:sz w:val="21"/>
                <w:szCs w:val="21"/>
              </w:rPr>
              <w:t>内</w:t>
            </w:r>
            <w:r>
              <w:rPr>
                <w:rFonts w:hint="eastAsia" w:ascii="楷体" w:hAnsi="楷体" w:eastAsia="楷体" w:cs="楷体"/>
                <w:sz w:val="21"/>
                <w:szCs w:val="21"/>
                <w:lang w:eastAsia="zh-CN"/>
              </w:rPr>
              <w:t>部因素和外部因素：</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李经理介绍，定期组织公司管理层召开内外部评审会议。组织分析内外部环境并制定发展战略。</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查企业管理手册相关条款，办公室为归口部门，</w:t>
            </w:r>
            <w:r>
              <w:rPr>
                <w:rFonts w:hint="eastAsia" w:ascii="楷体" w:hAnsi="楷体" w:eastAsia="楷体" w:cs="楷体"/>
                <w:sz w:val="21"/>
                <w:szCs w:val="21"/>
                <w:lang w:eastAsia="zh-CN"/>
              </w:rPr>
              <w:t>负责内部环境中组织总体表现、组织知识、组织文化、人力因素、</w:t>
            </w:r>
            <w:r>
              <w:rPr>
                <w:rFonts w:hint="eastAsia" w:ascii="楷体" w:hAnsi="楷体" w:eastAsia="楷体" w:cs="楷体"/>
                <w:sz w:val="21"/>
                <w:szCs w:val="21"/>
              </w:rPr>
              <w:t>组织治理相关因素的分析、评价。</w:t>
            </w:r>
            <w:r>
              <w:rPr>
                <w:rFonts w:hint="eastAsia" w:ascii="楷体" w:hAnsi="楷体" w:eastAsia="楷体" w:cs="楷体"/>
                <w:sz w:val="21"/>
                <w:szCs w:val="21"/>
                <w:lang w:eastAsia="zh-CN"/>
              </w:rPr>
              <w:t>各部门</w:t>
            </w:r>
            <w:r>
              <w:rPr>
                <w:rFonts w:hint="eastAsia" w:ascii="楷体" w:hAnsi="楷体" w:eastAsia="楷体" w:cs="楷体"/>
                <w:sz w:val="21"/>
                <w:szCs w:val="21"/>
              </w:rPr>
              <w:t>负责本部门的内外部环境分析、评价</w:t>
            </w:r>
            <w:r>
              <w:rPr>
                <w:rFonts w:hint="eastAsia" w:ascii="楷体" w:hAnsi="楷体" w:eastAsia="楷体" w:cs="楷体"/>
                <w:sz w:val="21"/>
                <w:szCs w:val="21"/>
                <w:lang w:eastAsia="zh-CN"/>
              </w:rPr>
              <w:t>，办公室汇总。</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查企业编制了《内外部环境因素、相关方识别和期望的识别与分析》，评审内容包含内外部因素，具体现状描述，信息来源，优劣势分析。</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---查外部因素：</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1、法律法规：市场、最终消费者对产品符合性要求不断提升等；</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2、市场竞争情况：目前同类行业比较多，市场竞争较大；</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3、经济形式：市场竞争较大，利润空间较小；</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4、社会责任：公众对社会责任期望不断提升等；</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5、产业发展：客户需求及新技术发展变化等；</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识别的内部环境主要有：企业文化、公司价值观、知识积累、绩效、财务因素、资源因素、人力因素等方面；</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编制了《内外部环境分析报告》，</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优势如：企业运作能力强，企业无负债，银行信誉好；员工素质较高，企业自动化较高，各种手续相对齐全等</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劣势如：</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责任环境</w:t>
            </w:r>
            <w:r>
              <w:rPr>
                <w:rFonts w:hint="eastAsia" w:ascii="楷体" w:hAnsi="楷体" w:eastAsia="楷体" w:cs="楷体"/>
                <w:sz w:val="21"/>
                <w:szCs w:val="21"/>
                <w:lang w:val="en-US" w:eastAsia="zh-CN"/>
              </w:rPr>
              <w:tab/>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1）中高级领导管理责任意识不强，责任界限模糊，易推卸责任；</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2）管理人员对决策参与的主动性不够，关注局部利益胜过整体利益；</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3）自我学习和对员工质量意识培养不够；</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协调环境</w:t>
            </w:r>
            <w:r>
              <w:rPr>
                <w:rFonts w:hint="eastAsia" w:ascii="楷体" w:hAnsi="楷体" w:eastAsia="楷体" w:cs="楷体"/>
                <w:sz w:val="21"/>
                <w:szCs w:val="21"/>
                <w:lang w:val="en-US" w:eastAsia="zh-CN"/>
              </w:rPr>
              <w:tab/>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1）未严格制度管理，过多例外事项，过度使用协调手段</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2）未建立正常例会制度，未实现高效执行力</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3）一般采用口头、临时协调方式。</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李经理介绍，近几年通讯行业发展迅速，为企业带来了良好机遇。</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公司每年定期对这些内外部因素进行监视和评审，方式主要有：网</w:t>
            </w:r>
            <w:r>
              <w:rPr>
                <w:rFonts w:hint="eastAsia" w:ascii="楷体" w:hAnsi="楷体" w:eastAsia="楷体" w:cs="楷体"/>
                <w:sz w:val="21"/>
                <w:szCs w:val="21"/>
              </w:rPr>
              <w:t>站获取、顾客沟通（总结、会议、培训等形式）及内部沟通总结等方式。</w:t>
            </w:r>
          </w:p>
        </w:tc>
        <w:tc>
          <w:tcPr>
            <w:tcW w:w="1068" w:type="dxa"/>
          </w:tcPr>
          <w:p>
            <w:pPr>
              <w:bidi w:val="0"/>
              <w:rPr>
                <w:rFonts w:hint="eastAsia" w:ascii="楷体" w:hAnsi="楷体" w:eastAsia="楷体" w:cs="楷体"/>
                <w:sz w:val="21"/>
                <w:szCs w:val="21"/>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545" w:type="dxa"/>
          </w:tcPr>
          <w:p>
            <w:pPr>
              <w:bidi w:val="0"/>
              <w:rPr>
                <w:rFonts w:hint="eastAsia" w:ascii="楷体" w:hAnsi="楷体" w:eastAsia="楷体" w:cs="楷体"/>
                <w:sz w:val="21"/>
                <w:szCs w:val="21"/>
              </w:rPr>
            </w:pPr>
            <w:r>
              <w:rPr>
                <w:rFonts w:hint="eastAsia" w:ascii="楷体" w:hAnsi="楷体" w:eastAsia="楷体" w:cs="楷体"/>
                <w:sz w:val="21"/>
                <w:szCs w:val="21"/>
              </w:rPr>
              <w:t>理解相关方的需求和期望</w:t>
            </w:r>
          </w:p>
        </w:tc>
        <w:tc>
          <w:tcPr>
            <w:tcW w:w="1039" w:type="dxa"/>
          </w:tcPr>
          <w:p>
            <w:pPr>
              <w:bidi w:val="0"/>
              <w:rPr>
                <w:rFonts w:hint="eastAsia" w:ascii="楷体" w:hAnsi="楷体" w:eastAsia="楷体" w:cs="楷体"/>
                <w:sz w:val="21"/>
                <w:szCs w:val="21"/>
              </w:rPr>
            </w:pPr>
            <w:r>
              <w:rPr>
                <w:rFonts w:hint="eastAsia" w:ascii="楷体" w:hAnsi="楷体" w:eastAsia="楷体" w:cs="楷体"/>
                <w:sz w:val="21"/>
                <w:szCs w:val="21"/>
                <w:lang w:val="en-US" w:eastAsia="zh-CN"/>
              </w:rPr>
              <w:t>QEO</w:t>
            </w:r>
            <w:r>
              <w:rPr>
                <w:rFonts w:hint="eastAsia" w:ascii="楷体" w:hAnsi="楷体" w:eastAsia="楷体" w:cs="楷体"/>
                <w:sz w:val="21"/>
                <w:szCs w:val="21"/>
              </w:rPr>
              <w:t xml:space="preserve">4.2 </w:t>
            </w:r>
          </w:p>
          <w:p>
            <w:pPr>
              <w:bidi w:val="0"/>
              <w:rPr>
                <w:rFonts w:hint="eastAsia" w:ascii="楷体" w:hAnsi="楷体" w:eastAsia="楷体" w:cs="楷体"/>
                <w:sz w:val="21"/>
                <w:szCs w:val="21"/>
              </w:rPr>
            </w:pPr>
          </w:p>
        </w:tc>
        <w:tc>
          <w:tcPr>
            <w:tcW w:w="11348"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见编制了《相关方需求及期望清单》由办公室每年确定与质量、环境和职业健康安全管理体系有关的相关方，编制了《相关方的需求和期望》，评审了相关方的需求及监视指标，识别了相关方：顾客、股东或投资方、员工、银行、外部供方和合作伙伴、法律法规及监管机关等；第三方认证服务机构等；</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——抽第三方认证服务机构期望：满足认证条件、持续进行；制定了应对措施：内审，外审，管理评审，满足环境、安全体系要求，持续改进等；考核情况见内审报告，不符合报告。</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——抽员工需求和期望：</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1、薪资、福利增加；</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2、提供培训机会；</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3、个人能力与职位得到提升；</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监视指标：</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1、工资及福利制度化</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2、按年度培训计划，组织各种培训、考核；</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另查其他相关方评审了其需求，建立了检测指标，符合要求。</w:t>
            </w:r>
          </w:p>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t>自体系运行以来，企业未发生处罚、相关方投诉事件。</w:t>
            </w:r>
          </w:p>
        </w:tc>
        <w:tc>
          <w:tcPr>
            <w:tcW w:w="1068" w:type="dxa"/>
          </w:tcPr>
          <w:p>
            <w:pPr>
              <w:bidi w:val="0"/>
              <w:rPr>
                <w:rFonts w:hint="eastAsia" w:ascii="楷体" w:hAnsi="楷体" w:eastAsia="楷体" w:cs="楷体"/>
                <w:sz w:val="21"/>
                <w:szCs w:val="21"/>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1545" w:type="dxa"/>
          </w:tcPr>
          <w:p>
            <w:pPr>
              <w:bidi w:val="0"/>
              <w:rPr>
                <w:rFonts w:hint="eastAsia" w:ascii="楷体" w:hAnsi="楷体" w:eastAsia="楷体" w:cs="楷体"/>
                <w:sz w:val="21"/>
                <w:szCs w:val="21"/>
              </w:rPr>
            </w:pPr>
            <w:r>
              <w:rPr>
                <w:rFonts w:hint="eastAsia" w:ascii="楷体" w:hAnsi="楷体" w:eastAsia="楷体" w:cs="楷体"/>
                <w:sz w:val="21"/>
                <w:szCs w:val="21"/>
              </w:rPr>
              <w:t>确定管理体系的范围</w:t>
            </w:r>
          </w:p>
        </w:tc>
        <w:tc>
          <w:tcPr>
            <w:tcW w:w="1039"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QEO</w:t>
            </w:r>
          </w:p>
          <w:p>
            <w:pPr>
              <w:bidi w:val="0"/>
              <w:rPr>
                <w:rFonts w:hint="eastAsia" w:ascii="楷体" w:hAnsi="楷体" w:eastAsia="楷体" w:cs="楷体"/>
                <w:sz w:val="21"/>
                <w:szCs w:val="21"/>
              </w:rPr>
            </w:pPr>
            <w:r>
              <w:rPr>
                <w:rFonts w:hint="eastAsia" w:ascii="楷体" w:hAnsi="楷体" w:eastAsia="楷体" w:cs="楷体"/>
                <w:sz w:val="21"/>
                <w:szCs w:val="21"/>
              </w:rPr>
              <w:t>4.3</w:t>
            </w:r>
          </w:p>
          <w:p>
            <w:pPr>
              <w:bidi w:val="0"/>
              <w:rPr>
                <w:rFonts w:hint="eastAsia" w:ascii="楷体" w:hAnsi="楷体" w:eastAsia="楷体" w:cs="楷体"/>
                <w:sz w:val="21"/>
                <w:szCs w:val="21"/>
              </w:rPr>
            </w:pPr>
          </w:p>
        </w:tc>
        <w:tc>
          <w:tcPr>
            <w:tcW w:w="11348"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sym w:font="Wingdings 2" w:char="F098"/>
            </w:r>
            <w:r>
              <w:rPr>
                <w:rFonts w:hint="eastAsia" w:ascii="楷体" w:hAnsi="楷体" w:eastAsia="楷体" w:cs="楷体"/>
                <w:sz w:val="21"/>
                <w:szCs w:val="21"/>
                <w:lang w:val="en-US" w:eastAsia="zh-CN"/>
              </w:rPr>
              <w:t>查见公司《管理手册》</w:t>
            </w:r>
            <w:r>
              <w:rPr>
                <w:rFonts w:hint="eastAsia" w:ascii="楷体" w:hAnsi="楷体" w:eastAsia="楷体" w:cs="楷体"/>
                <w:sz w:val="21"/>
                <w:szCs w:val="21"/>
                <w:lang w:eastAsia="zh-CN"/>
              </w:rPr>
              <w:t>HT</w:t>
            </w:r>
            <w:r>
              <w:rPr>
                <w:rFonts w:hint="eastAsia" w:ascii="楷体" w:hAnsi="楷体" w:eastAsia="楷体" w:cs="楷体"/>
                <w:sz w:val="21"/>
                <w:szCs w:val="21"/>
              </w:rPr>
              <w:t>/QES-</w:t>
            </w:r>
            <w:r>
              <w:rPr>
                <w:rFonts w:hint="eastAsia" w:ascii="楷体" w:hAnsi="楷体" w:eastAsia="楷体" w:cs="楷体"/>
                <w:sz w:val="21"/>
                <w:szCs w:val="21"/>
                <w:lang w:eastAsia="zh-CN"/>
              </w:rPr>
              <w:t>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A</w:t>
            </w:r>
            <w:r>
              <w:rPr>
                <w:rFonts w:hint="eastAsia" w:ascii="楷体" w:hAnsi="楷体" w:eastAsia="楷体" w:cs="楷体"/>
                <w:sz w:val="21"/>
                <w:szCs w:val="21"/>
              </w:rPr>
              <w:t>O</w:t>
            </w:r>
            <w:r>
              <w:rPr>
                <w:rFonts w:hint="eastAsia" w:ascii="楷体" w:hAnsi="楷体" w:eastAsia="楷体" w:cs="楷体"/>
                <w:sz w:val="21"/>
                <w:szCs w:val="21"/>
                <w:lang w:val="en-US" w:eastAsia="zh-CN"/>
              </w:rPr>
              <w:t>版本,发布实施时间：2022年 7月1日。明确了管理体系的范围及边界。</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sym w:font="Wingdings 2" w:char="F098"/>
            </w:r>
            <w:r>
              <w:rPr>
                <w:rFonts w:hint="eastAsia" w:ascii="楷体" w:hAnsi="楷体" w:eastAsia="楷体" w:cs="楷体"/>
                <w:sz w:val="21"/>
                <w:szCs w:val="21"/>
                <w:lang w:val="en-US" w:eastAsia="zh-CN"/>
              </w:rPr>
              <w:t>公司认证的范围：</w:t>
            </w:r>
          </w:p>
          <w:p>
            <w:pPr>
              <w:bidi w:val="0"/>
              <w:rPr>
                <w:rFonts w:hint="eastAsia" w:ascii="楷体" w:hAnsi="楷体" w:eastAsia="楷体" w:cs="楷体"/>
                <w:sz w:val="21"/>
                <w:szCs w:val="21"/>
              </w:rPr>
            </w:pPr>
            <w:r>
              <w:rPr>
                <w:rFonts w:hint="eastAsia" w:ascii="楷体" w:hAnsi="楷体" w:eastAsia="楷体" w:cs="楷体"/>
                <w:sz w:val="21"/>
                <w:szCs w:val="21"/>
              </w:rPr>
              <w:t>Q：不锈钢网、丝网深加工产品（金属滤芯）的生产</w:t>
            </w:r>
          </w:p>
          <w:p>
            <w:pPr>
              <w:bidi w:val="0"/>
              <w:rPr>
                <w:rFonts w:hint="eastAsia" w:ascii="楷体" w:hAnsi="楷体" w:eastAsia="楷体" w:cs="楷体"/>
                <w:sz w:val="21"/>
                <w:szCs w:val="21"/>
              </w:rPr>
            </w:pPr>
            <w:r>
              <w:rPr>
                <w:rFonts w:hint="eastAsia" w:ascii="楷体" w:hAnsi="楷体" w:eastAsia="楷体" w:cs="楷体"/>
                <w:sz w:val="21"/>
                <w:szCs w:val="21"/>
              </w:rPr>
              <w:t>E：不锈钢网、丝网深加工产品（金属滤芯）的生产所涉及场所的相关环境管理活动</w:t>
            </w:r>
          </w:p>
          <w:p>
            <w:pPr>
              <w:bidi w:val="0"/>
              <w:rPr>
                <w:rFonts w:hint="eastAsia" w:ascii="楷体" w:hAnsi="楷体" w:eastAsia="楷体" w:cs="楷体"/>
                <w:sz w:val="21"/>
                <w:szCs w:val="21"/>
              </w:rPr>
            </w:pPr>
            <w:r>
              <w:rPr>
                <w:rFonts w:hint="eastAsia" w:ascii="楷体" w:hAnsi="楷体" w:eastAsia="楷体" w:cs="楷体"/>
                <w:sz w:val="21"/>
                <w:szCs w:val="21"/>
              </w:rPr>
              <w:t>O：不锈钢网、丝网深加工产品（金属滤芯）的生产所涉及场所的相关职业健康安全管理活动</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注册地址：</w:t>
            </w:r>
            <w:r>
              <w:rPr>
                <w:rFonts w:hint="eastAsia" w:ascii="楷体" w:hAnsi="楷体" w:eastAsia="楷体" w:cs="楷体"/>
                <w:sz w:val="21"/>
                <w:szCs w:val="21"/>
              </w:rPr>
              <w:t>安平县工业园东区纬一路5号</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经营地址：</w:t>
            </w:r>
            <w:r>
              <w:rPr>
                <w:rFonts w:hint="eastAsia" w:ascii="楷体" w:hAnsi="楷体" w:eastAsia="楷体" w:cs="楷体"/>
                <w:sz w:val="21"/>
                <w:szCs w:val="21"/>
              </w:rPr>
              <w:t>安平县工业园东区纬一路5号</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在确定管理体系的范围时考虑了公司的内外部因素和相关方的需求和期望，考虑了公司的产品和服务，考率了与公司的宗旨和战略方向一致。符合标准要求。</w:t>
            </w:r>
          </w:p>
        </w:tc>
        <w:tc>
          <w:tcPr>
            <w:tcW w:w="1068" w:type="dxa"/>
          </w:tcPr>
          <w:p>
            <w:pPr>
              <w:bidi w:val="0"/>
              <w:rPr>
                <w:rFonts w:hint="eastAsia" w:ascii="楷体" w:hAnsi="楷体" w:eastAsia="楷体" w:cs="楷体"/>
                <w:sz w:val="21"/>
                <w:szCs w:val="21"/>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5" w:type="dxa"/>
          </w:tcPr>
          <w:p>
            <w:pPr>
              <w:bidi w:val="0"/>
              <w:rPr>
                <w:rFonts w:hint="eastAsia" w:ascii="楷体" w:hAnsi="楷体" w:eastAsia="楷体" w:cs="楷体"/>
                <w:sz w:val="21"/>
                <w:szCs w:val="21"/>
              </w:rPr>
            </w:pPr>
            <w:r>
              <w:rPr>
                <w:rFonts w:hint="eastAsia" w:ascii="楷体" w:hAnsi="楷体" w:eastAsia="楷体" w:cs="楷体"/>
                <w:sz w:val="21"/>
                <w:szCs w:val="21"/>
              </w:rPr>
              <w:t>管理体系及其过程</w:t>
            </w:r>
          </w:p>
        </w:tc>
        <w:tc>
          <w:tcPr>
            <w:tcW w:w="1039"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QEO</w:t>
            </w:r>
          </w:p>
          <w:p>
            <w:pPr>
              <w:bidi w:val="0"/>
              <w:rPr>
                <w:rFonts w:hint="eastAsia" w:ascii="楷体" w:hAnsi="楷体" w:eastAsia="楷体" w:cs="楷体"/>
                <w:sz w:val="21"/>
                <w:szCs w:val="21"/>
              </w:rPr>
            </w:pPr>
            <w:r>
              <w:rPr>
                <w:rFonts w:hint="eastAsia" w:ascii="楷体" w:hAnsi="楷体" w:eastAsia="楷体" w:cs="楷体"/>
                <w:sz w:val="21"/>
                <w:szCs w:val="21"/>
              </w:rPr>
              <w:t xml:space="preserve">4.4 </w:t>
            </w:r>
          </w:p>
          <w:p>
            <w:pPr>
              <w:bidi w:val="0"/>
              <w:rPr>
                <w:rFonts w:hint="eastAsia" w:ascii="楷体" w:hAnsi="楷体" w:eastAsia="楷体" w:cs="楷体"/>
                <w:sz w:val="21"/>
                <w:szCs w:val="21"/>
              </w:rPr>
            </w:pPr>
          </w:p>
        </w:tc>
        <w:tc>
          <w:tcPr>
            <w:tcW w:w="11348" w:type="dxa"/>
          </w:tcPr>
          <w:p>
            <w:pPr>
              <w:bidi w:val="0"/>
              <w:rPr>
                <w:rFonts w:hint="eastAsia" w:ascii="楷体" w:hAnsi="楷体" w:eastAsia="楷体" w:cs="楷体"/>
                <w:sz w:val="21"/>
                <w:szCs w:val="21"/>
              </w:rPr>
            </w:pPr>
            <w:r>
              <w:rPr>
                <w:rFonts w:hint="eastAsia" w:ascii="楷体" w:hAnsi="楷体" w:eastAsia="楷体" w:cs="楷体"/>
                <w:sz w:val="21"/>
                <w:szCs w:val="21"/>
                <w:lang w:val="en-US" w:eastAsia="zh-CN"/>
              </w:rPr>
              <w:sym w:font="Wingdings 2" w:char="F098"/>
            </w:r>
            <w:r>
              <w:rPr>
                <w:rFonts w:hint="eastAsia" w:ascii="楷体" w:hAnsi="楷体" w:eastAsia="楷体" w:cs="楷体"/>
                <w:sz w:val="21"/>
                <w:szCs w:val="21"/>
                <w:lang w:val="zh-CN"/>
              </w:rPr>
              <w:t xml:space="preserve">本公司按照 </w:t>
            </w:r>
            <w:r>
              <w:rPr>
                <w:rFonts w:hint="eastAsia" w:ascii="楷体" w:hAnsi="楷体" w:eastAsia="楷体" w:cs="楷体"/>
                <w:sz w:val="21"/>
                <w:szCs w:val="21"/>
              </w:rPr>
              <w:t>GB/T19001-2016</w:t>
            </w:r>
            <w:r>
              <w:rPr>
                <w:rFonts w:hint="eastAsia" w:ascii="楷体" w:hAnsi="楷体" w:eastAsia="楷体" w:cs="楷体"/>
                <w:sz w:val="21"/>
                <w:szCs w:val="21"/>
                <w:lang w:val="zh-CN"/>
              </w:rPr>
              <w:t xml:space="preserve">、 </w:t>
            </w:r>
            <w:r>
              <w:rPr>
                <w:rFonts w:hint="eastAsia" w:ascii="楷体" w:hAnsi="楷体" w:eastAsia="楷体" w:cs="楷体"/>
                <w:sz w:val="21"/>
                <w:szCs w:val="21"/>
              </w:rPr>
              <w:t>GB/T2</w:t>
            </w:r>
            <w:r>
              <w:rPr>
                <w:rFonts w:hint="eastAsia" w:ascii="楷体" w:hAnsi="楷体" w:eastAsia="楷体" w:cs="楷体"/>
                <w:sz w:val="21"/>
                <w:szCs w:val="21"/>
                <w:lang w:val="zh-CN"/>
              </w:rPr>
              <w:t>4001</w:t>
            </w:r>
            <w:r>
              <w:rPr>
                <w:rFonts w:hint="eastAsia" w:ascii="楷体" w:hAnsi="楷体" w:eastAsia="楷体" w:cs="楷体"/>
                <w:sz w:val="21"/>
                <w:szCs w:val="21"/>
              </w:rPr>
              <w:t>-2016</w:t>
            </w:r>
            <w:r>
              <w:rPr>
                <w:rFonts w:hint="eastAsia" w:ascii="楷体" w:hAnsi="楷体" w:eastAsia="楷体" w:cs="楷体"/>
                <w:sz w:val="21"/>
                <w:szCs w:val="21"/>
                <w:lang w:val="zh-CN"/>
              </w:rPr>
              <w:t>和GB/T45001-2020</w:t>
            </w:r>
            <w:r>
              <w:rPr>
                <w:rFonts w:hint="eastAsia" w:ascii="楷体" w:hAnsi="楷体" w:eastAsia="楷体" w:cs="楷体"/>
                <w:sz w:val="21"/>
                <w:szCs w:val="21"/>
              </w:rPr>
              <w:t>等</w:t>
            </w:r>
            <w:r>
              <w:rPr>
                <w:rFonts w:hint="eastAsia" w:ascii="楷体" w:hAnsi="楷体" w:eastAsia="楷体" w:cs="楷体"/>
                <w:sz w:val="21"/>
                <w:szCs w:val="21"/>
                <w:lang w:val="zh-CN"/>
              </w:rPr>
              <w:t>标准的要求，</w:t>
            </w:r>
            <w:r>
              <w:rPr>
                <w:rFonts w:hint="eastAsia" w:ascii="楷体" w:hAnsi="楷体" w:eastAsia="楷体" w:cs="楷体"/>
                <w:sz w:val="21"/>
                <w:szCs w:val="21"/>
              </w:rPr>
              <w:t>识别了经营各环节的过程及其相互作用，建立了</w:t>
            </w:r>
            <w:r>
              <w:rPr>
                <w:rFonts w:hint="eastAsia" w:ascii="楷体" w:hAnsi="楷体" w:eastAsia="楷体" w:cs="楷体"/>
                <w:sz w:val="21"/>
                <w:szCs w:val="21"/>
                <w:lang w:val="zh-CN"/>
              </w:rPr>
              <w:t>质量/环境/职业健康安全管理体系,</w:t>
            </w:r>
            <w:r>
              <w:rPr>
                <w:rFonts w:hint="eastAsia" w:ascii="楷体" w:hAnsi="楷体" w:eastAsia="楷体" w:cs="楷体"/>
                <w:sz w:val="21"/>
                <w:szCs w:val="21"/>
              </w:rPr>
              <w:t>并形成文件，本公司全体员工将有效地贯彻执行并持续改进其有效性。</w:t>
            </w:r>
          </w:p>
          <w:p>
            <w:pPr>
              <w:bidi w:val="0"/>
              <w:rPr>
                <w:rFonts w:hint="eastAsia" w:ascii="楷体" w:hAnsi="楷体" w:eastAsia="楷体" w:cs="楷体"/>
                <w:sz w:val="21"/>
                <w:szCs w:val="21"/>
              </w:rPr>
            </w:pPr>
            <w:r>
              <w:rPr>
                <w:rFonts w:hint="eastAsia" w:ascii="楷体" w:hAnsi="楷体" w:eastAsia="楷体" w:cs="楷体"/>
                <w:sz w:val="21"/>
                <w:szCs w:val="21"/>
              </w:rPr>
              <w:t>管理体系及其过程：公司于202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7月初</w:t>
            </w:r>
            <w:r>
              <w:rPr>
                <w:rFonts w:hint="eastAsia" w:ascii="楷体" w:hAnsi="楷体" w:eastAsia="楷体" w:cs="楷体"/>
                <w:sz w:val="21"/>
                <w:szCs w:val="21"/>
              </w:rPr>
              <w:t>对质量/环境/职业健康安全管理体系进行策划，识别了各个过程、环境因素、危险源等，编制了管理手册、程序文件、</w:t>
            </w:r>
            <w:r>
              <w:rPr>
                <w:rFonts w:hint="eastAsia" w:ascii="楷体" w:hAnsi="楷体" w:eastAsia="楷体" w:cs="楷体"/>
                <w:sz w:val="21"/>
                <w:szCs w:val="21"/>
                <w:lang w:eastAsia="zh-CN"/>
              </w:rPr>
              <w:t>三级作业</w:t>
            </w:r>
            <w:r>
              <w:rPr>
                <w:rFonts w:hint="eastAsia" w:ascii="楷体" w:hAnsi="楷体" w:eastAsia="楷体" w:cs="楷体"/>
                <w:sz w:val="21"/>
                <w:szCs w:val="21"/>
              </w:rPr>
              <w:t>文件及记录，于202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日</w:t>
            </w:r>
            <w:r>
              <w:rPr>
                <w:rFonts w:hint="eastAsia" w:ascii="楷体" w:hAnsi="楷体" w:eastAsia="楷体" w:cs="楷体"/>
                <w:sz w:val="21"/>
                <w:szCs w:val="21"/>
                <w:lang w:val="zh-CN"/>
              </w:rPr>
              <w:t>发布</w:t>
            </w:r>
            <w:r>
              <w:rPr>
                <w:rFonts w:hint="eastAsia" w:ascii="楷体" w:hAnsi="楷体" w:eastAsia="楷体" w:cs="楷体"/>
                <w:sz w:val="21"/>
                <w:szCs w:val="21"/>
              </w:rPr>
              <w:t>并</w:t>
            </w:r>
            <w:r>
              <w:rPr>
                <w:rFonts w:hint="eastAsia" w:ascii="楷体" w:hAnsi="楷体" w:eastAsia="楷体" w:cs="楷体"/>
                <w:sz w:val="21"/>
                <w:szCs w:val="21"/>
                <w:lang w:val="zh-CN"/>
              </w:rPr>
              <w:t>实施。经过</w:t>
            </w:r>
            <w:r>
              <w:rPr>
                <w:rFonts w:hint="eastAsia" w:ascii="楷体" w:hAnsi="楷体" w:eastAsia="楷体" w:cs="楷体"/>
                <w:sz w:val="21"/>
                <w:szCs w:val="21"/>
                <w:lang w:val="en-US" w:eastAsia="zh-CN"/>
              </w:rPr>
              <w:t>八</w:t>
            </w:r>
            <w:r>
              <w:rPr>
                <w:rFonts w:hint="eastAsia" w:ascii="楷体" w:hAnsi="楷体" w:eastAsia="楷体" w:cs="楷体"/>
                <w:sz w:val="21"/>
                <w:szCs w:val="21"/>
                <w:lang w:val="zh-CN"/>
              </w:rPr>
              <w:t>个多月</w:t>
            </w:r>
            <w:r>
              <w:rPr>
                <w:rFonts w:hint="eastAsia" w:ascii="楷体" w:hAnsi="楷体" w:eastAsia="楷体" w:cs="楷体"/>
                <w:sz w:val="21"/>
                <w:szCs w:val="21"/>
              </w:rPr>
              <w:t>的运行，管理体系运行正常。</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sym w:font="Wingdings 2" w:char="F098"/>
            </w:r>
            <w:r>
              <w:rPr>
                <w:rFonts w:hint="eastAsia" w:ascii="楷体" w:hAnsi="楷体" w:eastAsia="楷体" w:cs="楷体"/>
                <w:sz w:val="21"/>
                <w:szCs w:val="21"/>
                <w:lang w:val="en-US" w:eastAsia="zh-CN"/>
              </w:rPr>
              <w:t>经识别，</w:t>
            </w:r>
            <w:r>
              <w:rPr>
                <w:rFonts w:hint="eastAsia" w:ascii="楷体" w:hAnsi="楷体" w:eastAsia="楷体" w:cs="楷体"/>
                <w:sz w:val="21"/>
                <w:szCs w:val="21"/>
                <w:lang w:eastAsia="zh-CN"/>
              </w:rPr>
              <w:t>外包过程为</w:t>
            </w:r>
            <w:r>
              <w:rPr>
                <w:rFonts w:hint="eastAsia" w:ascii="楷体" w:hAnsi="楷体" w:eastAsia="楷体" w:cs="楷体"/>
                <w:sz w:val="21"/>
                <w:szCs w:val="21"/>
                <w:lang w:val="en-US" w:eastAsia="zh-CN"/>
              </w:rPr>
              <w:t>:</w:t>
            </w:r>
            <w:r>
              <w:rPr>
                <w:rFonts w:hint="eastAsia" w:ascii="楷体" w:hAnsi="楷体" w:eastAsia="楷体" w:cs="楷体"/>
                <w:sz w:val="21"/>
                <w:szCs w:val="21"/>
              </w:rPr>
              <w:t>货物运输</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清洗（电解、抛光）</w:t>
            </w:r>
          </w:p>
        </w:tc>
        <w:tc>
          <w:tcPr>
            <w:tcW w:w="1068" w:type="dxa"/>
          </w:tcPr>
          <w:p>
            <w:pPr>
              <w:bidi w:val="0"/>
              <w:rPr>
                <w:rFonts w:hint="eastAsia" w:ascii="楷体" w:hAnsi="楷体" w:eastAsia="楷体" w:cs="楷体"/>
                <w:sz w:val="21"/>
                <w:szCs w:val="21"/>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45" w:type="dxa"/>
          </w:tcPr>
          <w:p>
            <w:pPr>
              <w:bidi w:val="0"/>
              <w:rPr>
                <w:rFonts w:hint="eastAsia" w:ascii="楷体" w:hAnsi="楷体" w:eastAsia="楷体" w:cs="楷体"/>
                <w:sz w:val="21"/>
                <w:szCs w:val="21"/>
              </w:rPr>
            </w:pPr>
            <w:r>
              <w:rPr>
                <w:rFonts w:hint="eastAsia" w:ascii="楷体" w:hAnsi="楷体" w:eastAsia="楷体" w:cs="楷体"/>
                <w:sz w:val="21"/>
                <w:szCs w:val="21"/>
              </w:rPr>
              <w:t>领导作用和承诺</w:t>
            </w:r>
          </w:p>
        </w:tc>
        <w:tc>
          <w:tcPr>
            <w:tcW w:w="1039"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QEO</w:t>
            </w:r>
          </w:p>
          <w:p>
            <w:pPr>
              <w:bidi w:val="0"/>
              <w:rPr>
                <w:rFonts w:hint="eastAsia" w:ascii="楷体" w:hAnsi="楷体" w:eastAsia="楷体" w:cs="楷体"/>
                <w:sz w:val="21"/>
                <w:szCs w:val="21"/>
              </w:rPr>
            </w:pPr>
            <w:r>
              <w:rPr>
                <w:rFonts w:hint="eastAsia" w:ascii="楷体" w:hAnsi="楷体" w:eastAsia="楷体" w:cs="楷体"/>
                <w:sz w:val="21"/>
                <w:szCs w:val="21"/>
              </w:rPr>
              <w:t>5.1</w:t>
            </w:r>
          </w:p>
          <w:p>
            <w:pPr>
              <w:bidi w:val="0"/>
              <w:rPr>
                <w:rFonts w:hint="eastAsia" w:ascii="楷体" w:hAnsi="楷体" w:eastAsia="楷体" w:cs="楷体"/>
                <w:sz w:val="21"/>
                <w:szCs w:val="21"/>
              </w:rPr>
            </w:pPr>
          </w:p>
        </w:tc>
        <w:tc>
          <w:tcPr>
            <w:tcW w:w="11348" w:type="dxa"/>
          </w:tcPr>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sym w:font="Wingdings 2" w:char="F098"/>
            </w:r>
            <w:r>
              <w:rPr>
                <w:rFonts w:hint="eastAsia" w:ascii="楷体" w:hAnsi="楷体" w:eastAsia="楷体" w:cs="楷体"/>
                <w:sz w:val="21"/>
                <w:szCs w:val="21"/>
              </w:rPr>
              <w:t>公司最高管理者通过以下活动证实其对质量环境职业健康安全管理体系的领导作用和承诺：</w:t>
            </w:r>
            <w:r>
              <w:rPr>
                <w:rFonts w:hint="eastAsia" w:ascii="楷体" w:hAnsi="楷体" w:eastAsia="楷体" w:cs="楷体"/>
                <w:sz w:val="21"/>
                <w:szCs w:val="21"/>
              </w:rPr>
              <w:br w:type="textWrapping"/>
            </w:r>
            <w:r>
              <w:rPr>
                <w:rFonts w:hint="eastAsia" w:ascii="楷体" w:hAnsi="楷体" w:eastAsia="楷体" w:cs="楷体"/>
                <w:sz w:val="21"/>
                <w:szCs w:val="21"/>
                <w:lang w:eastAsia="zh-CN"/>
              </w:rPr>
              <w:t>制定方针和目标，建立培训系统，建立合理的组织结构，建立有效的沟通渠道，创造良好的氛围，推动改进，对管理体系有效性承担责任等方面；</w:t>
            </w:r>
          </w:p>
          <w:p>
            <w:pPr>
              <w:bidi w:val="0"/>
              <w:rPr>
                <w:rFonts w:hint="eastAsia" w:ascii="楷体" w:hAnsi="楷体" w:eastAsia="楷体" w:cs="楷体"/>
                <w:sz w:val="21"/>
                <w:szCs w:val="21"/>
                <w:lang w:eastAsia="zh-CN"/>
              </w:rPr>
            </w:pPr>
            <w:r>
              <w:rPr>
                <w:rFonts w:hint="eastAsia" w:ascii="楷体" w:hAnsi="楷体" w:eastAsia="楷体" w:cs="楷体"/>
                <w:sz w:val="21"/>
                <w:szCs w:val="21"/>
                <w:lang w:eastAsia="zh-CN"/>
              </w:rPr>
              <w:t>与</w:t>
            </w:r>
            <w:r>
              <w:rPr>
                <w:rFonts w:hint="eastAsia" w:ascii="楷体" w:hAnsi="楷体" w:eastAsia="楷体" w:cs="楷体"/>
                <w:sz w:val="21"/>
                <w:szCs w:val="21"/>
                <w:lang w:val="en-US" w:eastAsia="zh-CN"/>
              </w:rPr>
              <w:t>李经理</w:t>
            </w:r>
            <w:r>
              <w:rPr>
                <w:rFonts w:hint="eastAsia" w:ascii="楷体" w:hAnsi="楷体" w:eastAsia="楷体" w:cs="楷体"/>
                <w:sz w:val="21"/>
                <w:szCs w:val="21"/>
                <w:lang w:eastAsia="zh-CN"/>
              </w:rPr>
              <w:t>沟通，有较强的管意识，能说出自己对于体系的领导作用和承诺，回答基本正确。</w:t>
            </w:r>
          </w:p>
          <w:p>
            <w:pPr>
              <w:bidi w:val="0"/>
              <w:rPr>
                <w:rFonts w:hint="eastAsia" w:ascii="楷体" w:hAnsi="楷体" w:eastAsia="楷体" w:cs="楷体"/>
                <w:sz w:val="21"/>
                <w:szCs w:val="21"/>
              </w:rPr>
            </w:pPr>
            <w:r>
              <w:rPr>
                <w:rFonts w:hint="eastAsia" w:ascii="楷体" w:hAnsi="楷体" w:eastAsia="楷体" w:cs="楷体"/>
                <w:sz w:val="21"/>
                <w:szCs w:val="21"/>
              </w:rPr>
              <w:t>公司最高管理者组织相关部门制订发展规划、管理承诺、管理方针及管理目标，</w:t>
            </w:r>
            <w:r>
              <w:rPr>
                <w:rFonts w:hint="eastAsia" w:ascii="楷体" w:hAnsi="楷体" w:eastAsia="楷体" w:cs="楷体"/>
                <w:sz w:val="21"/>
                <w:szCs w:val="21"/>
                <w:lang w:eastAsia="zh-CN"/>
              </w:rPr>
              <w:t>始终致力于顾客满意，</w:t>
            </w:r>
            <w:r>
              <w:rPr>
                <w:rFonts w:hint="eastAsia" w:ascii="楷体" w:hAnsi="楷体" w:eastAsia="楷体" w:cs="楷体"/>
                <w:sz w:val="21"/>
                <w:szCs w:val="21"/>
              </w:rPr>
              <w:t>提高员工队伍整体素质。</w:t>
            </w:r>
          </w:p>
        </w:tc>
        <w:tc>
          <w:tcPr>
            <w:tcW w:w="1068" w:type="dxa"/>
          </w:tcPr>
          <w:p>
            <w:pPr>
              <w:bidi w:val="0"/>
              <w:rPr>
                <w:rFonts w:hint="eastAsia" w:ascii="楷体" w:hAnsi="楷体" w:eastAsia="楷体" w:cs="楷体"/>
                <w:sz w:val="21"/>
                <w:szCs w:val="21"/>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8" w:hRule="atLeast"/>
        </w:trPr>
        <w:tc>
          <w:tcPr>
            <w:tcW w:w="1545" w:type="dxa"/>
          </w:tcPr>
          <w:p>
            <w:pPr>
              <w:bidi w:val="0"/>
              <w:rPr>
                <w:rFonts w:hint="eastAsia" w:ascii="楷体" w:hAnsi="楷体" w:eastAsia="楷体" w:cs="楷体"/>
                <w:sz w:val="21"/>
                <w:szCs w:val="21"/>
              </w:rPr>
            </w:pPr>
            <w:r>
              <w:rPr>
                <w:rFonts w:hint="eastAsia" w:ascii="楷体" w:hAnsi="楷体" w:eastAsia="楷体" w:cs="楷体"/>
                <w:sz w:val="21"/>
                <w:szCs w:val="21"/>
              </w:rPr>
              <w:t>管理方针</w:t>
            </w:r>
          </w:p>
        </w:tc>
        <w:tc>
          <w:tcPr>
            <w:tcW w:w="1039"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QEO</w:t>
            </w:r>
          </w:p>
          <w:p>
            <w:pPr>
              <w:bidi w:val="0"/>
              <w:rPr>
                <w:rFonts w:hint="eastAsia" w:ascii="楷体" w:hAnsi="楷体" w:eastAsia="楷体" w:cs="楷体"/>
                <w:sz w:val="21"/>
                <w:szCs w:val="21"/>
              </w:rPr>
            </w:pPr>
            <w:r>
              <w:rPr>
                <w:rFonts w:hint="eastAsia" w:ascii="楷体" w:hAnsi="楷体" w:eastAsia="楷体" w:cs="楷体"/>
                <w:sz w:val="21"/>
                <w:szCs w:val="21"/>
              </w:rPr>
              <w:t>5.2</w:t>
            </w:r>
          </w:p>
          <w:p>
            <w:pPr>
              <w:bidi w:val="0"/>
              <w:rPr>
                <w:rFonts w:hint="eastAsia" w:ascii="楷体" w:hAnsi="楷体" w:eastAsia="楷体" w:cs="楷体"/>
                <w:sz w:val="21"/>
                <w:szCs w:val="21"/>
              </w:rPr>
            </w:pPr>
          </w:p>
        </w:tc>
        <w:tc>
          <w:tcPr>
            <w:tcW w:w="11348" w:type="dxa"/>
          </w:tcPr>
          <w:p>
            <w:pPr>
              <w:bidi w:val="0"/>
              <w:rPr>
                <w:rFonts w:hint="eastAsia" w:ascii="楷体" w:hAnsi="楷体" w:eastAsia="楷体" w:cs="楷体"/>
                <w:sz w:val="21"/>
                <w:szCs w:val="21"/>
              </w:rPr>
            </w:pPr>
            <w:r>
              <w:rPr>
                <w:rFonts w:hint="eastAsia" w:ascii="楷体" w:hAnsi="楷体" w:eastAsia="楷体" w:cs="楷体"/>
                <w:sz w:val="21"/>
                <w:szCs w:val="21"/>
                <w:lang w:eastAsia="zh-CN"/>
              </w:rPr>
              <w:t>查见《</w:t>
            </w:r>
            <w:r>
              <w:rPr>
                <w:rFonts w:hint="eastAsia" w:ascii="楷体" w:hAnsi="楷体" w:eastAsia="楷体" w:cs="楷体"/>
                <w:sz w:val="21"/>
                <w:szCs w:val="21"/>
              </w:rPr>
              <w:t>管</w:t>
            </w:r>
            <w:r>
              <w:rPr>
                <w:rFonts w:hint="eastAsia" w:ascii="楷体" w:hAnsi="楷体" w:eastAsia="楷体" w:cs="楷体"/>
                <w:sz w:val="21"/>
                <w:szCs w:val="21"/>
                <w:lang w:eastAsia="zh-CN"/>
              </w:rPr>
              <w:t>理手册》HT</w:t>
            </w:r>
            <w:r>
              <w:rPr>
                <w:rFonts w:hint="eastAsia" w:ascii="楷体" w:hAnsi="楷体" w:eastAsia="楷体" w:cs="楷体"/>
                <w:sz w:val="21"/>
                <w:szCs w:val="21"/>
              </w:rPr>
              <w:t>/QES-</w:t>
            </w:r>
            <w:r>
              <w:rPr>
                <w:rFonts w:hint="eastAsia" w:ascii="楷体" w:hAnsi="楷体" w:eastAsia="楷体" w:cs="楷体"/>
                <w:sz w:val="21"/>
                <w:szCs w:val="21"/>
                <w:lang w:eastAsia="zh-CN"/>
              </w:rPr>
              <w:t>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A</w:t>
            </w:r>
            <w:r>
              <w:rPr>
                <w:rFonts w:hint="eastAsia" w:ascii="楷体" w:hAnsi="楷体" w:eastAsia="楷体" w:cs="楷体"/>
                <w:sz w:val="21"/>
                <w:szCs w:val="21"/>
              </w:rPr>
              <w:t>O</w:t>
            </w:r>
            <w:r>
              <w:rPr>
                <w:rFonts w:hint="eastAsia" w:ascii="楷体" w:hAnsi="楷体" w:eastAsia="楷体" w:cs="楷体"/>
                <w:sz w:val="21"/>
                <w:szCs w:val="21"/>
                <w:lang w:eastAsia="zh-CN"/>
              </w:rPr>
              <w:t>，</w:t>
            </w:r>
            <w:r>
              <w:rPr>
                <w:rFonts w:hint="eastAsia" w:ascii="楷体" w:hAnsi="楷体" w:eastAsia="楷体" w:cs="楷体"/>
                <w:sz w:val="21"/>
                <w:szCs w:val="21"/>
              </w:rPr>
              <w:t>制定了</w:t>
            </w:r>
            <w:r>
              <w:rPr>
                <w:rFonts w:hint="eastAsia" w:ascii="楷体" w:hAnsi="楷体" w:eastAsia="楷体" w:cs="楷体"/>
                <w:sz w:val="21"/>
                <w:szCs w:val="21"/>
                <w:lang w:eastAsia="zh-CN"/>
              </w:rPr>
              <w:t>企业的</w:t>
            </w:r>
            <w:r>
              <w:rPr>
                <w:rFonts w:hint="eastAsia" w:ascii="楷体" w:hAnsi="楷体" w:eastAsia="楷体" w:cs="楷体"/>
                <w:sz w:val="21"/>
                <w:szCs w:val="21"/>
              </w:rPr>
              <w:t>管理方针：</w:t>
            </w:r>
          </w:p>
          <w:p>
            <w:pPr>
              <w:bidi w:val="0"/>
              <w:rPr>
                <w:rFonts w:hint="eastAsia" w:ascii="楷体" w:hAnsi="楷体" w:eastAsia="楷体" w:cs="楷体"/>
                <w:sz w:val="21"/>
                <w:szCs w:val="21"/>
              </w:rPr>
            </w:pPr>
            <w:r>
              <w:rPr>
                <w:rFonts w:hint="eastAsia" w:ascii="楷体" w:hAnsi="楷体" w:eastAsia="楷体" w:cs="楷体"/>
                <w:sz w:val="21"/>
                <w:szCs w:val="21"/>
              </w:rPr>
              <w:t>创新求精，不断提升产品与服务质量，促进快速发展</w:t>
            </w:r>
          </w:p>
          <w:p>
            <w:pPr>
              <w:bidi w:val="0"/>
              <w:rPr>
                <w:rFonts w:hint="eastAsia" w:ascii="楷体" w:hAnsi="楷体" w:eastAsia="楷体" w:cs="楷体"/>
                <w:sz w:val="21"/>
                <w:szCs w:val="21"/>
              </w:rPr>
            </w:pPr>
            <w:r>
              <w:rPr>
                <w:rFonts w:hint="eastAsia" w:ascii="楷体" w:hAnsi="楷体" w:eastAsia="楷体" w:cs="楷体"/>
                <w:sz w:val="21"/>
                <w:szCs w:val="21"/>
              </w:rPr>
              <w:t>节能降耗，注重环境保护与污染预防，促进协调发展</w:t>
            </w:r>
          </w:p>
          <w:p>
            <w:pPr>
              <w:bidi w:val="0"/>
              <w:rPr>
                <w:rFonts w:hint="eastAsia" w:ascii="楷体" w:hAnsi="楷体" w:eastAsia="楷体" w:cs="楷体"/>
                <w:sz w:val="21"/>
                <w:szCs w:val="21"/>
              </w:rPr>
            </w:pPr>
            <w:r>
              <w:rPr>
                <w:rFonts w:hint="eastAsia" w:ascii="楷体" w:hAnsi="楷体" w:eastAsia="楷体" w:cs="楷体"/>
                <w:sz w:val="21"/>
                <w:szCs w:val="21"/>
              </w:rPr>
              <w:t>以人为本，确保职业健康与劳动安全，促进和谐发展</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守法诚信，坚持预防为主与持续改进，追求卓越绩效</w:t>
            </w:r>
            <w:r>
              <w:rPr>
                <w:rFonts w:hint="eastAsia" w:ascii="楷体" w:hAnsi="楷体" w:eastAsia="楷体" w:cs="楷体"/>
                <w:sz w:val="21"/>
                <w:szCs w:val="21"/>
                <w:lang w:val="en-US" w:eastAsia="zh-CN"/>
              </w:rPr>
              <w:t>。</w:t>
            </w:r>
          </w:p>
          <w:p>
            <w:pPr>
              <w:bidi w:val="0"/>
              <w:rPr>
                <w:rFonts w:hint="eastAsia" w:ascii="楷体" w:hAnsi="楷体" w:eastAsia="楷体" w:cs="楷体"/>
                <w:sz w:val="21"/>
                <w:szCs w:val="21"/>
              </w:rPr>
            </w:pPr>
            <w:r>
              <w:rPr>
                <w:rFonts w:hint="eastAsia" w:ascii="楷体" w:hAnsi="楷体" w:eastAsia="楷体" w:cs="楷体"/>
                <w:sz w:val="21"/>
                <w:szCs w:val="21"/>
              </w:rPr>
              <w:t>公司的管理方针记录在</w:t>
            </w:r>
            <w:r>
              <w:rPr>
                <w:rFonts w:hint="eastAsia" w:ascii="楷体" w:hAnsi="楷体" w:eastAsia="楷体" w:cs="楷体"/>
                <w:sz w:val="21"/>
                <w:szCs w:val="21"/>
                <w:lang w:eastAsia="zh-CN"/>
              </w:rPr>
              <w:t>《</w:t>
            </w:r>
            <w:r>
              <w:rPr>
                <w:rFonts w:hint="eastAsia" w:ascii="楷体" w:hAnsi="楷体" w:eastAsia="楷体" w:cs="楷体"/>
                <w:sz w:val="21"/>
                <w:szCs w:val="21"/>
              </w:rPr>
              <w:t>管理手册</w:t>
            </w:r>
            <w:r>
              <w:rPr>
                <w:rFonts w:hint="eastAsia" w:ascii="楷体" w:hAnsi="楷体" w:eastAsia="楷体" w:cs="楷体"/>
                <w:sz w:val="21"/>
                <w:szCs w:val="21"/>
                <w:lang w:eastAsia="zh-CN"/>
              </w:rPr>
              <w:t>》</w:t>
            </w:r>
            <w:r>
              <w:rPr>
                <w:rFonts w:hint="eastAsia" w:ascii="楷体" w:hAnsi="楷体" w:eastAsia="楷体" w:cs="楷体"/>
                <w:sz w:val="21"/>
                <w:szCs w:val="21"/>
              </w:rPr>
              <w:t>中，并在组织内部得到广泛的宣传、沟通。</w:t>
            </w:r>
          </w:p>
          <w:p>
            <w:pPr>
              <w:bidi w:val="0"/>
              <w:rPr>
                <w:rFonts w:hint="eastAsia" w:ascii="楷体" w:hAnsi="楷体" w:eastAsia="楷体" w:cs="楷体"/>
                <w:sz w:val="21"/>
                <w:szCs w:val="21"/>
              </w:rPr>
            </w:pPr>
            <w:r>
              <w:rPr>
                <w:rFonts w:hint="eastAsia" w:ascii="楷体" w:hAnsi="楷体" w:eastAsia="楷体" w:cs="楷体"/>
                <w:sz w:val="21"/>
                <w:szCs w:val="21"/>
              </w:rPr>
              <w:t>方针是管理层共同研究决定的，结合了公司</w:t>
            </w:r>
            <w:r>
              <w:rPr>
                <w:rFonts w:hint="eastAsia" w:ascii="楷体" w:hAnsi="楷体" w:eastAsia="楷体" w:cs="楷体"/>
                <w:sz w:val="21"/>
                <w:szCs w:val="21"/>
                <w:lang w:eastAsia="zh-CN"/>
              </w:rPr>
              <w:t>服务</w:t>
            </w:r>
            <w:r>
              <w:rPr>
                <w:rFonts w:hint="eastAsia" w:ascii="楷体" w:hAnsi="楷体" w:eastAsia="楷体" w:cs="楷体"/>
                <w:sz w:val="21"/>
                <w:szCs w:val="21"/>
              </w:rPr>
              <w:t>特点和目前的实际状况。方针初步制定后，由公司员工进行讨论，在公司</w:t>
            </w:r>
            <w:r>
              <w:rPr>
                <w:rFonts w:hint="eastAsia" w:ascii="楷体" w:hAnsi="楷体" w:eastAsia="楷体" w:cs="楷体"/>
                <w:sz w:val="21"/>
                <w:szCs w:val="21"/>
                <w:lang w:eastAsia="zh-CN"/>
              </w:rPr>
              <w:t>管理</w:t>
            </w:r>
            <w:r>
              <w:rPr>
                <w:rFonts w:hint="eastAsia" w:ascii="楷体" w:hAnsi="楷体" w:eastAsia="楷体" w:cs="楷体"/>
                <w:sz w:val="21"/>
                <w:szCs w:val="21"/>
              </w:rPr>
              <w:t>体系文件的发布会上，对管理方针和目标进行了讲解，使全体员工能够理解。同时，</w:t>
            </w:r>
            <w:r>
              <w:rPr>
                <w:rFonts w:hint="eastAsia" w:ascii="楷体" w:hAnsi="楷体" w:eastAsia="楷体" w:cs="楷体"/>
                <w:sz w:val="21"/>
                <w:szCs w:val="21"/>
                <w:lang w:eastAsia="zh-CN"/>
              </w:rPr>
              <w:t>通过贯标培训</w:t>
            </w:r>
            <w:r>
              <w:rPr>
                <w:rFonts w:hint="eastAsia" w:ascii="楷体" w:hAnsi="楷体" w:eastAsia="楷体" w:cs="楷体"/>
                <w:sz w:val="21"/>
                <w:szCs w:val="21"/>
              </w:rPr>
              <w:t>、文件下发，内部理解，实施过程中，始终强调方针的意义的内涵。</w:t>
            </w:r>
          </w:p>
          <w:p>
            <w:pPr>
              <w:bidi w:val="0"/>
              <w:rPr>
                <w:rFonts w:hint="eastAsia" w:ascii="楷体" w:hAnsi="楷体" w:eastAsia="楷体" w:cs="楷体"/>
                <w:sz w:val="21"/>
                <w:szCs w:val="21"/>
              </w:rPr>
            </w:pPr>
            <w:r>
              <w:rPr>
                <w:rFonts w:hint="eastAsia" w:ascii="楷体" w:hAnsi="楷体" w:eastAsia="楷体" w:cs="楷体"/>
                <w:sz w:val="21"/>
                <w:szCs w:val="21"/>
                <w:lang w:eastAsia="zh-CN"/>
              </w:rPr>
              <w:t>管理方针</w:t>
            </w:r>
            <w:r>
              <w:rPr>
                <w:rFonts w:hint="eastAsia" w:ascii="楷体" w:hAnsi="楷体" w:eastAsia="楷体" w:cs="楷体"/>
                <w:sz w:val="21"/>
                <w:szCs w:val="21"/>
              </w:rPr>
              <w:t>通过</w:t>
            </w:r>
            <w:r>
              <w:rPr>
                <w:rFonts w:hint="eastAsia" w:ascii="楷体" w:hAnsi="楷体" w:eastAsia="楷体" w:cs="楷体"/>
                <w:sz w:val="21"/>
                <w:szCs w:val="21"/>
                <w:lang w:eastAsia="zh-CN"/>
              </w:rPr>
              <w:t>签订安全协议</w:t>
            </w:r>
            <w:r>
              <w:rPr>
                <w:rFonts w:hint="eastAsia" w:ascii="楷体" w:hAnsi="楷体" w:eastAsia="楷体" w:cs="楷体"/>
                <w:sz w:val="21"/>
                <w:szCs w:val="21"/>
              </w:rPr>
              <w:t>、</w:t>
            </w:r>
            <w:r>
              <w:rPr>
                <w:rFonts w:hint="eastAsia" w:ascii="楷体" w:hAnsi="楷体" w:eastAsia="楷体" w:cs="楷体"/>
                <w:sz w:val="21"/>
                <w:szCs w:val="21"/>
                <w:lang w:eastAsia="zh-CN"/>
              </w:rPr>
              <w:t>相关方</w:t>
            </w:r>
            <w:r>
              <w:rPr>
                <w:rFonts w:hint="eastAsia" w:ascii="楷体" w:hAnsi="楷体" w:eastAsia="楷体" w:cs="楷体"/>
                <w:sz w:val="21"/>
                <w:szCs w:val="21"/>
              </w:rPr>
              <w:t>告知、合同等方式向相关方提供。</w:t>
            </w:r>
          </w:p>
          <w:p>
            <w:pPr>
              <w:bidi w:val="0"/>
              <w:rPr>
                <w:rFonts w:hint="eastAsia" w:ascii="楷体" w:hAnsi="楷体" w:eastAsia="楷体" w:cs="楷体"/>
                <w:sz w:val="21"/>
                <w:szCs w:val="21"/>
              </w:rPr>
            </w:pPr>
            <w:r>
              <w:rPr>
                <w:rFonts w:hint="eastAsia" w:ascii="楷体" w:hAnsi="楷体" w:eastAsia="楷体" w:cs="楷体"/>
                <w:sz w:val="21"/>
                <w:szCs w:val="21"/>
              </w:rPr>
              <w:t>经</w:t>
            </w:r>
            <w:r>
              <w:rPr>
                <w:rFonts w:hint="eastAsia" w:ascii="楷体" w:hAnsi="楷体" w:eastAsia="楷体" w:cs="楷体"/>
                <w:sz w:val="21"/>
                <w:szCs w:val="21"/>
                <w:lang w:val="en-US" w:eastAsia="zh-CN"/>
              </w:rPr>
              <w:t>2022</w:t>
            </w:r>
            <w:r>
              <w:rPr>
                <w:rFonts w:hint="eastAsia" w:ascii="楷体" w:hAnsi="楷体" w:eastAsia="楷体" w:cs="楷体"/>
                <w:sz w:val="21"/>
                <w:szCs w:val="21"/>
              </w:rPr>
              <w:t>年</w:t>
            </w:r>
            <w:r>
              <w:rPr>
                <w:rFonts w:hint="eastAsia" w:ascii="楷体" w:hAnsi="楷体" w:eastAsia="楷体" w:cs="楷体"/>
                <w:sz w:val="21"/>
                <w:szCs w:val="21"/>
                <w:lang w:val="en-US" w:eastAsia="zh-CN"/>
              </w:rPr>
              <w:t>12</w:t>
            </w:r>
            <w:r>
              <w:rPr>
                <w:rFonts w:hint="eastAsia" w:ascii="楷体" w:hAnsi="楷体" w:eastAsia="楷体" w:cs="楷体"/>
                <w:sz w:val="21"/>
                <w:szCs w:val="21"/>
              </w:rPr>
              <w:t>月</w:t>
            </w:r>
            <w:r>
              <w:rPr>
                <w:rFonts w:hint="eastAsia" w:ascii="楷体" w:hAnsi="楷体" w:eastAsia="楷体" w:cs="楷体"/>
                <w:sz w:val="21"/>
                <w:szCs w:val="21"/>
                <w:lang w:val="en-US" w:eastAsia="zh-CN"/>
              </w:rPr>
              <w:t>19</w:t>
            </w:r>
            <w:r>
              <w:rPr>
                <w:rFonts w:hint="eastAsia" w:ascii="楷体" w:hAnsi="楷体" w:eastAsia="楷体" w:cs="楷体"/>
                <w:sz w:val="21"/>
                <w:szCs w:val="21"/>
              </w:rPr>
              <w:t>日</w:t>
            </w:r>
            <w:r>
              <w:rPr>
                <w:rFonts w:hint="eastAsia" w:ascii="楷体" w:hAnsi="楷体" w:eastAsia="楷体" w:cs="楷体"/>
                <w:sz w:val="21"/>
                <w:szCs w:val="21"/>
                <w:lang w:eastAsia="zh-CN"/>
              </w:rPr>
              <w:t>召开</w:t>
            </w:r>
            <w:r>
              <w:rPr>
                <w:rFonts w:hint="eastAsia" w:ascii="楷体" w:hAnsi="楷体" w:eastAsia="楷体" w:cs="楷体"/>
                <w:sz w:val="21"/>
                <w:szCs w:val="21"/>
              </w:rPr>
              <w:t>的管理评审</w:t>
            </w:r>
            <w:r>
              <w:rPr>
                <w:rFonts w:hint="eastAsia" w:ascii="楷体" w:hAnsi="楷体" w:eastAsia="楷体" w:cs="楷体"/>
                <w:sz w:val="21"/>
                <w:szCs w:val="21"/>
                <w:lang w:eastAsia="zh-CN"/>
              </w:rPr>
              <w:t>会议评价</w:t>
            </w:r>
            <w:r>
              <w:rPr>
                <w:rFonts w:hint="eastAsia" w:ascii="楷体" w:hAnsi="楷体" w:eastAsia="楷体" w:cs="楷体"/>
                <w:sz w:val="21"/>
                <w:szCs w:val="21"/>
              </w:rPr>
              <w:t>，管理方针适应其宗旨和环境并支持其长远战略方向；为制定管理目标提供框架；包括满足适用要求的承诺和持续改进质量管理体系的承诺。方针基本能够满足标准的要求。</w:t>
            </w:r>
          </w:p>
          <w:p>
            <w:pPr>
              <w:bidi w:val="0"/>
              <w:rPr>
                <w:rFonts w:hint="eastAsia" w:ascii="楷体" w:hAnsi="楷体" w:eastAsia="楷体" w:cs="楷体"/>
                <w:sz w:val="21"/>
                <w:szCs w:val="21"/>
              </w:rPr>
            </w:pPr>
            <w:r>
              <w:rPr>
                <w:rFonts w:hint="eastAsia" w:ascii="楷体" w:hAnsi="楷体" w:eastAsia="楷体" w:cs="楷体"/>
                <w:sz w:val="21"/>
                <w:szCs w:val="21"/>
              </w:rPr>
              <w:t>基本符合要求。</w:t>
            </w:r>
          </w:p>
        </w:tc>
        <w:tc>
          <w:tcPr>
            <w:tcW w:w="1068" w:type="dxa"/>
          </w:tcPr>
          <w:p>
            <w:pPr>
              <w:bidi w:val="0"/>
              <w:rPr>
                <w:rFonts w:hint="eastAsia" w:ascii="楷体" w:hAnsi="楷体" w:eastAsia="楷体" w:cs="楷体"/>
                <w:sz w:val="21"/>
                <w:szCs w:val="21"/>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545" w:type="dxa"/>
          </w:tcPr>
          <w:p>
            <w:pPr>
              <w:bidi w:val="0"/>
              <w:rPr>
                <w:rFonts w:hint="eastAsia" w:ascii="楷体" w:hAnsi="楷体" w:eastAsia="楷体" w:cs="楷体"/>
                <w:sz w:val="21"/>
                <w:szCs w:val="21"/>
              </w:rPr>
            </w:pPr>
            <w:r>
              <w:rPr>
                <w:rFonts w:hint="eastAsia" w:ascii="楷体" w:hAnsi="楷体" w:eastAsia="楷体" w:cs="楷体"/>
                <w:sz w:val="21"/>
                <w:szCs w:val="21"/>
              </w:rPr>
              <w:t>组织的岗位、职责和权限</w:t>
            </w:r>
          </w:p>
        </w:tc>
        <w:tc>
          <w:tcPr>
            <w:tcW w:w="1039"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QEO</w:t>
            </w:r>
          </w:p>
          <w:p>
            <w:pPr>
              <w:bidi w:val="0"/>
              <w:rPr>
                <w:rFonts w:hint="eastAsia" w:ascii="楷体" w:hAnsi="楷体" w:eastAsia="楷体" w:cs="楷体"/>
                <w:sz w:val="21"/>
                <w:szCs w:val="21"/>
              </w:rPr>
            </w:pPr>
            <w:r>
              <w:rPr>
                <w:rFonts w:hint="eastAsia" w:ascii="楷体" w:hAnsi="楷体" w:eastAsia="楷体" w:cs="楷体"/>
                <w:sz w:val="21"/>
                <w:szCs w:val="21"/>
              </w:rPr>
              <w:t>5.3</w:t>
            </w:r>
          </w:p>
          <w:p>
            <w:pPr>
              <w:bidi w:val="0"/>
              <w:rPr>
                <w:rFonts w:hint="eastAsia" w:ascii="楷体" w:hAnsi="楷体" w:eastAsia="楷体" w:cs="楷体"/>
                <w:sz w:val="21"/>
                <w:szCs w:val="21"/>
              </w:rPr>
            </w:pPr>
          </w:p>
        </w:tc>
        <w:tc>
          <w:tcPr>
            <w:tcW w:w="11348" w:type="dxa"/>
          </w:tcPr>
          <w:p>
            <w:pPr>
              <w:bidi w:val="0"/>
              <w:rPr>
                <w:rFonts w:hint="eastAsia" w:ascii="楷体" w:hAnsi="楷体" w:eastAsia="楷体" w:cs="楷体"/>
                <w:sz w:val="21"/>
                <w:szCs w:val="21"/>
              </w:rPr>
            </w:pPr>
            <w:r>
              <w:rPr>
                <w:rFonts w:hint="eastAsia" w:ascii="楷体" w:hAnsi="楷体" w:eastAsia="楷体" w:cs="楷体"/>
                <w:sz w:val="21"/>
                <w:szCs w:val="21"/>
                <w:lang w:val="en-US" w:eastAsia="zh-CN"/>
              </w:rPr>
              <w:sym w:font="Wingdings 2" w:char="F098"/>
            </w:r>
            <w:r>
              <w:rPr>
                <w:rFonts w:hint="eastAsia" w:ascii="楷体" w:hAnsi="楷体" w:eastAsia="楷体" w:cs="楷体"/>
                <w:sz w:val="21"/>
                <w:szCs w:val="21"/>
              </w:rPr>
              <w:t>为了有效的实施质量、环境、职业健康安全管理，本公司确定了公司结构：</w:t>
            </w:r>
          </w:p>
          <w:p>
            <w:pPr>
              <w:bidi w:val="0"/>
              <w:rPr>
                <w:rFonts w:hint="eastAsia" w:ascii="楷体" w:hAnsi="楷体" w:eastAsia="楷体" w:cs="楷体"/>
                <w:sz w:val="21"/>
                <w:szCs w:val="21"/>
              </w:rPr>
            </w:pPr>
            <w:r>
              <w:rPr>
                <w:rFonts w:hint="eastAsia" w:ascii="楷体" w:hAnsi="楷体" w:eastAsia="楷体" w:cs="楷体"/>
                <w:sz w:val="21"/>
                <w:szCs w:val="21"/>
              </w:rPr>
              <w:t>——公司总经理、体系负责人为公司的管理层。</w:t>
            </w:r>
          </w:p>
          <w:p>
            <w:pPr>
              <w:bidi w:val="0"/>
              <w:rPr>
                <w:rFonts w:hint="eastAsia" w:ascii="楷体" w:hAnsi="楷体" w:eastAsia="楷体" w:cs="楷体"/>
                <w:sz w:val="21"/>
                <w:szCs w:val="21"/>
                <w:lang w:eastAsia="zh-CN"/>
              </w:rPr>
            </w:pPr>
            <w:r>
              <w:rPr>
                <w:rFonts w:hint="eastAsia" w:ascii="楷体" w:hAnsi="楷体" w:eastAsia="楷体" w:cs="楷体"/>
                <w:sz w:val="21"/>
                <w:szCs w:val="21"/>
              </w:rPr>
              <w:t>——公司设置管理部门如下：</w:t>
            </w:r>
            <w:r>
              <w:rPr>
                <w:rFonts w:hint="eastAsia" w:ascii="楷体" w:hAnsi="楷体" w:eastAsia="楷体" w:cs="楷体"/>
                <w:sz w:val="21"/>
                <w:szCs w:val="21"/>
                <w:lang w:eastAsia="zh-CN"/>
              </w:rPr>
              <w:t>办公室</w:t>
            </w:r>
            <w:r>
              <w:rPr>
                <w:rFonts w:hint="eastAsia" w:ascii="楷体" w:hAnsi="楷体" w:eastAsia="楷体" w:cs="楷体"/>
                <w:sz w:val="21"/>
                <w:szCs w:val="21"/>
              </w:rPr>
              <w:t>、</w:t>
            </w:r>
            <w:r>
              <w:rPr>
                <w:rFonts w:hint="eastAsia" w:ascii="楷体" w:hAnsi="楷体" w:eastAsia="楷体" w:cs="楷体"/>
                <w:sz w:val="21"/>
                <w:szCs w:val="21"/>
                <w:lang w:eastAsia="zh-CN"/>
              </w:rPr>
              <w:t>生产技术部、</w:t>
            </w:r>
            <w:r>
              <w:rPr>
                <w:rFonts w:hint="eastAsia" w:ascii="楷体" w:hAnsi="楷体" w:eastAsia="楷体" w:cs="楷体"/>
                <w:sz w:val="21"/>
                <w:szCs w:val="21"/>
                <w:lang w:val="en-US" w:eastAsia="zh-CN"/>
              </w:rPr>
              <w:t>供销部</w:t>
            </w:r>
            <w:r>
              <w:rPr>
                <w:rFonts w:hint="eastAsia" w:ascii="楷体" w:hAnsi="楷体" w:eastAsia="楷体" w:cs="楷体"/>
                <w:sz w:val="21"/>
                <w:szCs w:val="21"/>
                <w:lang w:eastAsia="zh-CN"/>
              </w:rPr>
              <w:t>。</w:t>
            </w:r>
          </w:p>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sym w:font="Wingdings 2" w:char="F098"/>
            </w:r>
            <w:r>
              <w:rPr>
                <w:rFonts w:hint="eastAsia" w:ascii="楷体" w:hAnsi="楷体" w:eastAsia="楷体" w:cs="楷体"/>
                <w:sz w:val="21"/>
                <w:szCs w:val="21"/>
                <w:lang w:eastAsia="zh-CN"/>
              </w:rPr>
              <w:t>《管理手册》</w:t>
            </w:r>
            <w:r>
              <w:rPr>
                <w:rFonts w:hint="eastAsia" w:ascii="楷体" w:hAnsi="楷体" w:eastAsia="楷体" w:cs="楷体"/>
                <w:sz w:val="21"/>
                <w:szCs w:val="21"/>
              </w:rPr>
              <w:t>规定了各级各岗位人员职责、权限和相互关系，并在公司内对各级员工进行了必要的传达；</w:t>
            </w:r>
            <w:r>
              <w:rPr>
                <w:rFonts w:hint="eastAsia" w:ascii="楷体" w:hAnsi="楷体" w:eastAsia="楷体" w:cs="楷体"/>
                <w:sz w:val="21"/>
                <w:szCs w:val="21"/>
                <w:lang w:eastAsia="zh-CN"/>
              </w:rPr>
              <w:t>制定了《岗位任职要求》，</w:t>
            </w:r>
            <w:r>
              <w:rPr>
                <w:rFonts w:hint="eastAsia" w:ascii="楷体" w:hAnsi="楷体" w:eastAsia="楷体" w:cs="楷体"/>
                <w:sz w:val="21"/>
                <w:szCs w:val="21"/>
              </w:rPr>
              <w:t>规定了各岗位职责及权限，对本公司各主要岗位职责权限进行了确定</w:t>
            </w:r>
            <w:r>
              <w:rPr>
                <w:rFonts w:hint="eastAsia" w:ascii="楷体" w:hAnsi="楷体" w:eastAsia="楷体" w:cs="楷体"/>
                <w:sz w:val="21"/>
                <w:szCs w:val="21"/>
                <w:lang w:eastAsia="zh-CN"/>
              </w:rPr>
              <w:t>。</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sym w:font="Wingdings 2" w:char="F098"/>
            </w:r>
            <w:r>
              <w:rPr>
                <w:rFonts w:hint="eastAsia" w:ascii="楷体" w:hAnsi="楷体" w:eastAsia="楷体" w:cs="楷体"/>
                <w:sz w:val="21"/>
                <w:szCs w:val="21"/>
                <w:lang w:eastAsia="zh-CN"/>
              </w:rPr>
              <w:t>具体</w:t>
            </w:r>
            <w:r>
              <w:rPr>
                <w:rFonts w:hint="eastAsia" w:ascii="楷体" w:hAnsi="楷体" w:eastAsia="楷体" w:cs="楷体"/>
                <w:sz w:val="21"/>
                <w:szCs w:val="21"/>
              </w:rPr>
              <w:t>岗位职责及权限见</w:t>
            </w:r>
            <w:r>
              <w:rPr>
                <w:rFonts w:hint="eastAsia" w:ascii="楷体" w:hAnsi="楷体" w:eastAsia="楷体" w:cs="楷体"/>
                <w:sz w:val="21"/>
                <w:szCs w:val="21"/>
                <w:lang w:eastAsia="zh-CN"/>
              </w:rPr>
              <w:t>各部门审核记录</w:t>
            </w:r>
            <w:r>
              <w:rPr>
                <w:rFonts w:hint="eastAsia" w:ascii="楷体" w:hAnsi="楷体" w:eastAsia="楷体" w:cs="楷体"/>
                <w:sz w:val="21"/>
                <w:szCs w:val="21"/>
              </w:rPr>
              <w:t>。</w:t>
            </w:r>
          </w:p>
        </w:tc>
        <w:tc>
          <w:tcPr>
            <w:tcW w:w="1068" w:type="dxa"/>
          </w:tcPr>
          <w:p>
            <w:pPr>
              <w:bidi w:val="0"/>
              <w:rPr>
                <w:rFonts w:hint="eastAsia" w:ascii="楷体" w:hAnsi="楷体" w:eastAsia="楷体" w:cs="楷体"/>
                <w:sz w:val="21"/>
                <w:szCs w:val="21"/>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545" w:type="dxa"/>
            <w:vAlign w:val="top"/>
          </w:tcPr>
          <w:p>
            <w:pPr>
              <w:bidi w:val="0"/>
              <w:rPr>
                <w:rFonts w:hint="eastAsia" w:ascii="楷体" w:hAnsi="楷体" w:eastAsia="楷体" w:cs="楷体"/>
                <w:sz w:val="21"/>
                <w:szCs w:val="21"/>
              </w:rPr>
            </w:pPr>
            <w:r>
              <w:rPr>
                <w:rFonts w:hint="eastAsia" w:ascii="楷体" w:hAnsi="楷体" w:eastAsia="楷体" w:cs="楷体"/>
                <w:sz w:val="21"/>
                <w:szCs w:val="21"/>
              </w:rPr>
              <w:t>应对风险和机遇的措施</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039"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6.1</w:t>
            </w:r>
          </w:p>
          <w:p>
            <w:pPr>
              <w:bidi w:val="0"/>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EO</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6.1.1</w:t>
            </w:r>
          </w:p>
        </w:tc>
        <w:tc>
          <w:tcPr>
            <w:tcW w:w="11348"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sym w:font="Wingdings 2" w:char="F098"/>
            </w:r>
            <w:r>
              <w:rPr>
                <w:rFonts w:hint="eastAsia" w:ascii="楷体" w:hAnsi="楷体" w:eastAsia="楷体" w:cs="楷体"/>
                <w:sz w:val="21"/>
                <w:szCs w:val="21"/>
                <w:lang w:val="en-US" w:eastAsia="zh-CN"/>
              </w:rPr>
              <w:t>查企业编制了《风险与机遇应对控制程序》HT/CX-6.1.1-A0-2022，用于管理过程中风险和机遇的控制。</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查企业编制有《风险和机遇评估分析表》，针对公司现状，企业对各部门不同过程的风险及公共风险进行了识别并制定了对应的管理措施，规定了执行部门和实施负责人等要求。</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——抽风险1：供应商交付不及时或来料不符合要求；</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控制措施：1.采购员随时对订单进行跟踪，必须时到供应商现场确认；2.增加合格供应商，同样产品必须有两家以上的合格供应商。严重程度：严重；实施负责人：王学腾；措施有效性验证：措施有效；</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——抽风险2：环保、安全资金不到位；管理措施：根据公司环保、安全投入需要，制定资金使用计划;严重程度：严重；措施负责人：刘茂；措施有效性验证：措施有效；</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——抽风险3：生产现场和仓库出现明火，企业受到损失；措施：严格执行相关消防制度，加强培训教育加强监督；措施实施负责人：石雪猛；措施有效性验证：措施有效；</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另查其他风险如：设备出现故障,影响交工期、本公司生产过程出现事故、防护制品生产方面的鼓励政策等，均制定了管理措施，落实了责任人，查对风险控制措施有效性进行了评价。均有效。</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评审人：刘茂、李月江、石雪猛     评审日期：2022。7.1。</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相关措施由责任部门负责人进行跟踪实施和验证，查验均按要求执行。</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通过沟通，李经理介绍了公司的发展机遇，该企业产品主要为石油化工、医药、新能源等行业，近些年，新能源汽车发展迅速，国家政策扶持，都给企业发展带来了机遇。同时，企业信誉良好，新厂区设备齐全，自动化程度较高，员工经验丰富，都为企业发展带来了良好机遇。李经理介绍，计划加大安全环保力度，进一步扩大市场。</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风险和机遇控制基本符合要求。风险和机遇已提交至管理评审。</w:t>
            </w:r>
          </w:p>
        </w:tc>
        <w:tc>
          <w:tcPr>
            <w:tcW w:w="1068" w:type="dxa"/>
          </w:tcPr>
          <w:p>
            <w:pPr>
              <w:bidi w:val="0"/>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545" w:type="dxa"/>
            <w:vAlign w:val="center"/>
          </w:tcPr>
          <w:p>
            <w:pPr>
              <w:bidi w:val="0"/>
              <w:rPr>
                <w:rFonts w:hint="eastAsia" w:ascii="楷体" w:hAnsi="楷体" w:eastAsia="楷体" w:cs="楷体"/>
                <w:lang w:val="en-US" w:eastAsia="zh-CN"/>
              </w:rPr>
            </w:pPr>
            <w:r>
              <w:rPr>
                <w:rFonts w:hint="eastAsia" w:ascii="楷体" w:hAnsi="楷体" w:eastAsia="楷体" w:cs="楷体"/>
              </w:rPr>
              <w:t>目标</w:t>
            </w:r>
          </w:p>
        </w:tc>
        <w:tc>
          <w:tcPr>
            <w:tcW w:w="1039" w:type="dxa"/>
            <w:vAlign w:val="center"/>
          </w:tcPr>
          <w:p>
            <w:pPr>
              <w:bidi w:val="0"/>
              <w:rPr>
                <w:rFonts w:hint="eastAsia" w:ascii="楷体" w:hAnsi="楷体" w:eastAsia="楷体" w:cs="楷体"/>
                <w:lang w:val="en-US" w:eastAsia="zh-CN"/>
              </w:rPr>
            </w:pPr>
            <w:r>
              <w:rPr>
                <w:rFonts w:hint="eastAsia" w:ascii="楷体" w:hAnsi="楷体" w:eastAsia="楷体" w:cs="楷体"/>
                <w:lang w:val="en-US" w:eastAsia="zh-CN"/>
              </w:rPr>
              <w:t>QEO</w:t>
            </w:r>
          </w:p>
          <w:p>
            <w:pPr>
              <w:bidi w:val="0"/>
              <w:rPr>
                <w:rFonts w:hint="eastAsia" w:ascii="楷体" w:hAnsi="楷体" w:eastAsia="楷体" w:cs="楷体"/>
                <w:lang w:val="en-US" w:eastAsia="zh-CN"/>
              </w:rPr>
            </w:pPr>
            <w:r>
              <w:rPr>
                <w:rFonts w:hint="eastAsia" w:ascii="楷体" w:hAnsi="楷体" w:eastAsia="楷体" w:cs="楷体"/>
                <w:lang w:val="en-US" w:eastAsia="zh-CN"/>
              </w:rPr>
              <w:t>6.2</w:t>
            </w:r>
          </w:p>
        </w:tc>
        <w:tc>
          <w:tcPr>
            <w:tcW w:w="11348" w:type="dxa"/>
            <w:vAlign w:val="center"/>
          </w:tcPr>
          <w:p>
            <w:pPr>
              <w:bidi w:val="0"/>
              <w:rPr>
                <w:rFonts w:hint="eastAsia" w:ascii="楷体" w:hAnsi="楷体" w:eastAsia="楷体" w:cs="楷体"/>
                <w:lang w:val="en-US" w:eastAsia="zh-CN"/>
              </w:rPr>
            </w:pPr>
            <w:r>
              <w:rPr>
                <w:rFonts w:hint="eastAsia" w:ascii="楷体" w:hAnsi="楷体" w:eastAsia="楷体" w:cs="楷体"/>
                <w:lang w:val="en-US" w:eastAsia="zh-CN"/>
              </w:rPr>
              <w:t>●查《管理手册》明确了公司的管理目标：</w:t>
            </w:r>
          </w:p>
          <w:p>
            <w:pPr>
              <w:bidi w:val="0"/>
              <w:rPr>
                <w:rFonts w:hint="eastAsia" w:ascii="楷体" w:hAnsi="楷体" w:eastAsia="楷体" w:cs="楷体"/>
              </w:rPr>
            </w:pPr>
            <w:r>
              <w:rPr>
                <w:rFonts w:hint="eastAsia" w:ascii="楷体" w:hAnsi="楷体" w:eastAsia="楷体" w:cs="楷体"/>
              </w:rPr>
              <w:t>质量目标</w:t>
            </w:r>
          </w:p>
          <w:p>
            <w:pPr>
              <w:numPr>
                <w:ilvl w:val="0"/>
                <w:numId w:val="1"/>
              </w:numPr>
              <w:bidi w:val="0"/>
              <w:rPr>
                <w:rFonts w:hint="eastAsia" w:ascii="楷体" w:hAnsi="楷体" w:eastAsia="楷体" w:cs="楷体"/>
              </w:rPr>
            </w:pPr>
            <w:r>
              <w:rPr>
                <w:rFonts w:hint="eastAsia" w:ascii="楷体" w:hAnsi="楷体" w:eastAsia="楷体" w:cs="楷体"/>
              </w:rPr>
              <w:t>产品交付一次合格率≥95%。</w:t>
            </w:r>
          </w:p>
          <w:p>
            <w:pPr>
              <w:numPr>
                <w:ilvl w:val="0"/>
                <w:numId w:val="0"/>
              </w:numPr>
              <w:bidi w:val="0"/>
              <w:rPr>
                <w:rFonts w:hint="eastAsia" w:ascii="楷体" w:hAnsi="楷体" w:eastAsia="楷体" w:cs="楷体"/>
              </w:rPr>
            </w:pPr>
            <w:r>
              <w:rPr>
                <w:rFonts w:hint="eastAsia" w:ascii="楷体" w:hAnsi="楷体" w:eastAsia="楷体" w:cs="楷体"/>
              </w:rPr>
              <w:t>2. 顾客满意率≥95%。</w:t>
            </w:r>
          </w:p>
          <w:p>
            <w:pPr>
              <w:bidi w:val="0"/>
              <w:rPr>
                <w:rFonts w:hint="eastAsia" w:ascii="楷体" w:hAnsi="楷体" w:eastAsia="楷体" w:cs="楷体"/>
              </w:rPr>
            </w:pPr>
            <w:r>
              <w:rPr>
                <w:rFonts w:hint="eastAsia" w:ascii="楷体" w:hAnsi="楷体" w:eastAsia="楷体" w:cs="楷体"/>
              </w:rPr>
              <w:t>环境目标</w:t>
            </w:r>
          </w:p>
          <w:p>
            <w:pPr>
              <w:bidi w:val="0"/>
              <w:rPr>
                <w:rFonts w:hint="eastAsia" w:ascii="楷体" w:hAnsi="楷体" w:eastAsia="楷体" w:cs="楷体"/>
              </w:rPr>
            </w:pPr>
            <w:r>
              <w:rPr>
                <w:rFonts w:hint="eastAsia" w:ascii="楷体" w:hAnsi="楷体" w:eastAsia="楷体" w:cs="楷体"/>
              </w:rPr>
              <w:t>1.废弃物100%实现分类存放，合理处置。</w:t>
            </w:r>
          </w:p>
          <w:p>
            <w:pPr>
              <w:bidi w:val="0"/>
              <w:rPr>
                <w:rFonts w:hint="eastAsia" w:ascii="楷体" w:hAnsi="楷体" w:eastAsia="楷体" w:cs="楷体"/>
              </w:rPr>
            </w:pPr>
            <w:r>
              <w:rPr>
                <w:rFonts w:hint="eastAsia" w:ascii="楷体" w:hAnsi="楷体" w:eastAsia="楷体" w:cs="楷体"/>
              </w:rPr>
              <w:t>2.杜绝发生重大污染事故。</w:t>
            </w:r>
          </w:p>
          <w:p>
            <w:pPr>
              <w:bidi w:val="0"/>
              <w:rPr>
                <w:rFonts w:hint="eastAsia" w:ascii="楷体" w:hAnsi="楷体" w:eastAsia="楷体" w:cs="楷体"/>
              </w:rPr>
            </w:pPr>
            <w:r>
              <w:rPr>
                <w:rFonts w:hint="eastAsia" w:ascii="楷体" w:hAnsi="楷体" w:eastAsia="楷体" w:cs="楷体"/>
              </w:rPr>
              <w:t>3.厂界噪声执行《工业企业厂界环境噪声标准》(GB12348-2008)II类标准3类标准：昼间65dB（A），夜间55dB（A）。</w:t>
            </w:r>
          </w:p>
          <w:p>
            <w:pPr>
              <w:bidi w:val="0"/>
              <w:rPr>
                <w:rFonts w:hint="eastAsia" w:ascii="楷体" w:hAnsi="楷体" w:eastAsia="楷体" w:cs="楷体"/>
              </w:rPr>
            </w:pPr>
            <w:r>
              <w:rPr>
                <w:rFonts w:hint="eastAsia" w:ascii="楷体" w:hAnsi="楷体" w:eastAsia="楷体" w:cs="楷体"/>
              </w:rPr>
              <w:t>安全目标</w:t>
            </w:r>
          </w:p>
          <w:p>
            <w:pPr>
              <w:bidi w:val="0"/>
              <w:rPr>
                <w:rFonts w:hint="eastAsia" w:ascii="楷体" w:hAnsi="楷体" w:eastAsia="楷体" w:cs="楷体"/>
              </w:rPr>
            </w:pPr>
            <w:r>
              <w:rPr>
                <w:rFonts w:hint="eastAsia" w:ascii="楷体" w:hAnsi="楷体" w:eastAsia="楷体" w:cs="楷体"/>
              </w:rPr>
              <w:t>杜绝发生重伤、死亡事故。</w:t>
            </w:r>
          </w:p>
          <w:p>
            <w:pPr>
              <w:bidi w:val="0"/>
              <w:rPr>
                <w:rFonts w:hint="eastAsia" w:ascii="楷体" w:hAnsi="楷体" w:eastAsia="楷体" w:cs="楷体"/>
                <w:lang w:val="en-US" w:eastAsia="zh-CN"/>
              </w:rPr>
            </w:pPr>
            <w:r>
              <w:rPr>
                <w:rFonts w:hint="eastAsia" w:ascii="楷体" w:hAnsi="楷体" w:eastAsia="楷体" w:cs="楷体"/>
              </w:rPr>
              <w:t>2.轻伤每年不超过3起。</w:t>
            </w:r>
          </w:p>
          <w:p>
            <w:pPr>
              <w:bidi w:val="0"/>
              <w:rPr>
                <w:rFonts w:hint="eastAsia" w:ascii="楷体" w:hAnsi="楷体" w:eastAsia="楷体" w:cs="楷体"/>
              </w:rPr>
            </w:pPr>
            <w:r>
              <w:rPr>
                <w:rFonts w:hint="eastAsia" w:ascii="楷体" w:hAnsi="楷体" w:eastAsia="楷体" w:cs="楷体"/>
              </w:rPr>
              <w:t>3.火灾事故发生率为0。</w:t>
            </w:r>
          </w:p>
          <w:p>
            <w:pPr>
              <w:bidi w:val="0"/>
              <w:rPr>
                <w:rFonts w:hint="eastAsia" w:ascii="楷体" w:hAnsi="楷体" w:eastAsia="楷体" w:cs="楷体"/>
                <w:lang w:val="en-US" w:eastAsia="zh-CN"/>
              </w:rPr>
            </w:pPr>
            <w:r>
              <w:rPr>
                <w:rFonts w:hint="eastAsia" w:ascii="楷体" w:hAnsi="楷体" w:eastAsia="楷体" w:cs="楷体"/>
                <w:lang w:val="en-US" w:eastAsia="zh-CN"/>
              </w:rPr>
              <w:t>为确保以上目标的实现，制定了《目标指标和管理方案控制程序》HT/CX-6.2-A0-2022，管理目标分解至各部门，制定了考核方法和考核频次。</w:t>
            </w:r>
          </w:p>
          <w:p>
            <w:pPr>
              <w:bidi w:val="0"/>
              <w:rPr>
                <w:rFonts w:hint="eastAsia" w:ascii="楷体" w:hAnsi="楷体" w:eastAsia="楷体" w:cs="楷体"/>
                <w:lang w:val="en-US" w:eastAsia="zh-CN"/>
              </w:rPr>
            </w:pPr>
            <w:r>
              <w:rPr>
                <w:rFonts w:hint="eastAsia" w:ascii="楷体" w:hAnsi="楷体" w:eastAsia="楷体" w:cs="楷体"/>
                <w:lang w:val="en-US" w:eastAsia="zh-CN"/>
              </w:rPr>
              <w:t>提供目标考核记录，每季度进行一次目标完成情况的考核。从考核记录来看，2022年3-4季度均完成了目标考核。</w:t>
            </w:r>
          </w:p>
          <w:p>
            <w:pPr>
              <w:bidi w:val="0"/>
              <w:rPr>
                <w:rFonts w:hint="eastAsia" w:ascii="楷体" w:hAnsi="楷体" w:eastAsia="楷体" w:cs="楷体"/>
                <w:lang w:val="en-US" w:eastAsia="zh-CN"/>
              </w:rPr>
            </w:pPr>
            <w:r>
              <w:rPr>
                <w:rFonts w:hint="eastAsia" w:ascii="楷体" w:hAnsi="楷体" w:eastAsia="楷体" w:cs="楷体"/>
                <w:lang w:val="en-US" w:eastAsia="zh-CN"/>
              </w:rPr>
              <w:t>针对重要环境因素和不可接受风险，制定了环境/安全目标指标管理方案，有管理措施和资金投入，并定期检查管理方案落实情况，截至审核，各部门均完成了设定的目标。</w:t>
            </w:r>
          </w:p>
          <w:p>
            <w:pPr>
              <w:bidi w:val="0"/>
              <w:rPr>
                <w:rFonts w:hint="eastAsia" w:ascii="楷体" w:hAnsi="楷体" w:eastAsia="楷体" w:cs="楷体"/>
                <w:lang w:val="en-US" w:eastAsia="zh-CN"/>
              </w:rPr>
            </w:pPr>
            <w:r>
              <w:rPr>
                <w:rFonts w:hint="eastAsia" w:ascii="楷体" w:hAnsi="楷体" w:eastAsia="楷体" w:cs="楷体"/>
                <w:lang w:val="en-US" w:eastAsia="zh-CN"/>
              </w:rPr>
              <w:t>详细情况见各部门审核记录。</w:t>
            </w:r>
          </w:p>
        </w:tc>
        <w:tc>
          <w:tcPr>
            <w:tcW w:w="1068" w:type="dxa"/>
          </w:tcPr>
          <w:p>
            <w:pPr>
              <w:bidi w:val="0"/>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545"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变更的策划</w:t>
            </w:r>
          </w:p>
        </w:tc>
        <w:tc>
          <w:tcPr>
            <w:tcW w:w="1039"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6.3</w:t>
            </w:r>
          </w:p>
          <w:p>
            <w:pPr>
              <w:bidi w:val="0"/>
              <w:rPr>
                <w:rFonts w:hint="eastAsia" w:ascii="楷体" w:hAnsi="楷体" w:eastAsia="楷体" w:cs="楷体"/>
                <w:sz w:val="21"/>
                <w:szCs w:val="21"/>
                <w:lang w:val="en-US" w:eastAsia="zh-CN"/>
              </w:rPr>
            </w:pPr>
          </w:p>
        </w:tc>
        <w:tc>
          <w:tcPr>
            <w:tcW w:w="11348"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查看管理手册6.3条款，对于变更的策划进行了规定。企业介绍，公司于2022年7月份建立质量管理体系以来，为使公司质量管理体系有效运行，并持续改进，各部门按质量管理体系文件中的规定贯彻实施，文件中的规定与实际运作应保持一致。</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随着质量管理体系的变化，质量方针、目标的变化，定期评审及时修订质量管理体系文件，确保其有效性、充分性和适宜性。质量管理体系建立后，不断完善，持续改进，提高有效性和效率。</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公司自运行以来没有发生变更。</w:t>
            </w:r>
          </w:p>
        </w:tc>
        <w:tc>
          <w:tcPr>
            <w:tcW w:w="1068" w:type="dxa"/>
          </w:tcPr>
          <w:p>
            <w:pPr>
              <w:bidi w:val="0"/>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545"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资源</w:t>
            </w:r>
          </w:p>
        </w:tc>
        <w:tc>
          <w:tcPr>
            <w:tcW w:w="1039" w:type="dxa"/>
            <w:vAlign w:val="top"/>
          </w:tcPr>
          <w:p>
            <w:pPr>
              <w:bidi w:val="0"/>
              <w:rPr>
                <w:rFonts w:hint="default"/>
                <w:lang w:val="en-US" w:eastAsia="zh-CN"/>
              </w:rPr>
            </w:pPr>
            <w:r>
              <w:rPr>
                <w:rFonts w:hint="eastAsia"/>
                <w:lang w:val="en-US" w:eastAsia="zh-CN"/>
              </w:rPr>
              <w:t>QEO</w:t>
            </w:r>
          </w:p>
          <w:p>
            <w:pPr>
              <w:bidi w:val="0"/>
              <w:rPr>
                <w:rFonts w:hint="eastAsia"/>
                <w:lang w:val="en-US" w:eastAsia="zh-CN"/>
              </w:rPr>
            </w:pPr>
            <w:r>
              <w:rPr>
                <w:rFonts w:hint="eastAsia"/>
              </w:rPr>
              <w:t>7.1</w:t>
            </w:r>
          </w:p>
          <w:p>
            <w:pPr>
              <w:pStyle w:val="2"/>
              <w:rPr>
                <w:rFonts w:hint="default"/>
                <w:lang w:val="en-US" w:eastAsia="zh-CN"/>
              </w:rPr>
            </w:pPr>
          </w:p>
        </w:tc>
        <w:tc>
          <w:tcPr>
            <w:tcW w:w="11348"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执行《基础设施和工作环境控制程序》HT/CX-7.1.3-A0-2022，公司确定并提供为建立、实施、保持和持续改进职业健康安全管理体系所需的资源。</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1、人力资源：企业因业务需要与安平县广通五金网业有限公司合作经营，使用相同的基础设施、生产设备和人员（管理人员、生产人员），公司有各自的业务团队，总人员60余人，目前涉及到</w:t>
            </w:r>
            <w:r>
              <w:rPr>
                <w:rFonts w:hint="eastAsia" w:ascii="楷体" w:hAnsi="楷体" w:eastAsia="楷体" w:cs="楷体"/>
                <w:sz w:val="21"/>
                <w:szCs w:val="21"/>
              </w:rPr>
              <w:t>河北哈通丝网制品有限公司</w:t>
            </w:r>
            <w:r>
              <w:rPr>
                <w:rFonts w:hint="eastAsia" w:ascii="楷体" w:hAnsi="楷体" w:eastAsia="楷体" w:cs="楷体"/>
                <w:sz w:val="21"/>
                <w:szCs w:val="21"/>
                <w:lang w:val="en-US" w:eastAsia="zh-CN"/>
              </w:rPr>
              <w:t>的管理体系覆盖人员30人，企业目前正在建设办公楼和扩建车间，李经理介绍办公楼和车间建成后，会有人力资源需求，下次审核关注。</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2、基础设施：李经理介绍，企业位于</w:t>
            </w:r>
            <w:r>
              <w:rPr>
                <w:color w:val="000000"/>
              </w:rPr>
              <w:t>安平县工业园东区纬一路5号</w:t>
            </w:r>
            <w:r>
              <w:rPr>
                <w:rFonts w:hint="eastAsia" w:ascii="楷体" w:hAnsi="楷体" w:eastAsia="楷体" w:cs="楷体"/>
                <w:sz w:val="21"/>
                <w:szCs w:val="21"/>
                <w:lang w:val="en-US" w:eastAsia="zh-CN"/>
              </w:rPr>
              <w:t>，自建厂房和办公用房，目前建筑面积约9000平（2层-广通使用），临时办公区位于一层（约200平米），配有会客室，休息室，办公室，经理室，整体环境良好，干净整洁。</w:t>
            </w:r>
          </w:p>
          <w:p>
            <w:pPr>
              <w:bidi w:val="0"/>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3、现场查看生产设施主要是金属织网机、金属织网机（重）、金属织网机（小）、整径机、汽液过滤网、氩弧焊机等设备，满足生产需要。场内机动车辆叉车，按要求进行了登记和检测。</w:t>
            </w:r>
            <w:bookmarkStart w:id="0" w:name="_GoBack"/>
            <w:bookmarkEnd w:id="0"/>
          </w:p>
          <w:p>
            <w:pPr>
              <w:bidi w:val="0"/>
              <w:rPr>
                <w:rFonts w:hint="default"/>
                <w:lang w:val="en-US" w:eastAsia="zh-CN"/>
              </w:rPr>
            </w:pPr>
            <w:r>
              <w:rPr>
                <w:rFonts w:hint="eastAsia" w:ascii="楷体" w:hAnsi="楷体" w:eastAsia="楷体" w:cs="楷体"/>
                <w:sz w:val="21"/>
                <w:szCs w:val="21"/>
                <w:lang w:val="en-US" w:eastAsia="zh-CN"/>
              </w:rPr>
              <w:t>4、环保安全设施主要有：焊烟净化器、灭火器、消防栓；</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5、办公室设施主要是：电脑打印机等；</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水电供应由办公室负责。</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各部门负责保持各自部门的环境卫生和安全控制。</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各种废弃物的分类处置，办公室负责监督检查。</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每个员工都有责任创造和谐、舒适的工作环境。</w:t>
            </w:r>
          </w:p>
        </w:tc>
        <w:tc>
          <w:tcPr>
            <w:tcW w:w="1068" w:type="dxa"/>
          </w:tcPr>
          <w:p>
            <w:pPr>
              <w:bidi w:val="0"/>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545"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eastAsia="zh-CN"/>
              </w:rPr>
              <w:t>管理评审</w:t>
            </w:r>
          </w:p>
        </w:tc>
        <w:tc>
          <w:tcPr>
            <w:tcW w:w="1039"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QEO</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9.3</w:t>
            </w:r>
          </w:p>
        </w:tc>
        <w:tc>
          <w:tcPr>
            <w:tcW w:w="11348"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●编制并执行公司《管理评审控制程序》，按程序要求进行管理评审，每年至少一次，总经理主持。</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查企业策划并于2022年12月19日开展了管理管理评审，提供了管理评审的通知、管理评审计划、管理评审会议签到表、管理评审会议记录、管理体系运行报告、管理评审报告、管理评审结果跟踪记录。</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1.查《管理评审计划》，划明确了管理评审目的、依据、参加评审的人员、评审的内容等。编制：刘茂  批准：王学雷      2022.12.5</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2.按计划策划的时间，在公司会议室由总经理主持召开主持了管理评审。</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提供了管理评审会议记录，会议记录有各部门签到，提供了管理者代表做的管理体系运行情况报告及各部门领导所做的本部门体系运行工作汇报。</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管理评审内容包括：公司目标的适宜性，公司资源配置是否得当，是否能够满足的目标和要求。危险源辨识、评价、控制和环境因素识别、评价、控制是否适宜，现行的控制措施是否有效，相关方的投诉以及顾客投诉建议以及其他要求，法律法规以及其他要求的符合性状况等方面，管理评审输入较全面。</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查看各部门体系运行报告，包括本部门工作情况，目标指标完成情况，内审情况等方面。</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3、查《管理评审报告》，评审结论：通过管理评审说明我公司的质量、环境、职业健康安全管理体系的运行是适宜的、充分的和有效的。</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4.管理评审提出改进决议：</w:t>
            </w:r>
          </w:p>
          <w:p>
            <w:pPr>
              <w:spacing w:line="460" w:lineRule="exact"/>
              <w:rPr>
                <w:rFonts w:hint="eastAsia" w:ascii="楷体" w:hAnsi="楷体" w:eastAsia="楷体" w:cs="楷体"/>
                <w:snapToGrid w:val="0"/>
                <w:kern w:val="0"/>
              </w:rPr>
            </w:pPr>
            <w:r>
              <w:rPr>
                <w:rFonts w:hint="eastAsia" w:ascii="楷体" w:hAnsi="楷体" w:eastAsia="楷体" w:cs="楷体"/>
                <w:snapToGrid w:val="0"/>
                <w:kern w:val="0"/>
              </w:rPr>
              <w:t>⑴　公司内部人员素质的提升，加强对质量/环境/职业健康方面认识；</w:t>
            </w:r>
          </w:p>
          <w:p>
            <w:pPr>
              <w:bidi w:val="0"/>
              <w:rPr>
                <w:rFonts w:hint="eastAsia" w:ascii="楷体" w:hAnsi="楷体" w:eastAsia="楷体" w:cs="楷体"/>
                <w:sz w:val="21"/>
                <w:szCs w:val="21"/>
                <w:lang w:val="en-US" w:eastAsia="zh-CN"/>
              </w:rPr>
            </w:pPr>
            <w:r>
              <w:rPr>
                <w:rFonts w:hint="eastAsia" w:ascii="楷体" w:hAnsi="楷体" w:eastAsia="楷体" w:cs="楷体"/>
                <w:snapToGrid w:val="0"/>
                <w:kern w:val="0"/>
              </w:rPr>
              <w:t>⑵　加强员工对质量/环境/职业健康方针、目标、指标的了解</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由办公室组织实施</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编制了《改进计划》，制定了改进措施，针对管理评审提出的改进意见，组织了培训，提供了培训记录，管理评审提出的改进措施已实施完成。</w:t>
            </w:r>
          </w:p>
        </w:tc>
        <w:tc>
          <w:tcPr>
            <w:tcW w:w="1068" w:type="dxa"/>
          </w:tcPr>
          <w:p>
            <w:pPr>
              <w:bidi w:val="0"/>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545"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持续改进</w:t>
            </w:r>
          </w:p>
        </w:tc>
        <w:tc>
          <w:tcPr>
            <w:tcW w:w="1039" w:type="dxa"/>
            <w:vAlign w:val="top"/>
          </w:tcPr>
          <w:p>
            <w:pPr>
              <w:bidi w:val="0"/>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QEO</w:t>
            </w:r>
          </w:p>
          <w:p>
            <w:pPr>
              <w:bidi w:val="0"/>
              <w:rPr>
                <w:rFonts w:hint="eastAsia" w:ascii="楷体" w:hAnsi="楷体" w:eastAsia="楷体" w:cs="楷体"/>
                <w:sz w:val="21"/>
                <w:szCs w:val="21"/>
              </w:rPr>
            </w:pPr>
            <w:r>
              <w:rPr>
                <w:rFonts w:hint="eastAsia" w:ascii="楷体" w:hAnsi="楷体" w:eastAsia="楷体" w:cs="楷体"/>
                <w:sz w:val="21"/>
                <w:szCs w:val="21"/>
              </w:rPr>
              <w:t>10.1</w:t>
            </w:r>
          </w:p>
          <w:p>
            <w:pPr>
              <w:bidi w:val="0"/>
              <w:rPr>
                <w:rFonts w:hint="eastAsia" w:ascii="楷体" w:hAnsi="楷体" w:eastAsia="楷体" w:cs="楷体"/>
                <w:sz w:val="21"/>
                <w:szCs w:val="21"/>
                <w:lang w:val="en-US" w:eastAsia="zh-CN"/>
              </w:rPr>
            </w:pPr>
          </w:p>
        </w:tc>
        <w:tc>
          <w:tcPr>
            <w:tcW w:w="11348"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sym w:font="Wingdings 2" w:char="F098"/>
            </w:r>
            <w:r>
              <w:rPr>
                <w:rFonts w:hint="eastAsia" w:ascii="楷体" w:hAnsi="楷体" w:eastAsia="楷体" w:cs="楷体"/>
                <w:sz w:val="21"/>
                <w:szCs w:val="21"/>
                <w:lang w:val="en-US" w:eastAsia="zh-CN"/>
              </w:rPr>
              <w:t>企业通过建立管理方针、管理目标，改进服务质量、纠正、避免和减少非预期情况带来的不利影响，改进管理体系的绩效和有效性以及定期的内审、管理评审，合理化建议等，并通过管理目标建立与考核，明确了改进、努力的方向，建立一个自我完善、持续改进的机制和良好氛围。</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sym w:font="Wingdings 2" w:char="F098"/>
            </w:r>
            <w:r>
              <w:rPr>
                <w:rFonts w:hint="eastAsia" w:ascii="楷体" w:hAnsi="楷体" w:eastAsia="楷体" w:cs="楷体"/>
                <w:sz w:val="21"/>
                <w:szCs w:val="21"/>
                <w:lang w:val="en-US" w:eastAsia="zh-CN"/>
              </w:rPr>
              <w:t>企业充分识别和评价存在的改进机会，以持续满足顾客和相关方要求改进的方法措施包括：</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1）引导创新、修改和改进现有过程或实施新过程的突破项目；</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2）在现有过程中开展渐进、持续的改进活动；</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3）纠正所存在不符合的原因等。</w:t>
            </w:r>
          </w:p>
        </w:tc>
        <w:tc>
          <w:tcPr>
            <w:tcW w:w="1068" w:type="dxa"/>
          </w:tcPr>
          <w:p>
            <w:pPr>
              <w:bidi w:val="0"/>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545"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eastAsia="zh-CN"/>
              </w:rPr>
              <w:t>预防和纠正措施</w:t>
            </w:r>
          </w:p>
        </w:tc>
        <w:tc>
          <w:tcPr>
            <w:tcW w:w="1039" w:type="dxa"/>
            <w:vAlign w:val="top"/>
          </w:tcPr>
          <w:p>
            <w:pPr>
              <w:bidi w:val="0"/>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QEO</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10.3</w:t>
            </w:r>
          </w:p>
        </w:tc>
        <w:tc>
          <w:tcPr>
            <w:tcW w:w="11348"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sym w:font="Wingdings 2" w:char="F098"/>
            </w:r>
            <w:r>
              <w:rPr>
                <w:rFonts w:hint="eastAsia" w:ascii="楷体" w:hAnsi="楷体" w:eastAsia="楷体" w:cs="楷体"/>
                <w:sz w:val="21"/>
                <w:szCs w:val="21"/>
                <w:lang w:val="en-US" w:eastAsia="zh-CN"/>
              </w:rPr>
              <w:t>查企业编制了《事件调查、不符合、纠正及预防措施控制程序》HT/CX-10.2-A0-2022，并通过内审、管理评审、分析和评价、纠正和纠正措施、管理方针和管理目标等有关信息来源来实现对管理体系的持续改进，同时通过日常运行中发现的问题及时调整解决，以达到持续改进管理体系的目的，以提升职业健康安全管理体系绩效。</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sym w:font="Wingdings 2" w:char="F098"/>
            </w:r>
            <w:r>
              <w:rPr>
                <w:rFonts w:hint="eastAsia" w:ascii="楷体" w:hAnsi="楷体" w:eastAsia="楷体" w:cs="楷体"/>
                <w:sz w:val="21"/>
                <w:szCs w:val="21"/>
                <w:lang w:val="en-US" w:eastAsia="zh-CN"/>
              </w:rPr>
              <w:t>日常监视和测量过程中发现的不合格、不符合要求相关责任部门及时制定相应的改进、纠正和纠正措施，以实现管理体系的持续改进。</w:t>
            </w:r>
          </w:p>
        </w:tc>
        <w:tc>
          <w:tcPr>
            <w:tcW w:w="1068" w:type="dxa"/>
          </w:tcPr>
          <w:p>
            <w:pPr>
              <w:bidi w:val="0"/>
              <w:rPr>
                <w:rFonts w:hint="eastAsia" w:ascii="楷体" w:hAnsi="楷体" w:eastAsia="楷体" w:cs="楷体"/>
                <w:sz w:val="21"/>
                <w:szCs w:val="21"/>
                <w:lang w:val="en-US" w:eastAsia="zh-CN"/>
              </w:rPr>
            </w:pPr>
          </w:p>
        </w:tc>
      </w:tr>
    </w:tbl>
    <w:p>
      <w:pPr>
        <w:pStyle w:val="10"/>
        <w:ind w:firstLine="4680" w:firstLineChars="1300"/>
      </w:pPr>
      <w:r>
        <w:rPr>
          <w:rFonts w:hint="eastAsia" w:ascii="隶书" w:hAnsi="宋体" w:eastAsia="隶书"/>
          <w:bCs/>
          <w:color w:val="000000"/>
          <w:sz w:val="36"/>
          <w:szCs w:val="36"/>
        </w:rPr>
        <w:t>管理体系审核记录表</w:t>
      </w:r>
    </w:p>
    <w:tbl>
      <w:tblPr>
        <w:tblStyle w:val="1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145"/>
        <w:gridCol w:w="11048"/>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439"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过程与活动、</w:t>
            </w:r>
          </w:p>
          <w:p>
            <w:pPr>
              <w:rPr>
                <w:rFonts w:hint="eastAsia" w:ascii="楷体" w:hAnsi="楷体" w:eastAsia="楷体" w:cs="楷体"/>
                <w:sz w:val="21"/>
                <w:szCs w:val="21"/>
              </w:rPr>
            </w:pPr>
            <w:r>
              <w:rPr>
                <w:rFonts w:hint="eastAsia" w:ascii="楷体" w:hAnsi="楷体" w:eastAsia="楷体" w:cs="楷体"/>
                <w:sz w:val="21"/>
                <w:szCs w:val="21"/>
              </w:rPr>
              <w:t>抽样计划</w:t>
            </w:r>
          </w:p>
        </w:tc>
        <w:tc>
          <w:tcPr>
            <w:tcW w:w="1145"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1048"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受审核部门：</w:t>
            </w:r>
            <w:r>
              <w:rPr>
                <w:rFonts w:hint="eastAsia" w:ascii="楷体" w:hAnsi="楷体" w:eastAsia="楷体" w:cs="楷体"/>
                <w:sz w:val="21"/>
                <w:szCs w:val="21"/>
                <w:lang w:eastAsia="zh-CN"/>
              </w:rPr>
              <w:t>办公室</w:t>
            </w:r>
            <w:r>
              <w:rPr>
                <w:rFonts w:hint="eastAsia" w:ascii="楷体" w:hAnsi="楷体" w:eastAsia="楷体" w:cs="楷体"/>
                <w:sz w:val="21"/>
                <w:szCs w:val="21"/>
              </w:rPr>
              <w:t xml:space="preserve">       主管领导：</w:t>
            </w:r>
            <w:r>
              <w:rPr>
                <w:rFonts w:hint="eastAsia" w:ascii="楷体" w:hAnsi="楷体" w:eastAsia="楷体" w:cs="楷体"/>
                <w:sz w:val="21"/>
                <w:szCs w:val="21"/>
                <w:lang w:val="en-US" w:eastAsia="zh-CN"/>
              </w:rPr>
              <w:t>刘茂</w:t>
            </w:r>
            <w:r>
              <w:rPr>
                <w:rFonts w:hint="eastAsia" w:ascii="楷体" w:hAnsi="楷体" w:eastAsia="楷体" w:cs="楷体"/>
                <w:sz w:val="21"/>
                <w:szCs w:val="21"/>
              </w:rPr>
              <w:t xml:space="preserve">            陪同人员： </w:t>
            </w:r>
            <w:r>
              <w:rPr>
                <w:rFonts w:hint="eastAsia" w:ascii="楷体" w:hAnsi="楷体" w:eastAsia="楷体" w:cs="楷体"/>
                <w:sz w:val="21"/>
                <w:szCs w:val="21"/>
                <w:lang w:val="en-US" w:eastAsia="zh-CN"/>
              </w:rPr>
              <w:t>刘会欣</w:t>
            </w:r>
          </w:p>
        </w:tc>
        <w:tc>
          <w:tcPr>
            <w:tcW w:w="1077"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439" w:type="dxa"/>
            <w:vMerge w:val="continue"/>
            <w:vAlign w:val="center"/>
          </w:tcPr>
          <w:p>
            <w:pPr>
              <w:rPr>
                <w:rFonts w:hint="eastAsia" w:ascii="楷体" w:hAnsi="楷体" w:eastAsia="楷体" w:cs="楷体"/>
                <w:sz w:val="21"/>
                <w:szCs w:val="21"/>
              </w:rPr>
            </w:pPr>
          </w:p>
        </w:tc>
        <w:tc>
          <w:tcPr>
            <w:tcW w:w="1145" w:type="dxa"/>
            <w:vMerge w:val="continue"/>
            <w:vAlign w:val="center"/>
          </w:tcPr>
          <w:p>
            <w:pPr>
              <w:rPr>
                <w:rFonts w:hint="eastAsia" w:ascii="楷体" w:hAnsi="楷体" w:eastAsia="楷体" w:cs="楷体"/>
                <w:sz w:val="21"/>
                <w:szCs w:val="21"/>
              </w:rPr>
            </w:pPr>
          </w:p>
        </w:tc>
        <w:tc>
          <w:tcPr>
            <w:tcW w:w="11048"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审核员： </w:t>
            </w:r>
            <w:r>
              <w:rPr>
                <w:rFonts w:hint="eastAsia" w:ascii="楷体" w:hAnsi="楷体" w:eastAsia="楷体" w:cs="楷体"/>
                <w:sz w:val="21"/>
                <w:szCs w:val="21"/>
                <w:lang w:val="en-US" w:eastAsia="zh-CN"/>
              </w:rPr>
              <w:t>周文廷</w:t>
            </w:r>
            <w:r>
              <w:rPr>
                <w:rFonts w:hint="eastAsia" w:ascii="楷体" w:hAnsi="楷体" w:eastAsia="楷体" w:cs="楷体"/>
                <w:sz w:val="21"/>
                <w:szCs w:val="21"/>
              </w:rPr>
              <w:t xml:space="preserve">          审核时间：202</w:t>
            </w:r>
            <w:r>
              <w:rPr>
                <w:rFonts w:hint="eastAsia" w:ascii="楷体" w:hAnsi="楷体" w:eastAsia="楷体" w:cs="楷体"/>
                <w:sz w:val="21"/>
                <w:szCs w:val="21"/>
                <w:lang w:val="en-US" w:eastAsia="zh-CN"/>
              </w:rPr>
              <w:t>3</w:t>
            </w:r>
            <w:r>
              <w:rPr>
                <w:rFonts w:hint="eastAsia" w:ascii="楷体" w:hAnsi="楷体" w:eastAsia="楷体" w:cs="楷体"/>
                <w:sz w:val="21"/>
                <w:szCs w:val="21"/>
              </w:rPr>
              <w:t>年</w:t>
            </w:r>
            <w:r>
              <w:rPr>
                <w:rFonts w:hint="eastAsia" w:ascii="楷体" w:hAnsi="楷体" w:eastAsia="楷体" w:cs="楷体"/>
                <w:sz w:val="21"/>
                <w:szCs w:val="21"/>
                <w:lang w:val="en-US" w:eastAsia="zh-CN"/>
              </w:rPr>
              <w:t>2</w:t>
            </w:r>
            <w:r>
              <w:rPr>
                <w:rFonts w:hint="eastAsia" w:ascii="楷体" w:hAnsi="楷体" w:eastAsia="楷体" w:cs="楷体"/>
                <w:sz w:val="21"/>
                <w:szCs w:val="21"/>
              </w:rPr>
              <w:t>月</w:t>
            </w:r>
            <w:r>
              <w:rPr>
                <w:rFonts w:hint="eastAsia" w:ascii="楷体" w:hAnsi="楷体" w:eastAsia="楷体" w:cs="楷体"/>
                <w:sz w:val="21"/>
                <w:szCs w:val="21"/>
                <w:lang w:val="en-US" w:eastAsia="zh-CN"/>
              </w:rPr>
              <w:t>17</w:t>
            </w:r>
            <w:r>
              <w:rPr>
                <w:rFonts w:hint="eastAsia" w:ascii="楷体" w:hAnsi="楷体" w:eastAsia="楷体" w:cs="楷体"/>
                <w:sz w:val="21"/>
                <w:szCs w:val="21"/>
              </w:rPr>
              <w:t>日</w:t>
            </w:r>
          </w:p>
        </w:tc>
        <w:tc>
          <w:tcPr>
            <w:tcW w:w="1077"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439" w:type="dxa"/>
            <w:vMerge w:val="continue"/>
            <w:vAlign w:val="center"/>
          </w:tcPr>
          <w:p>
            <w:pPr>
              <w:rPr>
                <w:rFonts w:hint="eastAsia" w:ascii="楷体" w:hAnsi="楷体" w:eastAsia="楷体" w:cs="楷体"/>
                <w:sz w:val="21"/>
                <w:szCs w:val="21"/>
              </w:rPr>
            </w:pPr>
          </w:p>
        </w:tc>
        <w:tc>
          <w:tcPr>
            <w:tcW w:w="1145" w:type="dxa"/>
            <w:vMerge w:val="continue"/>
            <w:vAlign w:val="center"/>
          </w:tcPr>
          <w:p>
            <w:pPr>
              <w:rPr>
                <w:rFonts w:hint="eastAsia" w:ascii="楷体" w:hAnsi="楷体" w:eastAsia="楷体" w:cs="楷体"/>
                <w:sz w:val="21"/>
                <w:szCs w:val="21"/>
              </w:rPr>
            </w:pPr>
          </w:p>
        </w:tc>
        <w:tc>
          <w:tcPr>
            <w:tcW w:w="11048" w:type="dxa"/>
            <w:vAlign w:val="center"/>
          </w:tcPr>
          <w:p>
            <w:pPr>
              <w:bidi w:val="0"/>
              <w:jc w:val="left"/>
              <w:rPr>
                <w:rFonts w:hint="eastAsia" w:ascii="楷体" w:hAnsi="楷体" w:eastAsia="楷体" w:cs="楷体"/>
                <w:sz w:val="21"/>
                <w:szCs w:val="21"/>
              </w:rPr>
            </w:pPr>
            <w:r>
              <w:rPr>
                <w:rFonts w:hint="eastAsia" w:ascii="楷体" w:hAnsi="楷体" w:eastAsia="楷体" w:cs="楷体"/>
                <w:sz w:val="21"/>
                <w:szCs w:val="21"/>
              </w:rPr>
              <w:t>审核条款：</w:t>
            </w:r>
          </w:p>
          <w:p>
            <w:pPr>
              <w:bidi w:val="0"/>
              <w:jc w:val="left"/>
              <w:rPr>
                <w:rFonts w:hint="eastAsia" w:ascii="楷体" w:hAnsi="楷体" w:eastAsia="楷体" w:cs="楷体"/>
                <w:bCs/>
                <w:sz w:val="21"/>
                <w:szCs w:val="21"/>
                <w:u w:val="none"/>
              </w:rPr>
            </w:pPr>
            <w:r>
              <w:rPr>
                <w:rFonts w:hint="eastAsia" w:ascii="楷体" w:hAnsi="楷体" w:eastAsia="楷体" w:cs="楷体"/>
                <w:bCs/>
                <w:sz w:val="21"/>
                <w:szCs w:val="21"/>
                <w:u w:val="none"/>
              </w:rPr>
              <w:t>Q</w:t>
            </w:r>
            <w:r>
              <w:rPr>
                <w:rFonts w:hint="eastAsia" w:ascii="楷体" w:hAnsi="楷体" w:eastAsia="楷体" w:cs="楷体"/>
                <w:sz w:val="21"/>
                <w:szCs w:val="21"/>
                <w:u w:val="none"/>
              </w:rPr>
              <w:t>EO：</w:t>
            </w:r>
            <w:r>
              <w:rPr>
                <w:rFonts w:hint="eastAsia" w:ascii="楷体" w:hAnsi="楷体" w:eastAsia="楷体" w:cs="楷体"/>
                <w:bCs/>
                <w:sz w:val="21"/>
                <w:szCs w:val="21"/>
                <w:u w:val="none"/>
              </w:rPr>
              <w:t>7.4/7.5/</w:t>
            </w:r>
            <w:r>
              <w:rPr>
                <w:rFonts w:hint="eastAsia" w:ascii="楷体" w:hAnsi="楷体" w:eastAsia="楷体" w:cs="楷体"/>
                <w:bCs/>
                <w:sz w:val="21"/>
                <w:szCs w:val="21"/>
                <w:highlight w:val="none"/>
                <w:u w:val="none"/>
              </w:rPr>
              <w:t>9.1.1</w:t>
            </w:r>
            <w:r>
              <w:rPr>
                <w:rFonts w:hint="eastAsia" w:ascii="楷体" w:hAnsi="楷体" w:eastAsia="楷体" w:cs="楷体"/>
                <w:bCs/>
                <w:sz w:val="21"/>
                <w:szCs w:val="21"/>
                <w:u w:val="none"/>
              </w:rPr>
              <w:t>/9.2/10.2</w:t>
            </w:r>
          </w:p>
          <w:p>
            <w:pPr>
              <w:pStyle w:val="2"/>
              <w:rPr>
                <w:rFonts w:hint="eastAsia" w:ascii="楷体" w:hAnsi="楷体" w:eastAsia="楷体" w:cs="楷体"/>
                <w:sz w:val="21"/>
                <w:szCs w:val="21"/>
              </w:rPr>
            </w:pPr>
            <w:r>
              <w:rPr>
                <w:rFonts w:hint="eastAsia" w:ascii="楷体" w:hAnsi="楷体" w:eastAsia="楷体" w:cs="楷体"/>
                <w:bCs/>
                <w:sz w:val="21"/>
                <w:szCs w:val="21"/>
                <w:u w:val="none"/>
                <w:lang w:val="en-US" w:eastAsia="zh-CN"/>
              </w:rPr>
              <w:t>O:5.4</w:t>
            </w:r>
          </w:p>
        </w:tc>
        <w:tc>
          <w:tcPr>
            <w:tcW w:w="1077"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39" w:type="dxa"/>
          </w:tcPr>
          <w:p>
            <w:pPr>
              <w:rPr>
                <w:rFonts w:hint="eastAsia" w:ascii="楷体" w:hAnsi="楷体" w:eastAsia="楷体" w:cs="楷体"/>
                <w:sz w:val="21"/>
                <w:szCs w:val="21"/>
              </w:rPr>
            </w:pPr>
            <w:r>
              <w:rPr>
                <w:rFonts w:hint="eastAsia" w:ascii="楷体" w:hAnsi="楷体" w:eastAsia="楷体" w:cs="楷体"/>
                <w:sz w:val="21"/>
                <w:szCs w:val="21"/>
              </w:rPr>
              <w:t>信息交流、工作人员的参与</w:t>
            </w:r>
          </w:p>
        </w:tc>
        <w:tc>
          <w:tcPr>
            <w:tcW w:w="1145" w:type="dxa"/>
          </w:tcPr>
          <w:p>
            <w:pPr>
              <w:rPr>
                <w:rFonts w:hint="eastAsia" w:ascii="楷体" w:hAnsi="楷体" w:eastAsia="楷体" w:cs="楷体"/>
                <w:sz w:val="21"/>
                <w:szCs w:val="21"/>
              </w:rPr>
            </w:pPr>
            <w:r>
              <w:rPr>
                <w:rFonts w:hint="eastAsia" w:ascii="楷体" w:hAnsi="楷体" w:eastAsia="楷体" w:cs="楷体"/>
                <w:sz w:val="21"/>
                <w:szCs w:val="21"/>
              </w:rPr>
              <w:t>QEO 7.4</w:t>
            </w:r>
          </w:p>
          <w:p>
            <w:pPr>
              <w:rPr>
                <w:rFonts w:hint="eastAsia" w:ascii="楷体" w:hAnsi="楷体" w:eastAsia="楷体" w:cs="楷体"/>
                <w:sz w:val="21"/>
                <w:szCs w:val="21"/>
              </w:rPr>
            </w:pPr>
            <w:r>
              <w:rPr>
                <w:rFonts w:hint="eastAsia" w:ascii="楷体" w:hAnsi="楷体" w:eastAsia="楷体" w:cs="楷体"/>
                <w:sz w:val="21"/>
                <w:szCs w:val="21"/>
              </w:rPr>
              <w:t>O5.4</w:t>
            </w:r>
          </w:p>
        </w:tc>
        <w:tc>
          <w:tcPr>
            <w:tcW w:w="11048" w:type="dxa"/>
          </w:tcPr>
          <w:p>
            <w:pPr>
              <w:rPr>
                <w:rFonts w:hint="eastAsia" w:ascii="楷体" w:hAnsi="楷体" w:eastAsia="楷体" w:cs="楷体"/>
                <w:sz w:val="21"/>
                <w:szCs w:val="21"/>
              </w:rPr>
            </w:pPr>
            <w:r>
              <w:rPr>
                <w:rFonts w:hint="eastAsia" w:ascii="楷体" w:hAnsi="楷体" w:eastAsia="楷体" w:cs="楷体"/>
                <w:sz w:val="21"/>
                <w:szCs w:val="21"/>
                <w:lang w:val="en-US" w:eastAsia="zh-CN"/>
              </w:rPr>
              <w:t>建立</w:t>
            </w:r>
            <w:r>
              <w:rPr>
                <w:rFonts w:hint="eastAsia" w:ascii="楷体" w:hAnsi="楷体" w:eastAsia="楷体" w:cs="楷体"/>
                <w:sz w:val="21"/>
                <w:szCs w:val="21"/>
              </w:rPr>
              <w:t>《信息交流、协商和沟通控制程序》</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HT/CX-7.4-A0-2022</w:t>
            </w:r>
            <w:r>
              <w:rPr>
                <w:rFonts w:hint="eastAsia" w:ascii="楷体" w:hAnsi="楷体" w:eastAsia="楷体" w:cs="楷体"/>
                <w:sz w:val="21"/>
                <w:szCs w:val="21"/>
                <w:lang w:eastAsia="zh-CN"/>
              </w:rPr>
              <w:t>，</w:t>
            </w:r>
            <w:r>
              <w:rPr>
                <w:rFonts w:hint="eastAsia" w:ascii="楷体" w:hAnsi="楷体" w:eastAsia="楷体" w:cs="楷体"/>
                <w:sz w:val="21"/>
                <w:szCs w:val="21"/>
              </w:rPr>
              <w:t>公司建立了良好的沟通机制，各部门之间、岗位之间以及与外部供方、业主、外包方及相关方之间建立了与体系有关的信息通渠沟道，借助于内部会议、电话、口头交流等方式使全体员工达到沟通和理解。目前各部门工作上的接口基本顺畅。</w:t>
            </w:r>
          </w:p>
          <w:p>
            <w:pPr>
              <w:rPr>
                <w:rFonts w:hint="eastAsia" w:ascii="楷体" w:hAnsi="楷体" w:eastAsia="楷体" w:cs="楷体"/>
                <w:sz w:val="21"/>
                <w:szCs w:val="21"/>
                <w:lang w:val="en-US" w:eastAsia="zh-CN"/>
              </w:rPr>
            </w:pPr>
            <w:r>
              <w:rPr>
                <w:rFonts w:hint="eastAsia" w:ascii="楷体" w:hAnsi="楷体" w:eastAsia="楷体" w:cs="楷体"/>
                <w:sz w:val="21"/>
                <w:szCs w:val="21"/>
              </w:rPr>
              <w:t>与政府监管部门、周围相关方、供应商等外部相关方，采用电话、微信、面对面调查等方式，以便将质量、企业环境、职业健康安全相关信息进行外部交流与沟通。</w:t>
            </w:r>
            <w:r>
              <w:rPr>
                <w:rFonts w:hint="eastAsia" w:ascii="楷体" w:hAnsi="楷体" w:eastAsia="楷体" w:cs="楷体"/>
                <w:sz w:val="21"/>
                <w:szCs w:val="21"/>
                <w:lang w:val="en-US" w:eastAsia="zh-CN"/>
              </w:rPr>
              <w:t>由办公室负责</w:t>
            </w:r>
          </w:p>
          <w:p>
            <w:pPr>
              <w:rPr>
                <w:rFonts w:hint="eastAsia" w:ascii="楷体" w:hAnsi="楷体" w:eastAsia="楷体" w:cs="楷体"/>
                <w:sz w:val="21"/>
                <w:szCs w:val="21"/>
              </w:rPr>
            </w:pPr>
            <w:r>
              <w:rPr>
                <w:rFonts w:hint="eastAsia" w:ascii="楷体" w:hAnsi="楷体" w:eastAsia="楷体" w:cs="楷体"/>
                <w:sz w:val="21"/>
                <w:szCs w:val="21"/>
                <w:lang w:val="en-US" w:eastAsia="zh-CN"/>
              </w:rPr>
              <w:t>李林林</w:t>
            </w:r>
            <w:r>
              <w:rPr>
                <w:rFonts w:hint="eastAsia" w:ascii="楷体" w:hAnsi="楷体" w:eastAsia="楷体" w:cs="楷体"/>
                <w:sz w:val="21"/>
                <w:szCs w:val="21"/>
              </w:rPr>
              <w:t>为公司职业健康安全管理体系的安全事务代表，其工作职责是：参与和协商有关职业健康安全的活动和评审，包括职业健康安全方针、目标；参与公司职业健康安全管理文件和制度的制定；协助公司了解工作人员和有关相关方的职业健康安全方面的反馈意见；对影响他们职业健康的任何变化进行协商；对职业健康安全事务发表意见；参与环境因素、危险源评价和控制措施的确定，适当参与事件调查。</w:t>
            </w:r>
          </w:p>
          <w:p>
            <w:pPr>
              <w:rPr>
                <w:rFonts w:hint="eastAsia" w:ascii="楷体" w:hAnsi="楷体" w:eastAsia="楷体" w:cs="楷体"/>
                <w:sz w:val="21"/>
                <w:szCs w:val="21"/>
              </w:rPr>
            </w:pPr>
            <w:r>
              <w:rPr>
                <w:rFonts w:hint="eastAsia" w:ascii="楷体" w:hAnsi="楷体" w:eastAsia="楷体" w:cs="楷体"/>
                <w:sz w:val="21"/>
                <w:szCs w:val="21"/>
              </w:rPr>
              <w:t>查：公司通过安全事务代表协调沟通参与危险源辨识工作，项领导层反馈员工的意见和建议。</w:t>
            </w:r>
          </w:p>
        </w:tc>
        <w:tc>
          <w:tcPr>
            <w:tcW w:w="1077"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39"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文件化信息</w:t>
            </w:r>
          </w:p>
        </w:tc>
        <w:tc>
          <w:tcPr>
            <w:tcW w:w="1145"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QE</w:t>
            </w:r>
            <w:r>
              <w:rPr>
                <w:rFonts w:hint="eastAsia" w:ascii="楷体" w:hAnsi="楷体" w:eastAsia="楷体" w:cs="楷体"/>
                <w:sz w:val="21"/>
                <w:szCs w:val="21"/>
                <w:lang w:val="en-US" w:eastAsia="zh-CN"/>
              </w:rPr>
              <w:t>O</w:t>
            </w:r>
            <w:r>
              <w:rPr>
                <w:rFonts w:hint="eastAsia" w:ascii="楷体" w:hAnsi="楷体" w:eastAsia="楷体" w:cs="楷体"/>
                <w:sz w:val="21"/>
                <w:szCs w:val="21"/>
              </w:rPr>
              <w:t>7.5</w:t>
            </w:r>
          </w:p>
        </w:tc>
        <w:tc>
          <w:tcPr>
            <w:tcW w:w="11048"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受审核方建立的管理体系文件包括：</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w:t>
            </w:r>
            <w:r>
              <w:rPr>
                <w:rFonts w:hint="eastAsia" w:ascii="楷体" w:hAnsi="楷体" w:eastAsia="楷体" w:cs="楷体"/>
                <w:sz w:val="21"/>
                <w:szCs w:val="21"/>
              </w:rPr>
              <w:t xml:space="preserve">《管理手册》        版本号： </w:t>
            </w:r>
            <w:r>
              <w:rPr>
                <w:rFonts w:hint="eastAsia" w:ascii="楷体" w:hAnsi="楷体" w:eastAsia="楷体" w:cs="楷体"/>
                <w:sz w:val="21"/>
                <w:szCs w:val="21"/>
                <w:lang w:eastAsia="zh-CN"/>
              </w:rPr>
              <w:t>HT</w:t>
            </w:r>
            <w:r>
              <w:rPr>
                <w:rFonts w:hint="eastAsia" w:ascii="楷体" w:hAnsi="楷体" w:eastAsia="楷体" w:cs="楷体"/>
                <w:sz w:val="21"/>
                <w:szCs w:val="21"/>
              </w:rPr>
              <w:t>/QES-</w:t>
            </w:r>
            <w:r>
              <w:rPr>
                <w:rFonts w:hint="eastAsia" w:ascii="楷体" w:hAnsi="楷体" w:eastAsia="楷体" w:cs="楷体"/>
                <w:sz w:val="21"/>
                <w:szCs w:val="21"/>
                <w:lang w:eastAsia="zh-CN"/>
              </w:rPr>
              <w:t>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A</w:t>
            </w:r>
            <w:r>
              <w:rPr>
                <w:rFonts w:hint="eastAsia" w:ascii="楷体" w:hAnsi="楷体" w:eastAsia="楷体" w:cs="楷体"/>
                <w:sz w:val="21"/>
                <w:szCs w:val="21"/>
              </w:rPr>
              <w:t xml:space="preserve">O  实施日期： </w:t>
            </w:r>
            <w:r>
              <w:rPr>
                <w:rFonts w:hint="eastAsia" w:ascii="楷体" w:hAnsi="楷体" w:eastAsia="楷体" w:cs="楷体"/>
                <w:sz w:val="21"/>
                <w:szCs w:val="21"/>
                <w:lang w:val="en-US" w:eastAsia="zh-CN"/>
              </w:rPr>
              <w:t>2022.7.1</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包含管理方针和管理目标</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 xml:space="preserve">《程序文件》        版本号： </w:t>
            </w:r>
            <w:r>
              <w:rPr>
                <w:rFonts w:hint="eastAsia" w:ascii="楷体" w:hAnsi="楷体" w:eastAsia="楷体" w:cs="楷体"/>
                <w:sz w:val="21"/>
                <w:szCs w:val="21"/>
                <w:lang w:eastAsia="zh-CN"/>
              </w:rPr>
              <w:t>HT</w:t>
            </w:r>
            <w:r>
              <w:rPr>
                <w:rFonts w:hint="eastAsia" w:ascii="楷体" w:hAnsi="楷体" w:eastAsia="楷体" w:cs="楷体"/>
                <w:sz w:val="21"/>
                <w:szCs w:val="21"/>
              </w:rPr>
              <w:t>/CX-</w:t>
            </w:r>
            <w:r>
              <w:rPr>
                <w:rFonts w:hint="eastAsia" w:ascii="楷体" w:hAnsi="楷体" w:eastAsia="楷体" w:cs="楷体"/>
                <w:sz w:val="21"/>
                <w:szCs w:val="21"/>
                <w:lang w:val="en-US" w:eastAsia="zh-CN"/>
              </w:rPr>
              <w:t>A</w:t>
            </w:r>
            <w:r>
              <w:rPr>
                <w:rFonts w:hint="eastAsia" w:ascii="楷体" w:hAnsi="楷体" w:eastAsia="楷体" w:cs="楷体"/>
                <w:sz w:val="21"/>
                <w:szCs w:val="21"/>
                <w:lang w:eastAsia="zh-CN"/>
              </w:rPr>
              <w:t>0</w:t>
            </w:r>
            <w:r>
              <w:rPr>
                <w:rFonts w:hint="eastAsia" w:ascii="楷体" w:hAnsi="楷体" w:eastAsia="楷体" w:cs="楷体"/>
                <w:sz w:val="21"/>
                <w:szCs w:val="21"/>
              </w:rPr>
              <w:t>-</w:t>
            </w:r>
            <w:r>
              <w:rPr>
                <w:rFonts w:hint="eastAsia" w:ascii="楷体" w:hAnsi="楷体" w:eastAsia="楷体" w:cs="楷体"/>
                <w:sz w:val="21"/>
                <w:szCs w:val="21"/>
                <w:lang w:eastAsia="zh-CN"/>
              </w:rPr>
              <w:t>2022</w:t>
            </w:r>
            <w:r>
              <w:rPr>
                <w:rFonts w:hint="eastAsia" w:ascii="楷体" w:hAnsi="楷体" w:eastAsia="楷体" w:cs="楷体"/>
                <w:sz w:val="21"/>
                <w:szCs w:val="21"/>
              </w:rPr>
              <w:t xml:space="preserve">   实施日期： </w:t>
            </w:r>
            <w:r>
              <w:rPr>
                <w:rFonts w:hint="eastAsia" w:ascii="楷体" w:hAnsi="楷体" w:eastAsia="楷体" w:cs="楷体"/>
                <w:sz w:val="21"/>
                <w:szCs w:val="21"/>
                <w:lang w:val="en-US" w:eastAsia="zh-CN"/>
              </w:rPr>
              <w:t>2022.7.1</w:t>
            </w:r>
            <w:r>
              <w:rPr>
                <w:rFonts w:hint="eastAsia" w:ascii="楷体" w:hAnsi="楷体" w:eastAsia="楷体" w:cs="楷体"/>
                <w:sz w:val="21"/>
                <w:szCs w:val="21"/>
              </w:rPr>
              <w:t xml:space="preserve"> ，包括标准要求的形成文件的信息。</w:t>
            </w:r>
          </w:p>
          <w:p>
            <w:pPr>
              <w:bidi w:val="0"/>
              <w:rPr>
                <w:rFonts w:hint="eastAsia" w:ascii="楷体" w:hAnsi="楷体" w:eastAsia="楷体" w:cs="楷体"/>
                <w:sz w:val="21"/>
                <w:szCs w:val="21"/>
              </w:rPr>
            </w:pPr>
            <w:r>
              <w:rPr>
                <w:rFonts w:hint="eastAsia" w:ascii="楷体" w:hAnsi="楷体" w:eastAsia="楷体" w:cs="楷体"/>
                <w:sz w:val="21"/>
                <w:szCs w:val="21"/>
              </w:rPr>
              <w:t>3.管理制度汇编：包括管理制度、合同管理制定等文件。</w:t>
            </w:r>
          </w:p>
          <w:p>
            <w:pPr>
              <w:bidi w:val="0"/>
              <w:rPr>
                <w:rFonts w:hint="eastAsia" w:ascii="楷体" w:hAnsi="楷体" w:eastAsia="楷体" w:cs="楷体"/>
                <w:sz w:val="21"/>
                <w:szCs w:val="21"/>
              </w:rPr>
            </w:pPr>
            <w:r>
              <w:rPr>
                <w:rFonts w:hint="eastAsia" w:ascii="楷体" w:hAnsi="楷体" w:eastAsia="楷体" w:cs="楷体"/>
                <w:sz w:val="21"/>
                <w:szCs w:val="21"/>
              </w:rPr>
              <w:t>4.体系运行所需要的文件和记录</w:t>
            </w:r>
          </w:p>
          <w:p>
            <w:pPr>
              <w:bidi w:val="0"/>
              <w:rPr>
                <w:rFonts w:hint="eastAsia" w:ascii="楷体" w:hAnsi="楷体" w:eastAsia="楷体" w:cs="楷体"/>
                <w:sz w:val="21"/>
                <w:szCs w:val="21"/>
              </w:rPr>
            </w:pPr>
            <w:r>
              <w:rPr>
                <w:rFonts w:hint="eastAsia" w:ascii="楷体" w:hAnsi="楷体" w:eastAsia="楷体" w:cs="楷体"/>
                <w:sz w:val="21"/>
                <w:szCs w:val="21"/>
              </w:rPr>
              <w:t>编制了《文件化信息管理控制程序》HT/CX-7.5-A0-2022</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用于对管理体系文件，符合标准要求。</w:t>
            </w:r>
          </w:p>
          <w:p>
            <w:pPr>
              <w:bidi w:val="0"/>
              <w:rPr>
                <w:rFonts w:hint="eastAsia" w:ascii="楷体" w:hAnsi="楷体" w:eastAsia="楷体" w:cs="楷体"/>
                <w:sz w:val="21"/>
                <w:szCs w:val="21"/>
              </w:rPr>
            </w:pPr>
            <w:r>
              <w:rPr>
                <w:rFonts w:hint="eastAsia" w:ascii="楷体" w:hAnsi="楷体" w:eastAsia="楷体" w:cs="楷体"/>
                <w:sz w:val="21"/>
                <w:szCs w:val="21"/>
              </w:rPr>
              <w:t>查</w:t>
            </w:r>
            <w:r>
              <w:rPr>
                <w:rFonts w:hint="eastAsia" w:ascii="楷体" w:hAnsi="楷体" w:eastAsia="楷体" w:cs="楷体"/>
                <w:sz w:val="21"/>
                <w:szCs w:val="21"/>
                <w:lang w:eastAsia="zh-CN"/>
              </w:rPr>
              <w:t>办公室</w:t>
            </w:r>
            <w:r>
              <w:rPr>
                <w:rFonts w:hint="eastAsia" w:ascii="楷体" w:hAnsi="楷体" w:eastAsia="楷体" w:cs="楷体"/>
                <w:sz w:val="21"/>
                <w:szCs w:val="21"/>
              </w:rPr>
              <w:t>管理手册、</w:t>
            </w:r>
            <w:r>
              <w:rPr>
                <w:rFonts w:hint="eastAsia" w:ascii="楷体" w:hAnsi="楷体" w:eastAsia="楷体" w:cs="楷体"/>
                <w:sz w:val="21"/>
                <w:szCs w:val="21"/>
                <w:lang w:val="en-US" w:eastAsia="zh-CN"/>
              </w:rPr>
              <w:t>程序文件、</w:t>
            </w:r>
            <w:r>
              <w:rPr>
                <w:rFonts w:hint="eastAsia" w:ascii="楷体" w:hAnsi="楷体" w:eastAsia="楷体" w:cs="楷体"/>
                <w:sz w:val="21"/>
                <w:szCs w:val="21"/>
              </w:rPr>
              <w:t>管理制度等文件均保管良好，为有效版本，有受控标识。</w:t>
            </w:r>
          </w:p>
          <w:p>
            <w:pPr>
              <w:bidi w:val="0"/>
              <w:rPr>
                <w:rFonts w:hint="eastAsia" w:ascii="楷体" w:hAnsi="楷体" w:eastAsia="楷体" w:cs="楷体"/>
                <w:sz w:val="21"/>
                <w:szCs w:val="21"/>
              </w:rPr>
            </w:pPr>
            <w:r>
              <w:rPr>
                <w:rFonts w:hint="eastAsia" w:ascii="楷体" w:hAnsi="楷体" w:eastAsia="楷体" w:cs="楷体"/>
                <w:sz w:val="21"/>
                <w:szCs w:val="21"/>
                <w:lang w:eastAsia="zh-CN"/>
              </w:rPr>
              <w:t>办公室</w:t>
            </w:r>
            <w:r>
              <w:rPr>
                <w:rFonts w:hint="eastAsia" w:ascii="楷体" w:hAnsi="楷体" w:eastAsia="楷体" w:cs="楷体"/>
                <w:sz w:val="21"/>
                <w:szCs w:val="21"/>
              </w:rPr>
              <w:t>负责收集有关产品的国家标准、行业标准的最新版本，分发到相关部门使用；收回旧标准。</w:t>
            </w:r>
          </w:p>
          <w:p>
            <w:pPr>
              <w:bidi w:val="0"/>
              <w:rPr>
                <w:rFonts w:hint="eastAsia" w:ascii="楷体" w:hAnsi="楷体" w:eastAsia="楷体" w:cs="楷体"/>
                <w:sz w:val="21"/>
                <w:szCs w:val="21"/>
              </w:rPr>
            </w:pPr>
            <w:r>
              <w:rPr>
                <w:rFonts w:hint="eastAsia" w:ascii="楷体" w:hAnsi="楷体" w:eastAsia="楷体" w:cs="楷体"/>
                <w:sz w:val="21"/>
                <w:szCs w:val="21"/>
              </w:rPr>
              <w:t>查见《法律法规文件清单》，内容包括：序号、文件名称、实施日期等，收集基本全面，基本符合。</w:t>
            </w:r>
          </w:p>
          <w:p>
            <w:pPr>
              <w:bidi w:val="0"/>
              <w:rPr>
                <w:rFonts w:hint="eastAsia" w:ascii="楷体" w:hAnsi="楷体" w:eastAsia="楷体" w:cs="楷体"/>
                <w:sz w:val="21"/>
                <w:szCs w:val="21"/>
              </w:rPr>
            </w:pPr>
            <w:r>
              <w:rPr>
                <w:rFonts w:hint="eastAsia" w:ascii="楷体" w:hAnsi="楷体" w:eastAsia="楷体" w:cs="楷体"/>
                <w:sz w:val="21"/>
                <w:szCs w:val="21"/>
              </w:rPr>
              <w:t>以上外来文件保管良好，均为有效版本。</w:t>
            </w:r>
          </w:p>
          <w:p>
            <w:pPr>
              <w:bidi w:val="0"/>
              <w:rPr>
                <w:rFonts w:hint="eastAsia" w:ascii="楷体" w:hAnsi="楷体" w:eastAsia="楷体" w:cs="楷体"/>
                <w:sz w:val="21"/>
                <w:szCs w:val="21"/>
              </w:rPr>
            </w:pPr>
            <w:r>
              <w:rPr>
                <w:rFonts w:hint="eastAsia" w:ascii="楷体" w:hAnsi="楷体" w:eastAsia="楷体" w:cs="楷体"/>
                <w:sz w:val="21"/>
                <w:szCs w:val="21"/>
              </w:rPr>
              <w:t>查见《记录清单》，内容包括：序号、记录名称、编号、保存期、使用部门等。</w:t>
            </w:r>
          </w:p>
          <w:p>
            <w:pPr>
              <w:bidi w:val="0"/>
              <w:rPr>
                <w:rFonts w:hint="eastAsia" w:ascii="楷体" w:hAnsi="楷体" w:eastAsia="楷体" w:cs="楷体"/>
                <w:sz w:val="21"/>
                <w:szCs w:val="21"/>
              </w:rPr>
            </w:pPr>
            <w:r>
              <w:rPr>
                <w:rFonts w:hint="eastAsia" w:ascii="楷体" w:hAnsi="楷体" w:eastAsia="楷体" w:cs="楷体"/>
                <w:sz w:val="21"/>
                <w:szCs w:val="21"/>
              </w:rPr>
              <w:t>抽查</w:t>
            </w:r>
            <w:r>
              <w:rPr>
                <w:rFonts w:hint="eastAsia" w:ascii="楷体" w:hAnsi="楷体" w:eastAsia="楷体" w:cs="楷体"/>
                <w:sz w:val="21"/>
                <w:szCs w:val="21"/>
                <w:lang w:eastAsia="zh-CN"/>
              </w:rPr>
              <w:t>办公室</w:t>
            </w:r>
            <w:r>
              <w:rPr>
                <w:rFonts w:hint="eastAsia" w:ascii="楷体" w:hAnsi="楷体" w:eastAsia="楷体" w:cs="楷体"/>
                <w:sz w:val="21"/>
                <w:szCs w:val="21"/>
              </w:rPr>
              <w:t>办文件发放登记表、培训记录表、受控文件清单，固体废弃物处置记录，填写及保管符合要求。</w:t>
            </w:r>
            <w:r>
              <w:rPr>
                <w:rFonts w:hint="eastAsia" w:ascii="楷体" w:hAnsi="楷体" w:eastAsia="楷体" w:cs="楷体"/>
                <w:sz w:val="21"/>
                <w:szCs w:val="21"/>
              </w:rPr>
              <w:br w:type="textWrapping"/>
            </w:r>
            <w:r>
              <w:rPr>
                <w:rFonts w:hint="eastAsia" w:ascii="楷体" w:hAnsi="楷体" w:eastAsia="楷体" w:cs="楷体"/>
                <w:sz w:val="21"/>
                <w:szCs w:val="21"/>
              </w:rPr>
              <w:t xml:space="preserve">    各部门保存各记录，按时间整理，放置在文件柜中，以便检索，</w:t>
            </w:r>
            <w:r>
              <w:rPr>
                <w:rFonts w:hint="eastAsia" w:ascii="楷体" w:hAnsi="楷体" w:eastAsia="楷体" w:cs="楷体"/>
                <w:sz w:val="21"/>
                <w:szCs w:val="21"/>
                <w:lang w:eastAsia="zh-CN"/>
              </w:rPr>
              <w:t>办公室</w:t>
            </w:r>
            <w:r>
              <w:rPr>
                <w:rFonts w:hint="eastAsia" w:ascii="楷体" w:hAnsi="楷体" w:eastAsia="楷体" w:cs="楷体"/>
                <w:sz w:val="21"/>
                <w:szCs w:val="21"/>
              </w:rPr>
              <w:t>定期对其进行检查，目前保存完好。名称，编号构成记录的唯一性标识。</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刘主任</w:t>
            </w:r>
            <w:r>
              <w:rPr>
                <w:rFonts w:hint="eastAsia" w:ascii="楷体" w:hAnsi="楷体" w:eastAsia="楷体" w:cs="楷体"/>
                <w:sz w:val="21"/>
                <w:szCs w:val="21"/>
              </w:rPr>
              <w:t>介绍：尚未有销毁记录，若有由</w:t>
            </w:r>
            <w:r>
              <w:rPr>
                <w:rFonts w:hint="eastAsia" w:ascii="楷体" w:hAnsi="楷体" w:eastAsia="楷体" w:cs="楷体"/>
                <w:sz w:val="21"/>
                <w:szCs w:val="21"/>
                <w:lang w:eastAsia="zh-CN"/>
              </w:rPr>
              <w:t>办公室</w:t>
            </w:r>
            <w:r>
              <w:rPr>
                <w:rFonts w:hint="eastAsia" w:ascii="楷体" w:hAnsi="楷体" w:eastAsia="楷体" w:cs="楷体"/>
                <w:sz w:val="21"/>
                <w:szCs w:val="21"/>
              </w:rPr>
              <w:t>组织进行。</w:t>
            </w:r>
          </w:p>
          <w:p>
            <w:pPr>
              <w:bidi w:val="0"/>
              <w:rPr>
                <w:rFonts w:hint="eastAsia" w:ascii="楷体" w:hAnsi="楷体" w:eastAsia="楷体" w:cs="楷体"/>
                <w:sz w:val="21"/>
                <w:szCs w:val="21"/>
              </w:rPr>
            </w:pPr>
            <w:r>
              <w:rPr>
                <w:rFonts w:hint="eastAsia" w:ascii="楷体" w:hAnsi="楷体" w:eastAsia="楷体" w:cs="楷体"/>
                <w:sz w:val="21"/>
                <w:szCs w:val="21"/>
              </w:rPr>
              <w:t>查到公司制定了知识分类表包括：政策法规、公司确定运行过程所需的知识。内部来源包括：公司运作准则（管理手册、程序文件、管理制度、作业记录等）、管理过程控制失败和成功项目吸取的经验教训和改进的结果等；外部来源包括：外来资料（如顾客反馈的信息、质量、技术规范）、法律法规、市场信息等。对知识的保持采取文件资料的保存和信息系统存储方式，在公司内部通过传递、交流、培训等方式获取。为获取更多必要的知识采用工作经验总结、顾客意见的采集，行业领先者的最佳实践调查等。主要是从顾客满意度调查收集的顾客抱怨、反馈等知识。</w:t>
            </w:r>
          </w:p>
        </w:tc>
        <w:tc>
          <w:tcPr>
            <w:tcW w:w="1077"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439" w:type="dxa"/>
            <w:vAlign w:val="center"/>
          </w:tcPr>
          <w:p>
            <w:pPr>
              <w:rPr>
                <w:rFonts w:hint="eastAsia" w:ascii="楷体" w:hAnsi="楷体" w:eastAsia="楷体" w:cs="楷体"/>
                <w:sz w:val="21"/>
                <w:szCs w:val="21"/>
              </w:rPr>
            </w:pPr>
            <w:r>
              <w:rPr>
                <w:rFonts w:hint="eastAsia" w:ascii="楷体" w:hAnsi="楷体" w:eastAsia="楷体" w:cs="楷体"/>
                <w:sz w:val="21"/>
                <w:szCs w:val="21"/>
              </w:rPr>
              <w:t>绩效的监视和测量</w:t>
            </w:r>
          </w:p>
        </w:tc>
        <w:tc>
          <w:tcPr>
            <w:tcW w:w="1145" w:type="dxa"/>
            <w:vAlign w:val="center"/>
          </w:tcPr>
          <w:p>
            <w:pPr>
              <w:rPr>
                <w:rFonts w:hint="eastAsia" w:ascii="楷体" w:hAnsi="楷体" w:eastAsia="楷体" w:cs="楷体"/>
                <w:sz w:val="21"/>
                <w:szCs w:val="21"/>
              </w:rPr>
            </w:pPr>
            <w:r>
              <w:rPr>
                <w:rFonts w:hint="eastAsia" w:ascii="楷体" w:hAnsi="楷体" w:eastAsia="楷体" w:cs="楷体"/>
                <w:sz w:val="21"/>
                <w:szCs w:val="21"/>
              </w:rPr>
              <w:t>QEO9.1.1</w:t>
            </w:r>
          </w:p>
        </w:tc>
        <w:tc>
          <w:tcPr>
            <w:tcW w:w="11048" w:type="dxa"/>
            <w:vAlign w:val="center"/>
          </w:tcPr>
          <w:p>
            <w:pPr>
              <w:rPr>
                <w:rFonts w:hint="eastAsia" w:ascii="楷体" w:hAnsi="楷体" w:eastAsia="楷体" w:cs="楷体"/>
                <w:sz w:val="21"/>
                <w:szCs w:val="21"/>
              </w:rPr>
            </w:pPr>
            <w:r>
              <w:rPr>
                <w:rFonts w:hint="eastAsia" w:ascii="楷体" w:hAnsi="楷体" w:eastAsia="楷体" w:cs="楷体"/>
                <w:sz w:val="21"/>
                <w:szCs w:val="21"/>
              </w:rPr>
              <w:t>●制定了《</w:t>
            </w:r>
            <w:r>
              <w:rPr>
                <w:rFonts w:hint="eastAsia" w:ascii="楷体" w:hAnsi="楷体" w:eastAsia="楷体" w:cs="楷体"/>
                <w:sz w:val="21"/>
                <w:szCs w:val="21"/>
                <w:lang w:val="en-GB"/>
              </w:rPr>
              <w:t>绩效及法律法规合规性监视和测量控制程序</w:t>
            </w:r>
            <w:r>
              <w:rPr>
                <w:rFonts w:hint="eastAsia" w:ascii="楷体" w:hAnsi="楷体" w:eastAsia="楷体" w:cs="楷体"/>
                <w:sz w:val="21"/>
                <w:szCs w:val="21"/>
              </w:rPr>
              <w:t>》</w:t>
            </w:r>
            <w:r>
              <w:rPr>
                <w:rFonts w:hint="eastAsia" w:ascii="楷体" w:hAnsi="楷体" w:eastAsia="楷体" w:cs="楷体"/>
                <w:sz w:val="21"/>
                <w:szCs w:val="21"/>
                <w:lang w:val="en-GB"/>
              </w:rPr>
              <w:t>HT/CX-9.1.1-A0-2022</w:t>
            </w:r>
            <w:r>
              <w:rPr>
                <w:rFonts w:hint="eastAsia" w:ascii="楷体" w:hAnsi="楷体" w:eastAsia="楷体" w:cs="楷体"/>
                <w:sz w:val="21"/>
                <w:szCs w:val="21"/>
              </w:rPr>
              <w:t>、《消防应急预案》等用以控制该公司的职业健康安全和环境行为。</w:t>
            </w:r>
          </w:p>
          <w:p>
            <w:pPr>
              <w:rPr>
                <w:rFonts w:hint="eastAsia" w:ascii="楷体" w:hAnsi="楷体" w:eastAsia="楷体" w:cs="楷体"/>
                <w:sz w:val="21"/>
                <w:szCs w:val="21"/>
              </w:rPr>
            </w:pPr>
            <w:r>
              <w:rPr>
                <w:rFonts w:hint="eastAsia" w:ascii="楷体" w:hAnsi="楷体" w:eastAsia="楷体" w:cs="楷体"/>
                <w:sz w:val="21"/>
                <w:szCs w:val="21"/>
              </w:rPr>
              <w:t>●与部门负责人长沟通，对质量、环境、安全管理体系过程进行监视和测量的方法包括：内审、管理评审、合规性评价、目标考核、服务过程的监视和测量检查等。</w:t>
            </w:r>
          </w:p>
          <w:p>
            <w:pPr>
              <w:rPr>
                <w:rFonts w:hint="eastAsia" w:ascii="楷体" w:hAnsi="楷体" w:eastAsia="楷体" w:cs="楷体"/>
                <w:sz w:val="21"/>
                <w:szCs w:val="21"/>
              </w:rPr>
            </w:pPr>
            <w:r>
              <w:rPr>
                <w:rFonts w:hint="eastAsia" w:ascii="楷体" w:hAnsi="楷体" w:eastAsia="楷体" w:cs="楷体"/>
                <w:sz w:val="21"/>
                <w:szCs w:val="21"/>
              </w:rPr>
              <w:t>内审、管理评审、合规性评价、目标考核详见9.2/9.3/9.1.2/6.2的审核记录.</w:t>
            </w:r>
          </w:p>
          <w:p>
            <w:pPr>
              <w:rPr>
                <w:rFonts w:hint="eastAsia" w:ascii="楷体" w:hAnsi="楷体" w:eastAsia="楷体" w:cs="楷体"/>
                <w:sz w:val="21"/>
                <w:szCs w:val="21"/>
              </w:rPr>
            </w:pPr>
            <w:r>
              <w:rPr>
                <w:rFonts w:hint="eastAsia" w:ascii="楷体" w:hAnsi="楷体" w:eastAsia="楷体" w:cs="楷体"/>
                <w:sz w:val="21"/>
                <w:szCs w:val="21"/>
              </w:rPr>
              <w:t>每月进行一次过程的监视和测量的检查，发现问题立即整改。</w:t>
            </w:r>
          </w:p>
          <w:p>
            <w:pPr>
              <w:rPr>
                <w:rFonts w:hint="eastAsia" w:ascii="楷体" w:hAnsi="楷体" w:eastAsia="楷体" w:cs="楷体"/>
                <w:sz w:val="21"/>
                <w:szCs w:val="21"/>
              </w:rPr>
            </w:pPr>
            <w:r>
              <w:rPr>
                <w:rFonts w:hint="eastAsia" w:ascii="楷体" w:hAnsi="楷体" w:eastAsia="楷体" w:cs="楷体"/>
                <w:sz w:val="21"/>
                <w:szCs w:val="21"/>
              </w:rPr>
              <w:t>●日常监督检查：管代负责对各部门的职业健康安全行为进行不定期的巡检。巡检内容包括：消防设施状况（灭火器</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消防栓</w:t>
            </w:r>
            <w:r>
              <w:rPr>
                <w:rFonts w:hint="eastAsia" w:ascii="楷体" w:hAnsi="楷体" w:eastAsia="楷体" w:cs="楷体"/>
                <w:sz w:val="21"/>
                <w:szCs w:val="21"/>
              </w:rPr>
              <w:t>）、消防隐患排查情况、传染病防治情况、消杀情况、防护用品的使用情况。对发现的问题提出整改要求，责任部门整改，办公室验证整改效果。</w:t>
            </w:r>
          </w:p>
          <w:p>
            <w:pPr>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eastAsia="zh-CN"/>
              </w:rPr>
              <w:t>环境绩效</w:t>
            </w:r>
            <w:r>
              <w:rPr>
                <w:rFonts w:hint="eastAsia" w:ascii="楷体" w:hAnsi="楷体" w:eastAsia="楷体" w:cs="楷体"/>
                <w:sz w:val="21"/>
                <w:szCs w:val="21"/>
              </w:rPr>
              <w:t>监测：</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环境绩效：</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提供了固定污染源排污登记回执</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登记编号:91131125089426955L001W，编号：91130921785722731F001Y，有效期:2020年06月02日至2025年06月01日</w:t>
            </w:r>
          </w:p>
          <w:p>
            <w:pPr>
              <w:rPr>
                <w:rFonts w:hint="eastAsia" w:ascii="楷体" w:hAnsi="楷体" w:eastAsia="楷体" w:cs="楷体"/>
                <w:sz w:val="21"/>
                <w:szCs w:val="21"/>
                <w:lang w:eastAsia="zh-CN"/>
              </w:rPr>
            </w:pPr>
            <w:r>
              <w:rPr>
                <w:rFonts w:hint="eastAsia" w:ascii="楷体" w:hAnsi="楷体" w:eastAsia="楷体" w:cs="楷体"/>
                <w:sz w:val="21"/>
                <w:szCs w:val="21"/>
                <w:lang w:eastAsia="zh-CN"/>
              </w:rPr>
              <w:t>●职业健康安全监测：</w:t>
            </w:r>
          </w:p>
          <w:p>
            <w:pPr>
              <w:rPr>
                <w:rFonts w:hint="eastAsia" w:ascii="楷体" w:hAnsi="楷体" w:eastAsia="楷体" w:cs="楷体"/>
                <w:sz w:val="21"/>
                <w:szCs w:val="21"/>
              </w:rPr>
            </w:pPr>
            <w:r>
              <w:rPr>
                <w:rFonts w:hint="eastAsia" w:ascii="楷体" w:hAnsi="楷体" w:eastAsia="楷体" w:cs="楷体"/>
                <w:sz w:val="21"/>
                <w:szCs w:val="21"/>
                <w:lang w:eastAsia="zh-CN"/>
              </w:rPr>
              <w:t>职业健康安全目标</w:t>
            </w:r>
            <w:r>
              <w:rPr>
                <w:rFonts w:hint="eastAsia" w:ascii="楷体" w:hAnsi="楷体" w:eastAsia="楷体" w:cs="楷体"/>
                <w:sz w:val="21"/>
                <w:szCs w:val="21"/>
              </w:rPr>
              <w:t>指标：已完成</w:t>
            </w:r>
          </w:p>
          <w:p>
            <w:pPr>
              <w:rPr>
                <w:rFonts w:hint="eastAsia" w:ascii="楷体" w:hAnsi="楷体" w:eastAsia="楷体" w:cs="楷体"/>
                <w:sz w:val="21"/>
                <w:szCs w:val="21"/>
              </w:rPr>
            </w:pPr>
            <w:r>
              <w:rPr>
                <w:rFonts w:hint="eastAsia" w:ascii="楷体" w:hAnsi="楷体" w:eastAsia="楷体" w:cs="楷体"/>
                <w:sz w:val="21"/>
                <w:szCs w:val="21"/>
              </w:rPr>
              <w:t>为员工缴纳了保险。</w:t>
            </w:r>
          </w:p>
          <w:p>
            <w:pPr>
              <w:rPr>
                <w:rFonts w:hint="eastAsia" w:ascii="楷体" w:hAnsi="楷体" w:eastAsia="楷体" w:cs="楷体"/>
                <w:sz w:val="21"/>
                <w:szCs w:val="21"/>
                <w:lang w:eastAsia="zh-CN"/>
              </w:rPr>
            </w:pPr>
            <w:r>
              <w:rPr>
                <w:rFonts w:hint="eastAsia" w:ascii="楷体" w:hAnsi="楷体" w:eastAsia="楷体" w:cs="楷体"/>
                <w:sz w:val="21"/>
                <w:szCs w:val="21"/>
                <w:lang w:val="en-US" w:eastAsia="zh-CN"/>
              </w:rPr>
              <w:t>提供</w:t>
            </w:r>
            <w:r>
              <w:rPr>
                <w:rFonts w:hint="eastAsia" w:ascii="楷体" w:hAnsi="楷体" w:eastAsia="楷体" w:cs="楷体"/>
                <w:sz w:val="21"/>
                <w:szCs w:val="21"/>
              </w:rPr>
              <w:t>重要岗位人员体检报告</w:t>
            </w:r>
            <w:r>
              <w:rPr>
                <w:rFonts w:hint="eastAsia" w:ascii="楷体" w:hAnsi="楷体" w:eastAsia="楷体" w:cs="楷体"/>
                <w:sz w:val="21"/>
                <w:szCs w:val="21"/>
                <w:lang w:eastAsia="zh-CN"/>
              </w:rPr>
              <w:t>。</w:t>
            </w:r>
          </w:p>
        </w:tc>
        <w:tc>
          <w:tcPr>
            <w:tcW w:w="1077" w:type="dxa"/>
          </w:tcPr>
          <w:p>
            <w:pPr>
              <w:rPr>
                <w:rFonts w:hint="eastAsia" w:ascii="楷体" w:hAnsi="楷体" w:eastAsia="楷体" w:cs="楷体"/>
                <w:sz w:val="21"/>
                <w:szCs w:val="21"/>
              </w:rPr>
            </w:pPr>
          </w:p>
          <w:p>
            <w:pPr>
              <w:rPr>
                <w:rFonts w:hint="eastAsia" w:ascii="楷体" w:hAnsi="楷体" w:eastAsia="楷体" w:cs="楷体"/>
                <w:sz w:val="21"/>
                <w:szCs w:val="21"/>
                <w:lang w:val="en-US" w:eastAsia="zh-CN"/>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39" w:type="dxa"/>
            <w:vAlign w:val="center"/>
          </w:tcPr>
          <w:p>
            <w:pPr>
              <w:rPr>
                <w:rFonts w:hint="eastAsia" w:ascii="楷体" w:hAnsi="楷体" w:eastAsia="楷体" w:cs="楷体"/>
                <w:sz w:val="21"/>
                <w:szCs w:val="21"/>
              </w:rPr>
            </w:pPr>
            <w:r>
              <w:rPr>
                <w:rFonts w:hint="eastAsia" w:ascii="楷体" w:hAnsi="楷体" w:eastAsia="楷体" w:cs="楷体"/>
                <w:sz w:val="21"/>
                <w:szCs w:val="21"/>
              </w:rPr>
              <w:t>内部审核</w:t>
            </w:r>
          </w:p>
        </w:tc>
        <w:tc>
          <w:tcPr>
            <w:tcW w:w="1145" w:type="dxa"/>
            <w:vAlign w:val="center"/>
          </w:tcPr>
          <w:p>
            <w:pPr>
              <w:rPr>
                <w:rFonts w:hint="eastAsia" w:ascii="楷体" w:hAnsi="楷体" w:eastAsia="楷体" w:cs="楷体"/>
                <w:sz w:val="21"/>
                <w:szCs w:val="21"/>
              </w:rPr>
            </w:pPr>
            <w:r>
              <w:rPr>
                <w:rFonts w:hint="eastAsia" w:ascii="楷体" w:hAnsi="楷体" w:eastAsia="楷体" w:cs="楷体"/>
                <w:sz w:val="21"/>
                <w:szCs w:val="21"/>
              </w:rPr>
              <w:t>QEO9.2</w:t>
            </w:r>
          </w:p>
          <w:p>
            <w:pPr>
              <w:rPr>
                <w:rFonts w:hint="eastAsia" w:ascii="楷体" w:hAnsi="楷体" w:eastAsia="楷体" w:cs="楷体"/>
                <w:sz w:val="21"/>
                <w:szCs w:val="21"/>
              </w:rPr>
            </w:pPr>
          </w:p>
        </w:tc>
        <w:tc>
          <w:tcPr>
            <w:tcW w:w="11048" w:type="dxa"/>
            <w:vAlign w:val="center"/>
          </w:tcPr>
          <w:p>
            <w:pPr>
              <w:rPr>
                <w:rFonts w:hint="eastAsia" w:ascii="楷体" w:hAnsi="楷体" w:eastAsia="楷体" w:cs="楷体"/>
                <w:sz w:val="21"/>
                <w:szCs w:val="21"/>
              </w:rPr>
            </w:pPr>
            <w:r>
              <w:rPr>
                <w:rFonts w:hint="eastAsia" w:ascii="楷体" w:hAnsi="楷体" w:eastAsia="楷体" w:cs="楷体"/>
                <w:sz w:val="21"/>
                <w:szCs w:val="21"/>
              </w:rPr>
              <w:t>●内审执行公司《内部审核控制程序》HT/CX-9.2-A0-2022，程序规定内审每年至少一次，特殊情况可提前或增加次数：</w:t>
            </w:r>
          </w:p>
          <w:p>
            <w:pPr>
              <w:rPr>
                <w:rFonts w:hint="eastAsia" w:ascii="楷体" w:hAnsi="楷体" w:eastAsia="楷体" w:cs="楷体"/>
                <w:sz w:val="21"/>
                <w:szCs w:val="21"/>
              </w:rPr>
            </w:pPr>
            <w:r>
              <w:rPr>
                <w:rFonts w:hint="eastAsia" w:ascii="楷体" w:hAnsi="楷体" w:eastAsia="楷体" w:cs="楷体"/>
                <w:sz w:val="21"/>
                <w:szCs w:val="21"/>
              </w:rPr>
              <w:t>●2022年度内审情况：</w:t>
            </w:r>
          </w:p>
          <w:p>
            <w:pPr>
              <w:rPr>
                <w:rFonts w:hint="eastAsia" w:ascii="楷体" w:hAnsi="楷体" w:eastAsia="楷体" w:cs="楷体"/>
                <w:sz w:val="21"/>
                <w:szCs w:val="21"/>
              </w:rPr>
            </w:pPr>
            <w:r>
              <w:rPr>
                <w:rFonts w:hint="eastAsia" w:ascii="楷体" w:hAnsi="楷体" w:eastAsia="楷体" w:cs="楷体"/>
                <w:sz w:val="21"/>
                <w:szCs w:val="21"/>
              </w:rPr>
              <w:t xml:space="preserve">1、提供了《2022年内部审核实施计划》，计划内容有：审核目的、审核范围、审核依据、日程安排。 </w:t>
            </w:r>
          </w:p>
          <w:p>
            <w:pPr>
              <w:spacing w:line="300" w:lineRule="auto"/>
              <w:rPr>
                <w:rFonts w:hint="eastAsia" w:ascii="楷体" w:hAnsi="楷体" w:eastAsia="楷体" w:cs="楷体"/>
                <w:sz w:val="21"/>
                <w:szCs w:val="21"/>
                <w:lang w:val="en-US" w:eastAsia="zh-CN"/>
              </w:rPr>
            </w:pPr>
            <w:r>
              <w:rPr>
                <w:rFonts w:hint="eastAsia" w:ascii="楷体" w:hAnsi="楷体" w:eastAsia="楷体" w:cs="楷体"/>
                <w:sz w:val="21"/>
                <w:szCs w:val="21"/>
              </w:rPr>
              <w:t>2、审核组成员：组长：</w:t>
            </w:r>
            <w:r>
              <w:rPr>
                <w:rFonts w:hint="eastAsia" w:ascii="楷体" w:hAnsi="楷体" w:eastAsia="楷体" w:cs="楷体"/>
                <w:sz w:val="21"/>
                <w:szCs w:val="21"/>
                <w:lang w:val="en-US" w:eastAsia="zh-CN"/>
              </w:rPr>
              <w:t xml:space="preserve">刘茂  </w:t>
            </w:r>
            <w:r>
              <w:rPr>
                <w:rFonts w:hint="eastAsia" w:ascii="楷体" w:hAnsi="楷体" w:eastAsia="楷体" w:cs="楷体"/>
                <w:sz w:val="21"/>
                <w:szCs w:val="21"/>
              </w:rPr>
              <w:t>组员：</w:t>
            </w:r>
            <w:r>
              <w:rPr>
                <w:rFonts w:hint="eastAsia" w:ascii="楷体" w:hAnsi="楷体" w:eastAsia="楷体" w:cs="楷体"/>
                <w:sz w:val="21"/>
                <w:szCs w:val="21"/>
                <w:lang w:val="en-US" w:eastAsia="zh-CN"/>
              </w:rPr>
              <w:t>石雪猛、王学腾</w:t>
            </w:r>
          </w:p>
          <w:p>
            <w:pPr>
              <w:rPr>
                <w:rFonts w:hint="eastAsia" w:ascii="楷体" w:hAnsi="楷体" w:eastAsia="楷体" w:cs="楷体"/>
                <w:sz w:val="21"/>
                <w:szCs w:val="21"/>
              </w:rPr>
            </w:pPr>
            <w:r>
              <w:rPr>
                <w:rFonts w:hint="eastAsia" w:ascii="楷体" w:hAnsi="楷体" w:eastAsia="楷体" w:cs="楷体"/>
                <w:sz w:val="21"/>
                <w:szCs w:val="21"/>
              </w:rPr>
              <w:t>查见内审员培训记录，内审员经过了培训，培训时间2022.</w:t>
            </w:r>
            <w:r>
              <w:rPr>
                <w:rFonts w:hint="eastAsia" w:ascii="楷体" w:hAnsi="楷体" w:eastAsia="楷体" w:cs="楷体"/>
                <w:sz w:val="21"/>
                <w:szCs w:val="21"/>
                <w:lang w:val="en-US" w:eastAsia="zh-CN"/>
              </w:rPr>
              <w:t>11.14</w:t>
            </w:r>
            <w:r>
              <w:rPr>
                <w:rFonts w:hint="eastAsia" w:ascii="楷体" w:hAnsi="楷体" w:eastAsia="楷体" w:cs="楷体"/>
                <w:sz w:val="21"/>
                <w:szCs w:val="21"/>
              </w:rPr>
              <w:t>，与</w:t>
            </w:r>
            <w:r>
              <w:rPr>
                <w:rFonts w:hint="eastAsia" w:ascii="楷体" w:hAnsi="楷体" w:eastAsia="楷体" w:cs="楷体"/>
                <w:sz w:val="21"/>
                <w:szCs w:val="21"/>
                <w:lang w:val="en-US" w:eastAsia="zh-CN"/>
              </w:rPr>
              <w:t>李</w:t>
            </w:r>
            <w:r>
              <w:rPr>
                <w:rFonts w:hint="eastAsia" w:ascii="楷体" w:hAnsi="楷体" w:eastAsia="楷体" w:cs="楷体"/>
                <w:sz w:val="21"/>
                <w:szCs w:val="21"/>
              </w:rPr>
              <w:t>经理沟通，基本清楚审核流程、要点及方法。</w:t>
            </w:r>
          </w:p>
          <w:p>
            <w:pPr>
              <w:rPr>
                <w:rFonts w:hint="eastAsia" w:ascii="楷体" w:hAnsi="楷体" w:eastAsia="楷体" w:cs="楷体"/>
                <w:sz w:val="21"/>
                <w:szCs w:val="21"/>
              </w:rPr>
            </w:pPr>
            <w:r>
              <w:rPr>
                <w:rFonts w:hint="eastAsia" w:ascii="楷体" w:hAnsi="楷体" w:eastAsia="楷体" w:cs="楷体"/>
                <w:sz w:val="21"/>
                <w:szCs w:val="21"/>
              </w:rPr>
              <w:t>3、提供了《2022年内审首/末次会议参会人员签到记录》，有各部门签到。</w:t>
            </w:r>
          </w:p>
          <w:p>
            <w:pPr>
              <w:rPr>
                <w:rFonts w:hint="eastAsia" w:ascii="楷体" w:hAnsi="楷体" w:eastAsia="楷体" w:cs="楷体"/>
                <w:sz w:val="21"/>
                <w:szCs w:val="21"/>
              </w:rPr>
            </w:pPr>
            <w:r>
              <w:rPr>
                <w:rFonts w:hint="eastAsia" w:ascii="楷体" w:hAnsi="楷体" w:eastAsia="楷体" w:cs="楷体"/>
                <w:sz w:val="21"/>
                <w:szCs w:val="21"/>
              </w:rPr>
              <w:t>4、提供了《内审检查表》，审核时间2022年</w:t>
            </w:r>
            <w:r>
              <w:rPr>
                <w:rFonts w:hint="eastAsia" w:ascii="楷体" w:hAnsi="楷体" w:eastAsia="楷体" w:cs="楷体"/>
                <w:sz w:val="21"/>
                <w:szCs w:val="21"/>
                <w:lang w:val="en-US" w:eastAsia="zh-CN"/>
              </w:rPr>
              <w:t>12</w:t>
            </w:r>
            <w:r>
              <w:rPr>
                <w:rFonts w:hint="eastAsia" w:ascii="楷体" w:hAnsi="楷体" w:eastAsia="楷体" w:cs="楷体"/>
                <w:sz w:val="21"/>
                <w:szCs w:val="21"/>
              </w:rPr>
              <w:t>月</w:t>
            </w:r>
            <w:r>
              <w:rPr>
                <w:rFonts w:hint="eastAsia" w:ascii="楷体" w:hAnsi="楷体" w:eastAsia="楷体" w:cs="楷体"/>
                <w:sz w:val="21"/>
                <w:szCs w:val="21"/>
                <w:lang w:val="en-US" w:eastAsia="zh-CN"/>
              </w:rPr>
              <w:t>1-2</w:t>
            </w:r>
            <w:r>
              <w:rPr>
                <w:rFonts w:hint="eastAsia" w:ascii="楷体" w:hAnsi="楷体" w:eastAsia="楷体" w:cs="楷体"/>
                <w:sz w:val="21"/>
                <w:szCs w:val="21"/>
              </w:rPr>
              <w:t>日，审核计划安排合理，审核范围覆盖了体系所要求的部门及相关活动，不存在审核员审核自己部门情况，审核记录基本满足要求。</w:t>
            </w:r>
          </w:p>
          <w:p>
            <w:pPr>
              <w:rPr>
                <w:rFonts w:hint="eastAsia" w:ascii="楷体" w:hAnsi="楷体" w:eastAsia="楷体" w:cs="楷体"/>
                <w:sz w:val="21"/>
                <w:szCs w:val="21"/>
              </w:rPr>
            </w:pPr>
            <w:r>
              <w:rPr>
                <w:rFonts w:hint="eastAsia" w:ascii="楷体" w:hAnsi="楷体" w:eastAsia="楷体" w:cs="楷体"/>
                <w:sz w:val="21"/>
                <w:szCs w:val="21"/>
              </w:rPr>
              <w:t>5、提供《体系内部审核报告》，审核报告中包括审核目的、审核范围、审核依据、审核内容摘要、审核结论等内容，对审核过程进行了综述，对公司管理体系的符合性进行了评价，针对不足部门提出了建议改进，审核结论：总体来说，本质量、环境和职业健康安全管理体系在这一段时间的运行中符合标准要求和本公司的实际，而且对提升质量、环境和职业健康安全管理水平和保证产品的质量、改进公司环境污染预防和职业健康安全绩效有较明显的效果。</w:t>
            </w:r>
          </w:p>
          <w:p>
            <w:pPr>
              <w:rPr>
                <w:rFonts w:hint="eastAsia" w:ascii="楷体" w:hAnsi="楷体" w:eastAsia="楷体" w:cs="楷体"/>
                <w:sz w:val="21"/>
                <w:szCs w:val="21"/>
              </w:rPr>
            </w:pPr>
            <w:r>
              <w:rPr>
                <w:rFonts w:hint="eastAsia" w:ascii="楷体" w:hAnsi="楷体" w:eastAsia="楷体" w:cs="楷体"/>
                <w:sz w:val="21"/>
                <w:szCs w:val="21"/>
              </w:rPr>
              <w:t>6、本次内审共提出不合格项</w:t>
            </w:r>
            <w:r>
              <w:rPr>
                <w:rFonts w:hint="eastAsia" w:ascii="楷体" w:hAnsi="楷体" w:eastAsia="楷体" w:cs="楷体"/>
                <w:sz w:val="21"/>
                <w:szCs w:val="21"/>
                <w:lang w:val="en-US" w:eastAsia="zh-CN"/>
              </w:rPr>
              <w:t>2</w:t>
            </w:r>
            <w:r>
              <w:rPr>
                <w:rFonts w:hint="eastAsia" w:ascii="楷体" w:hAnsi="楷体" w:eastAsia="楷体" w:cs="楷体"/>
                <w:sz w:val="21"/>
                <w:szCs w:val="21"/>
              </w:rPr>
              <w:t>项，提供《不符合项报告》</w:t>
            </w:r>
            <w:r>
              <w:rPr>
                <w:rFonts w:hint="eastAsia" w:ascii="楷体" w:hAnsi="楷体" w:eastAsia="楷体" w:cs="楷体"/>
                <w:sz w:val="21"/>
                <w:szCs w:val="21"/>
                <w:lang w:val="en-US" w:eastAsia="zh-CN"/>
              </w:rPr>
              <w:t>2</w:t>
            </w:r>
            <w:r>
              <w:rPr>
                <w:rFonts w:hint="eastAsia" w:ascii="楷体" w:hAnsi="楷体" w:eastAsia="楷体" w:cs="楷体"/>
                <w:sz w:val="21"/>
                <w:szCs w:val="21"/>
              </w:rPr>
              <w:t>份，不符合事实描述清楚。</w:t>
            </w:r>
          </w:p>
          <w:p>
            <w:pPr>
              <w:rPr>
                <w:rFonts w:hint="eastAsia" w:ascii="楷体" w:hAnsi="楷体" w:eastAsia="楷体" w:cs="楷体"/>
                <w:sz w:val="21"/>
                <w:szCs w:val="21"/>
              </w:rPr>
            </w:pPr>
            <w:r>
              <w:rPr>
                <w:rFonts w:hint="eastAsia" w:ascii="楷体" w:hAnsi="楷体" w:eastAsia="楷体" w:cs="楷体"/>
                <w:sz w:val="21"/>
                <w:szCs w:val="21"/>
              </w:rPr>
              <w:t>已完成整改，符合要求</w:t>
            </w:r>
          </w:p>
          <w:p>
            <w:pPr>
              <w:rPr>
                <w:rFonts w:hint="eastAsia" w:ascii="楷体" w:hAnsi="楷体" w:eastAsia="楷体" w:cs="楷体"/>
                <w:sz w:val="21"/>
                <w:szCs w:val="21"/>
              </w:rPr>
            </w:pPr>
            <w:r>
              <w:rPr>
                <w:rFonts w:hint="eastAsia" w:ascii="楷体" w:hAnsi="楷体" w:eastAsia="楷体" w:cs="楷体"/>
                <w:sz w:val="21"/>
                <w:szCs w:val="21"/>
              </w:rPr>
              <w:t>内部审核符合要求。</w:t>
            </w:r>
          </w:p>
        </w:tc>
        <w:tc>
          <w:tcPr>
            <w:tcW w:w="1077"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39" w:type="dxa"/>
            <w:vAlign w:val="center"/>
          </w:tcPr>
          <w:p>
            <w:pPr>
              <w:rPr>
                <w:rFonts w:hint="eastAsia" w:ascii="楷体" w:hAnsi="楷体" w:eastAsia="楷体" w:cs="楷体"/>
                <w:sz w:val="21"/>
                <w:szCs w:val="21"/>
              </w:rPr>
            </w:pPr>
            <w:r>
              <w:rPr>
                <w:rFonts w:hint="eastAsia" w:ascii="楷体" w:hAnsi="楷体" w:eastAsia="楷体" w:cs="楷体"/>
                <w:sz w:val="21"/>
                <w:szCs w:val="21"/>
              </w:rPr>
              <w:t>不符合和纠正措施</w:t>
            </w:r>
          </w:p>
          <w:p>
            <w:pPr>
              <w:rPr>
                <w:rFonts w:hint="eastAsia" w:ascii="楷体" w:hAnsi="楷体" w:eastAsia="楷体" w:cs="楷体"/>
                <w:sz w:val="21"/>
                <w:szCs w:val="21"/>
              </w:rPr>
            </w:pPr>
            <w:r>
              <w:rPr>
                <w:rFonts w:hint="eastAsia" w:ascii="楷体" w:hAnsi="楷体" w:eastAsia="楷体" w:cs="楷体"/>
                <w:sz w:val="21"/>
                <w:szCs w:val="21"/>
              </w:rPr>
              <w:t>事件调查、不符合、纠正措施</w:t>
            </w:r>
          </w:p>
        </w:tc>
        <w:tc>
          <w:tcPr>
            <w:tcW w:w="1145" w:type="dxa"/>
            <w:vAlign w:val="center"/>
          </w:tcPr>
          <w:p>
            <w:pPr>
              <w:rPr>
                <w:rFonts w:hint="eastAsia" w:ascii="楷体" w:hAnsi="楷体" w:eastAsia="楷体" w:cs="楷体"/>
                <w:sz w:val="21"/>
                <w:szCs w:val="21"/>
              </w:rPr>
            </w:pPr>
            <w:r>
              <w:rPr>
                <w:rFonts w:hint="eastAsia" w:ascii="楷体" w:hAnsi="楷体" w:eastAsia="楷体" w:cs="楷体"/>
                <w:sz w:val="21"/>
                <w:szCs w:val="21"/>
              </w:rPr>
              <w:t>QEO</w:t>
            </w:r>
          </w:p>
          <w:p>
            <w:pPr>
              <w:rPr>
                <w:rFonts w:hint="eastAsia" w:ascii="楷体" w:hAnsi="楷体" w:eastAsia="楷体" w:cs="楷体"/>
                <w:sz w:val="21"/>
                <w:szCs w:val="21"/>
              </w:rPr>
            </w:pPr>
            <w:r>
              <w:rPr>
                <w:rFonts w:hint="eastAsia" w:ascii="楷体" w:hAnsi="楷体" w:eastAsia="楷体" w:cs="楷体"/>
                <w:sz w:val="21"/>
                <w:szCs w:val="21"/>
              </w:rPr>
              <w:t>10.2</w:t>
            </w:r>
          </w:p>
          <w:p>
            <w:pPr>
              <w:rPr>
                <w:rFonts w:hint="eastAsia" w:ascii="楷体" w:hAnsi="楷体" w:eastAsia="楷体" w:cs="楷体"/>
                <w:sz w:val="21"/>
                <w:szCs w:val="21"/>
              </w:rPr>
            </w:pPr>
          </w:p>
        </w:tc>
        <w:tc>
          <w:tcPr>
            <w:tcW w:w="11048" w:type="dxa"/>
            <w:vAlign w:val="center"/>
          </w:tcPr>
          <w:p>
            <w:pPr>
              <w:rPr>
                <w:rFonts w:hint="eastAsia" w:ascii="楷体" w:hAnsi="楷体" w:eastAsia="楷体" w:cs="楷体"/>
                <w:sz w:val="21"/>
                <w:szCs w:val="21"/>
              </w:rPr>
            </w:pPr>
            <w:r>
              <w:rPr>
                <w:rFonts w:hint="eastAsia" w:ascii="楷体" w:hAnsi="楷体" w:eastAsia="楷体" w:cs="楷体"/>
                <w:sz w:val="21"/>
                <w:szCs w:val="21"/>
              </w:rPr>
              <w:t>企业通过对</w:t>
            </w:r>
            <w:r>
              <w:rPr>
                <w:rFonts w:hint="eastAsia" w:ascii="楷体" w:hAnsi="楷体" w:eastAsia="楷体" w:cs="楷体"/>
                <w:sz w:val="21"/>
                <w:szCs w:val="21"/>
                <w:lang w:val="en-US" w:eastAsia="zh-CN"/>
              </w:rPr>
              <w:t>生产</w:t>
            </w:r>
            <w:r>
              <w:rPr>
                <w:rFonts w:hint="eastAsia" w:ascii="楷体" w:hAnsi="楷体" w:eastAsia="楷体" w:cs="楷体"/>
                <w:sz w:val="21"/>
                <w:szCs w:val="21"/>
              </w:rPr>
              <w:t>过程的监视和测量、绩效考核、内审、管理评审等方式和机制，确保质量管理制度有效执行。</w:t>
            </w:r>
          </w:p>
          <w:p>
            <w:pPr>
              <w:rPr>
                <w:rFonts w:hint="eastAsia" w:ascii="楷体" w:hAnsi="楷体" w:eastAsia="楷体" w:cs="楷体"/>
                <w:sz w:val="21"/>
                <w:szCs w:val="21"/>
              </w:rPr>
            </w:pPr>
            <w:r>
              <w:rPr>
                <w:rFonts w:hint="eastAsia" w:ascii="楷体" w:hAnsi="楷体" w:eastAsia="楷体" w:cs="楷体"/>
                <w:sz w:val="21"/>
                <w:szCs w:val="21"/>
              </w:rPr>
              <w:t>企业经过策划，采用对</w:t>
            </w:r>
            <w:r>
              <w:rPr>
                <w:rFonts w:hint="eastAsia" w:ascii="楷体" w:hAnsi="楷体" w:eastAsia="楷体" w:cs="楷体"/>
                <w:sz w:val="21"/>
                <w:szCs w:val="21"/>
                <w:lang w:val="en-US" w:eastAsia="zh-CN"/>
              </w:rPr>
              <w:t>生产/</w:t>
            </w:r>
            <w:r>
              <w:rPr>
                <w:rFonts w:hint="eastAsia" w:ascii="楷体" w:hAnsi="楷体" w:eastAsia="楷体" w:cs="楷体"/>
                <w:sz w:val="21"/>
                <w:szCs w:val="21"/>
              </w:rPr>
              <w:t>服务过程的监视，对不合格控制等来证实物业服务的符合性。</w:t>
            </w:r>
          </w:p>
          <w:p>
            <w:pPr>
              <w:rPr>
                <w:rFonts w:hint="eastAsia" w:ascii="楷体" w:hAnsi="楷体" w:eastAsia="楷体" w:cs="楷体"/>
                <w:sz w:val="21"/>
                <w:szCs w:val="21"/>
              </w:rPr>
            </w:pPr>
            <w:r>
              <w:rPr>
                <w:rFonts w:hint="eastAsia" w:ascii="楷体" w:hAnsi="楷体" w:eastAsia="楷体" w:cs="楷体"/>
                <w:sz w:val="21"/>
                <w:szCs w:val="21"/>
              </w:rPr>
              <w:t>企业制定《事件调查、不符合、纠正及预防措施控制程序》HT/CX-10.2-A0-2022、《不合格和纠正措施控制程序》《不合格品控制程序》HT/CX-8.7-A0-2022等，通过分析实际存在的或潜在的不符合的原因，制定纠正和预防措施，并验证其效果，以防止不符合的发生／再发生，实现持续改进绩效的目的。</w:t>
            </w:r>
          </w:p>
          <w:p>
            <w:pPr>
              <w:rPr>
                <w:rFonts w:hint="eastAsia" w:ascii="楷体" w:hAnsi="楷体" w:eastAsia="楷体" w:cs="楷体"/>
                <w:sz w:val="21"/>
                <w:szCs w:val="21"/>
              </w:rPr>
            </w:pPr>
            <w:r>
              <w:rPr>
                <w:rFonts w:hint="eastAsia" w:ascii="楷体" w:hAnsi="楷体" w:eastAsia="楷体" w:cs="楷体"/>
                <w:sz w:val="21"/>
                <w:szCs w:val="21"/>
              </w:rPr>
              <w:t xml:space="preserve">内审中发现的不符合，采取了纠正措施，并验证； </w:t>
            </w:r>
          </w:p>
          <w:p>
            <w:pPr>
              <w:rPr>
                <w:rFonts w:hint="eastAsia" w:ascii="楷体" w:hAnsi="楷体" w:eastAsia="楷体" w:cs="楷体"/>
                <w:sz w:val="21"/>
                <w:szCs w:val="21"/>
              </w:rPr>
            </w:pPr>
            <w:r>
              <w:rPr>
                <w:rFonts w:hint="eastAsia" w:ascii="楷体" w:hAnsi="楷体" w:eastAsia="楷体" w:cs="楷体"/>
                <w:sz w:val="21"/>
                <w:szCs w:val="21"/>
              </w:rPr>
              <w:t>为保证公司职业健康安全管理体系的有效运行，通过对安全事件的调查处理，以确保管理体系运行的有效性。</w:t>
            </w:r>
          </w:p>
          <w:p>
            <w:pPr>
              <w:rPr>
                <w:rFonts w:hint="eastAsia" w:ascii="楷体" w:hAnsi="楷体" w:eastAsia="楷体" w:cs="楷体"/>
                <w:sz w:val="21"/>
                <w:szCs w:val="21"/>
              </w:rPr>
            </w:pPr>
            <w:r>
              <w:rPr>
                <w:rFonts w:hint="eastAsia" w:ascii="楷体" w:hAnsi="楷体" w:eastAsia="楷体" w:cs="楷体"/>
                <w:sz w:val="21"/>
                <w:szCs w:val="21"/>
              </w:rPr>
              <w:t>经查在公司正常经营活动中，出现了轻微不符合，部门已经采取纠正和纠正措施，经验证纠正措施有效。</w:t>
            </w:r>
          </w:p>
          <w:p>
            <w:pPr>
              <w:rPr>
                <w:rFonts w:hint="eastAsia" w:ascii="楷体" w:hAnsi="楷体" w:eastAsia="楷体" w:cs="楷体"/>
                <w:sz w:val="21"/>
                <w:szCs w:val="21"/>
              </w:rPr>
            </w:pPr>
            <w:r>
              <w:rPr>
                <w:rFonts w:hint="eastAsia" w:ascii="楷体" w:hAnsi="楷体" w:eastAsia="楷体" w:cs="楷体"/>
                <w:sz w:val="21"/>
                <w:szCs w:val="21"/>
              </w:rPr>
              <w:t>公司</w:t>
            </w:r>
            <w:r>
              <w:rPr>
                <w:rFonts w:hint="eastAsia" w:ascii="楷体" w:hAnsi="楷体" w:eastAsia="楷体" w:cs="楷体"/>
                <w:sz w:val="21"/>
                <w:szCs w:val="21"/>
                <w:lang w:val="en-US" w:eastAsia="zh-CN"/>
              </w:rPr>
              <w:t>生产</w:t>
            </w:r>
            <w:r>
              <w:rPr>
                <w:rFonts w:hint="eastAsia" w:ascii="楷体" w:hAnsi="楷体" w:eastAsia="楷体" w:cs="楷体"/>
                <w:sz w:val="21"/>
                <w:szCs w:val="21"/>
              </w:rPr>
              <w:t>活动未发生过重大环境、安全等事故。</w:t>
            </w:r>
          </w:p>
        </w:tc>
        <w:tc>
          <w:tcPr>
            <w:tcW w:w="1077" w:type="dxa"/>
          </w:tcPr>
          <w:p>
            <w:pPr>
              <w:rPr>
                <w:rFonts w:hint="eastAsia" w:ascii="楷体" w:hAnsi="楷体" w:eastAsia="楷体" w:cs="楷体"/>
                <w:sz w:val="21"/>
                <w:szCs w:val="21"/>
              </w:rPr>
            </w:pPr>
            <w:r>
              <w:rPr>
                <w:rFonts w:hint="eastAsia" w:ascii="楷体" w:hAnsi="楷体" w:eastAsia="楷体" w:cs="楷体"/>
                <w:sz w:val="21"/>
                <w:szCs w:val="21"/>
              </w:rPr>
              <w:t>Y</w:t>
            </w:r>
          </w:p>
        </w:tc>
      </w:tr>
    </w:tbl>
    <w:p>
      <w:pPr>
        <w:pStyle w:val="10"/>
      </w:pPr>
    </w:p>
    <w:p>
      <w:pPr>
        <w:pStyle w:val="10"/>
      </w:pPr>
    </w:p>
    <w:p>
      <w:pPr>
        <w:pStyle w:val="10"/>
      </w:pPr>
    </w:p>
    <w:p>
      <w:pPr>
        <w:pStyle w:val="10"/>
      </w:pPr>
    </w:p>
    <w:p>
      <w:pPr>
        <w:pStyle w:val="2"/>
        <w:rPr>
          <w:rFonts w:hint="eastAsia" w:ascii="宋体" w:hAnsi="宋体" w:eastAsia="宋体" w:cs="宋体"/>
          <w:b/>
          <w:bCs w:val="0"/>
          <w:color w:val="000000"/>
          <w:sz w:val="36"/>
          <w:szCs w:val="36"/>
          <w:lang w:eastAsia="zh-CN"/>
        </w:rPr>
      </w:pPr>
    </w:p>
    <w:p>
      <w:pPr>
        <w:pStyle w:val="2"/>
        <w:ind w:firstLine="5340" w:firstLineChars="1400"/>
        <w:rPr>
          <w:rFonts w:hint="eastAsia" w:ascii="宋体" w:hAnsi="宋体" w:eastAsia="宋体" w:cs="宋体"/>
          <w:b/>
          <w:bCs w:val="0"/>
          <w:color w:val="000000"/>
          <w:sz w:val="36"/>
          <w:szCs w:val="36"/>
        </w:rPr>
      </w:pPr>
      <w:r>
        <w:rPr>
          <w:rFonts w:hint="eastAsia" w:ascii="宋体" w:hAnsi="宋体" w:eastAsia="宋体" w:cs="宋体"/>
          <w:b/>
          <w:bCs w:val="0"/>
          <w:color w:val="000000"/>
          <w:sz w:val="36"/>
          <w:szCs w:val="36"/>
        </w:rPr>
        <w:t>管理体系审核记录表</w:t>
      </w:r>
    </w:p>
    <w:tbl>
      <w:tblPr>
        <w:tblStyle w:val="1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4"/>
        <w:gridCol w:w="950"/>
        <w:gridCol w:w="1079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34" w:type="dxa"/>
            <w:vMerge w:val="restart"/>
            <w:vAlign w:val="center"/>
          </w:tcPr>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过程与活动、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抽样计划</w:t>
            </w:r>
          </w:p>
        </w:tc>
        <w:tc>
          <w:tcPr>
            <w:tcW w:w="950" w:type="dxa"/>
            <w:vMerge w:val="restart"/>
            <w:vAlign w:val="center"/>
          </w:tcPr>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涉及</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条款</w:t>
            </w:r>
          </w:p>
        </w:tc>
        <w:tc>
          <w:tcPr>
            <w:tcW w:w="10791" w:type="dxa"/>
            <w:vAlign w:val="center"/>
          </w:tcPr>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受审核部门：生产技术部     主管领导：石雪猛     陪同人员：刘会欣</w:t>
            </w:r>
          </w:p>
        </w:tc>
        <w:tc>
          <w:tcPr>
            <w:tcW w:w="1134"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34" w:type="dxa"/>
            <w:vMerge w:val="continue"/>
            <w:vAlign w:val="center"/>
          </w:tcPr>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p>
        </w:tc>
        <w:tc>
          <w:tcPr>
            <w:tcW w:w="950" w:type="dxa"/>
            <w:vMerge w:val="continue"/>
            <w:vAlign w:val="center"/>
          </w:tcPr>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p>
        </w:tc>
        <w:tc>
          <w:tcPr>
            <w:tcW w:w="10791" w:type="dxa"/>
            <w:vAlign w:val="center"/>
          </w:tcPr>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审核员：周文廷         审核时间：2023.2.18</w:t>
            </w:r>
          </w:p>
        </w:tc>
        <w:tc>
          <w:tcPr>
            <w:tcW w:w="1134"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34" w:type="dxa"/>
            <w:vMerge w:val="continue"/>
            <w:vAlign w:val="center"/>
          </w:tcPr>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p>
        </w:tc>
        <w:tc>
          <w:tcPr>
            <w:tcW w:w="950" w:type="dxa"/>
            <w:vMerge w:val="continue"/>
            <w:vAlign w:val="center"/>
          </w:tcPr>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p>
        </w:tc>
        <w:tc>
          <w:tcPr>
            <w:tcW w:w="10791" w:type="dxa"/>
            <w:vAlign w:val="center"/>
          </w:tcPr>
          <w:p>
            <w:pPr>
              <w:snapToGrid w:val="0"/>
              <w:spacing w:line="300" w:lineRule="exact"/>
              <w:jc w:val="left"/>
              <w:rPr>
                <w:rFonts w:hint="eastAsia" w:ascii="楷体" w:hAnsi="楷体" w:eastAsia="楷体" w:cs="楷体"/>
                <w:bCs/>
                <w:sz w:val="21"/>
                <w:szCs w:val="21"/>
                <w:u w:val="none"/>
              </w:rPr>
            </w:pPr>
            <w:r>
              <w:rPr>
                <w:rFonts w:hint="eastAsia" w:ascii="楷体" w:hAnsi="楷体" w:eastAsia="楷体" w:cs="楷体"/>
                <w:sz w:val="21"/>
                <w:szCs w:val="21"/>
                <w:lang w:val="en-US" w:eastAsia="zh-CN"/>
              </w:rPr>
              <w:t>审核条款：</w:t>
            </w:r>
          </w:p>
          <w:p>
            <w:pPr>
              <w:snapToGrid w:val="0"/>
              <w:spacing w:line="300" w:lineRule="exact"/>
              <w:jc w:val="left"/>
              <w:rPr>
                <w:rFonts w:hint="eastAsia" w:ascii="楷体" w:hAnsi="楷体" w:eastAsia="楷体" w:cs="楷体"/>
                <w:sz w:val="21"/>
                <w:szCs w:val="21"/>
                <w:lang w:val="en-US" w:eastAsia="zh-CN"/>
              </w:rPr>
            </w:pPr>
            <w:r>
              <w:rPr>
                <w:rFonts w:hint="eastAsia" w:ascii="楷体" w:hAnsi="楷体" w:eastAsia="楷体" w:cs="楷体"/>
                <w:bCs/>
                <w:sz w:val="21"/>
                <w:szCs w:val="21"/>
                <w:u w:val="none"/>
              </w:rPr>
              <w:t>Q</w:t>
            </w:r>
            <w:r>
              <w:rPr>
                <w:rFonts w:hint="eastAsia" w:ascii="楷体" w:hAnsi="楷体" w:eastAsia="楷体" w:cs="楷体"/>
                <w:bCs/>
                <w:sz w:val="21"/>
                <w:szCs w:val="21"/>
                <w:u w:val="none"/>
                <w:lang w:val="en-US" w:eastAsia="zh-CN"/>
              </w:rPr>
              <w:t xml:space="preserve"> </w:t>
            </w:r>
            <w:r>
              <w:rPr>
                <w:rFonts w:hint="eastAsia" w:ascii="楷体" w:hAnsi="楷体" w:eastAsia="楷体" w:cs="楷体"/>
                <w:bCs/>
                <w:sz w:val="21"/>
                <w:szCs w:val="21"/>
                <w:u w:val="none"/>
              </w:rPr>
              <w:t>8.1/8.3/8.5</w:t>
            </w:r>
            <w:r>
              <w:rPr>
                <w:rFonts w:hint="eastAsia" w:ascii="楷体" w:hAnsi="楷体" w:eastAsia="楷体" w:cs="楷体"/>
                <w:bCs/>
                <w:sz w:val="21"/>
                <w:szCs w:val="21"/>
                <w:u w:val="none"/>
                <w:lang w:val="en-US" w:eastAsia="zh-CN"/>
              </w:rPr>
              <w:t>.1</w:t>
            </w:r>
            <w:r>
              <w:rPr>
                <w:rFonts w:hint="eastAsia" w:ascii="楷体" w:hAnsi="楷体" w:eastAsia="楷体" w:cs="楷体"/>
                <w:bCs/>
                <w:sz w:val="21"/>
                <w:szCs w:val="21"/>
                <w:u w:val="none"/>
              </w:rPr>
              <w:t>/8.6/8.7</w:t>
            </w:r>
          </w:p>
        </w:tc>
        <w:tc>
          <w:tcPr>
            <w:tcW w:w="1134"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1834" w:type="dxa"/>
            <w:vAlign w:val="center"/>
          </w:tcPr>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运行的策划和控制</w:t>
            </w:r>
          </w:p>
        </w:tc>
        <w:tc>
          <w:tcPr>
            <w:tcW w:w="950" w:type="dxa"/>
            <w:vAlign w:val="center"/>
          </w:tcPr>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8.1</w:t>
            </w:r>
          </w:p>
        </w:tc>
        <w:tc>
          <w:tcPr>
            <w:tcW w:w="10791" w:type="dxa"/>
            <w:vAlign w:val="center"/>
          </w:tcPr>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●策划了生产工艺流程：目前企业的产品有两种：</w:t>
            </w:r>
            <w:r>
              <w:rPr>
                <w:rFonts w:hint="eastAsia" w:ascii="楷体" w:hAnsi="楷体" w:eastAsia="楷体" w:cs="楷体"/>
                <w:sz w:val="21"/>
                <w:szCs w:val="21"/>
              </w:rPr>
              <w:t>不锈钢网、丝网深加工产品（金属滤芯）的生产</w:t>
            </w:r>
            <w:r>
              <w:rPr>
                <w:rFonts w:hint="eastAsia" w:ascii="楷体" w:hAnsi="楷体" w:eastAsia="楷体" w:cs="楷体"/>
                <w:sz w:val="21"/>
                <w:szCs w:val="21"/>
                <w:lang w:val="en-US" w:eastAsia="zh-CN"/>
              </w:rPr>
              <w:t>，针对产品结构，企业策划了以下相关内容</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1、产品工艺流程：</w:t>
            </w:r>
          </w:p>
          <w:p>
            <w:pPr>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1)</w:t>
            </w:r>
            <w:r>
              <w:rPr>
                <w:rFonts w:hint="eastAsia" w:ascii="楷体" w:hAnsi="楷体" w:eastAsia="楷体" w:cs="楷体"/>
                <w:color w:val="000000"/>
                <w:sz w:val="21"/>
                <w:szCs w:val="21"/>
              </w:rPr>
              <w:t>生产/服务流程图：</w:t>
            </w:r>
          </w:p>
          <w:p>
            <w:pPr>
              <w:spacing w:line="360" w:lineRule="auto"/>
              <w:rPr>
                <w:rFonts w:hint="eastAsia" w:ascii="楷体" w:hAnsi="楷体" w:eastAsia="楷体" w:cs="楷体"/>
                <w:sz w:val="21"/>
                <w:szCs w:val="21"/>
              </w:rPr>
            </w:pPr>
            <w:r>
              <w:rPr>
                <w:rFonts w:hint="eastAsia" w:ascii="楷体" w:hAnsi="楷体" w:eastAsia="楷体" w:cs="楷体"/>
                <w:sz w:val="21"/>
                <w:szCs w:val="21"/>
              </w:rPr>
              <w:t xml:space="preserve">不锈钢网的生产流程：不锈钢围—整径—编织成网—剪网—打卷—包装—入库—交付   </w:t>
            </w:r>
          </w:p>
          <w:p>
            <w:pPr>
              <w:spacing w:line="360" w:lineRule="auto"/>
              <w:textAlignment w:val="baseline"/>
              <w:rPr>
                <w:rFonts w:hint="eastAsia" w:ascii="楷体" w:hAnsi="楷体" w:eastAsia="楷体" w:cs="楷体"/>
                <w:sz w:val="21"/>
                <w:szCs w:val="21"/>
              </w:rPr>
            </w:pPr>
            <w:r>
              <w:rPr>
                <w:rFonts w:hint="eastAsia" w:ascii="楷体" w:hAnsi="楷体" w:eastAsia="楷体" w:cs="楷体"/>
                <w:sz w:val="21"/>
                <w:szCs w:val="21"/>
              </w:rPr>
              <w:t>注：外包过程</w:t>
            </w:r>
            <w:r>
              <w:rPr>
                <w:rFonts w:hint="eastAsia" w:ascii="楷体" w:hAnsi="楷体" w:eastAsia="楷体" w:cs="楷体"/>
                <w:sz w:val="21"/>
                <w:szCs w:val="21"/>
                <w:lang w:eastAsia="zh-CN"/>
              </w:rPr>
              <w:t>：</w:t>
            </w:r>
            <w:r>
              <w:rPr>
                <w:rFonts w:hint="eastAsia" w:ascii="楷体" w:hAnsi="楷体" w:eastAsia="楷体" w:cs="楷体"/>
                <w:sz w:val="21"/>
                <w:szCs w:val="21"/>
              </w:rPr>
              <w:t>货物运输</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清洗（电解、抛光）</w:t>
            </w:r>
            <w:r>
              <w:rPr>
                <w:rFonts w:hint="eastAsia" w:ascii="楷体" w:hAnsi="楷体" w:eastAsia="楷体" w:cs="楷体"/>
                <w:sz w:val="21"/>
                <w:szCs w:val="21"/>
              </w:rPr>
              <w:t>，无需要确认的过程。</w:t>
            </w:r>
          </w:p>
          <w:p>
            <w:pPr>
              <w:spacing w:line="360" w:lineRule="auto"/>
              <w:textAlignment w:val="baseline"/>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金属滤芯的生产流程：裁网下料-卷圆-焊接-清洗-包装-入库</w:t>
            </w:r>
          </w:p>
          <w:p>
            <w:pPr>
              <w:tabs>
                <w:tab w:val="left" w:pos="2414"/>
              </w:tabs>
              <w:snapToGrid w:val="0"/>
              <w:spacing w:line="360" w:lineRule="auto"/>
              <w:rPr>
                <w:rFonts w:hint="eastAsia" w:ascii="楷体" w:hAnsi="楷体" w:eastAsia="楷体" w:cs="楷体"/>
                <w:sz w:val="21"/>
                <w:szCs w:val="21"/>
              </w:rPr>
            </w:pPr>
            <w:r>
              <w:rPr>
                <w:rFonts w:hint="eastAsia" w:ascii="楷体" w:hAnsi="楷体" w:eastAsia="楷体" w:cs="楷体"/>
                <w:sz w:val="21"/>
                <w:szCs w:val="21"/>
              </w:rPr>
              <w:t>注：焊接为需要确认的过程。</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2、确定产品和服务的要求：客户图纸、客户要求及相关标准：</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气体保护焊用钢丝</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GB/T 14958-94</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一般用途低碳钢丝</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YB/T5294-2009</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不锈钢丝</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GB/T4240-2019生产技术部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电弧焊机通用技术条件</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GB/T8118-2010</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工业用网  网孔 尺寸系列</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GB/T10611-2003</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工业用金属丝编织网技术要求和检验</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GB/T17492-2019</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工业用金属丝编制方孔筛网</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GB/T 5330-2003</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钢格栅板及配套件 第1部分 钢格栅板</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YB/T4001.1-2019生产技术部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二氧化碳气体保护焊工艺规程</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JB/T 9186-1999</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等标准相关内容进行生产。</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3、制定目标，目标基本合理、可测量、可达到。</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4、策划所需资源</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1）基础设施：自建厂房、办公区、仓库</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2）主要生产设备有：</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主要生产设备：金属织网机、金属织网机（重）、金属织网机（小）、整径机、汽液过滤网、氩弧焊机等设备，满足生产需求</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3）检测设备主要有：游标卡尺、外径千分尺、钢卷尺等，满足检验需求；</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4）确定胜任人员需求，经过培训、考核合格后上岗；</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5、确定了原材料检验、成品检验等检验活动；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6、编制了进货检验、产品检验规范等验收标准、设备操作规程等；</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7、编制了采购产品验证记录,成品检验制度。</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●遵照岗位职责、工艺流程、管理制度等作业指导文件实施过程控制</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●策划结果满足产品实现要求。暂无质量计划。</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●运行的策划符合要求</w:t>
            </w:r>
          </w:p>
        </w:tc>
        <w:tc>
          <w:tcPr>
            <w:tcW w:w="1134"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834" w:type="dxa"/>
            <w:vAlign w:val="center"/>
          </w:tcPr>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设计和开发</w:t>
            </w:r>
          </w:p>
        </w:tc>
        <w:tc>
          <w:tcPr>
            <w:tcW w:w="950" w:type="dxa"/>
            <w:vAlign w:val="center"/>
          </w:tcPr>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Q8.3</w:t>
            </w:r>
          </w:p>
        </w:tc>
        <w:tc>
          <w:tcPr>
            <w:tcW w:w="10791" w:type="dxa"/>
            <w:vAlign w:val="center"/>
          </w:tcPr>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不适用条款，ISO9001：2015标准8.3条款。理由：公司生产的产品是按客户要求、图纸、国标生产，工艺成熟稳定，不需要进行设计开发，不承担产品的“设计和开发”过程。根据GB/T19001-2016标准，在本公司质量管理体系和质量手册中标准中“8.3”款“设计和开发”不适用</w:t>
            </w:r>
          </w:p>
        </w:tc>
        <w:tc>
          <w:tcPr>
            <w:tcW w:w="1134"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834" w:type="dxa"/>
            <w:vAlign w:val="center"/>
          </w:tcPr>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生产和服务提供的控制</w:t>
            </w:r>
          </w:p>
        </w:tc>
        <w:tc>
          <w:tcPr>
            <w:tcW w:w="950" w:type="dxa"/>
            <w:vAlign w:val="center"/>
          </w:tcPr>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8.5.1</w:t>
            </w:r>
          </w:p>
        </w:tc>
        <w:tc>
          <w:tcPr>
            <w:tcW w:w="10791" w:type="dxa"/>
          </w:tcPr>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企业提供的资料显示生产程序：供销部、生产技术部共同对客户提出的要求进行评审，确定产品的数量、质量要求、交货期限及其它要求；然后向生产技术部传递交货通知，生产技术部根据通知的内容，受控条件：得到图纸、操作规程，特殊过程使用作业指导书等。使用设备和量具，进行测量。根据订货要求，生产技术部下达任务书。</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公司对产品生产和服务提供过程进行了策划，对人、机、料、法、环诸因素进行了较好的控制，生产过程部门严格按策划的作业流程予以控制。其主要任务收集相关产品信息来提高生产能力，满足客户需求，从市场占有率、品牌形象、经营理念等进行策划控制。</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生产过程执行《生产质量控制程序》HT/CX-8.6-A0-2022、《产品质量管理控制程序》HT/CX-8.5.1-A0-2022</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●询问车间负责人对生产计划较清楚。生产技术部负责人负责协调生产的各项事宜。产品检验完成后生产技术部负责人记录产品数量，通知办公室发货。</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查生产计划：根据订单编制生产计划，填写派工单，按派工单进行生产，</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1875155" cy="2363470"/>
                  <wp:effectExtent l="0" t="0" r="127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1875155" cy="236347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12号机，48*48*0.125*1.22*30.5派工单，12月12日</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记录有产品名称、数量、交货期等内容，</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●产品和服务的要求：按照客户要求、生产图纸、技术资料进行生产，加工过程中参考：</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气体保护焊用钢丝</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GB/T 14958-94</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一般用途低碳钢丝</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YB/T5294-2009</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不锈钢丝</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GB/T4240-2019生产技术部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电弧焊机通用技术条件</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GB/T8118-2010</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工业用网  网孔 尺寸系列</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GB/T10611-2003</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工业用金属丝编织网技术要求和检验</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GB/T17492-2019</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工业用金属丝编制方孔筛网</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GB/T 5330-2003</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钢格栅板及配套件 第1部分 钢格栅板</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YB/T4001.1-2019生产技术部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二氧化碳气体保护焊工艺规程</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JB/T 9186-1999</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生产技术部等相关标准</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●其中主要生产设备有：</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主要生产设备：金属织网机、金属织网机（重）、金属织网机（小）、整径机、汽液过滤网、氩弧焊机等设备，满足生产需求；</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●检测设备主要有：游标卡尺、外径千分尺、钢卷尺等，满足检验需求；</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●生产过程：</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--查生产工序控制（审核方法：现场观察、石部长和质检员介绍、查阅生产记录）</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一、查生产过程的控制（不锈钢网）</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rPr>
            </w:pPr>
            <w:r>
              <w:rPr>
                <w:rFonts w:hint="eastAsia" w:ascii="楷体" w:hAnsi="楷体" w:eastAsia="楷体" w:cs="楷体"/>
                <w:sz w:val="21"/>
                <w:szCs w:val="21"/>
              </w:rPr>
              <w:t>不锈钢网的生产流程：不锈钢</w:t>
            </w:r>
            <w:r>
              <w:rPr>
                <w:rFonts w:hint="eastAsia" w:ascii="楷体" w:hAnsi="楷体" w:eastAsia="楷体" w:cs="楷体"/>
                <w:sz w:val="21"/>
                <w:szCs w:val="21"/>
                <w:lang w:val="en-US" w:eastAsia="zh-CN"/>
              </w:rPr>
              <w:t>丝</w:t>
            </w:r>
            <w:r>
              <w:rPr>
                <w:rFonts w:hint="eastAsia" w:ascii="楷体" w:hAnsi="楷体" w:eastAsia="楷体" w:cs="楷体"/>
                <w:sz w:val="21"/>
                <w:szCs w:val="21"/>
              </w:rPr>
              <w:t>—整径—编织成网—剪网—打卷—包装—入库</w:t>
            </w:r>
          </w:p>
          <w:p>
            <w:pPr>
              <w:pStyle w:val="2"/>
              <w:numPr>
                <w:ilvl w:val="0"/>
                <w:numId w:val="2"/>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领料：根据派工单，领料，填写领料跟踪单，</w:t>
            </w:r>
          </w:p>
          <w:p>
            <w:pPr>
              <w:pStyle w:val="2"/>
              <w:numPr>
                <w:ilvl w:val="0"/>
                <w:numId w:val="0"/>
              </w:numPr>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1557655" cy="1981200"/>
                  <wp:effectExtent l="0" t="0" r="444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1557655" cy="1981200"/>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snapToGrid w:val="0"/>
              <w:spacing w:after="0" w:line="300" w:lineRule="exact"/>
              <w:ind w:left="0" w:leftChars="0" w:firstLine="0" w:firstLine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整径：使用设备：整径机，操作：耿**，时间2023.2.18，将经线均匀的缠绕在整径轴上，有相应记录</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2529205" cy="1671955"/>
                  <wp:effectExtent l="0" t="0" r="4445"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2529205" cy="1671955"/>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252980" cy="1114425"/>
                  <wp:effectExtent l="0" t="0" r="444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2252980" cy="1114425"/>
                          </a:xfrm>
                          <a:prstGeom prst="rect">
                            <a:avLst/>
                          </a:prstGeom>
                          <a:noFill/>
                          <a:ln>
                            <a:noFill/>
                          </a:ln>
                        </pic:spPr>
                      </pic:pic>
                    </a:graphicData>
                  </a:graphic>
                </wp:inline>
              </w:drawing>
            </w:r>
            <w:r>
              <w:rPr>
                <w:rFonts w:hint="eastAsia" w:ascii="楷体" w:hAnsi="楷体" w:eastAsia="楷体" w:cs="楷体"/>
                <w:sz w:val="21"/>
                <w:szCs w:val="21"/>
                <w:lang w:val="en-US" w:eastAsia="zh-CN"/>
              </w:rPr>
              <w:t>整好后</w:t>
            </w:r>
          </w:p>
          <w:p>
            <w:pPr>
              <w:keepNext w:val="0"/>
              <w:keepLines w:val="0"/>
              <w:pageBreakBefore w:val="0"/>
              <w:widowControl w:val="0"/>
              <w:numPr>
                <w:ilvl w:val="0"/>
                <w:numId w:val="2"/>
              </w:numPr>
              <w:kinsoku/>
              <w:wordWrap/>
              <w:overflowPunct/>
              <w:topLinePunct w:val="0"/>
              <w:autoSpaceDE/>
              <w:autoSpaceDN/>
              <w:bidi w:val="0"/>
              <w:snapToGrid w:val="0"/>
              <w:spacing w:after="0" w:line="300" w:lineRule="exact"/>
              <w:ind w:left="0" w:leftChars="0" w:firstLine="0" w:firstLineChars="0"/>
              <w:jc w:val="left"/>
              <w:textAlignment w:val="auto"/>
              <w:rPr>
                <w:rFonts w:hint="eastAsia" w:ascii="楷体" w:hAnsi="楷体" w:eastAsia="楷体" w:cs="楷体"/>
                <w:i w:val="0"/>
                <w:iCs w:val="0"/>
                <w:caps w:val="0"/>
                <w:color w:val="333333"/>
                <w:spacing w:val="0"/>
                <w:sz w:val="21"/>
                <w:szCs w:val="21"/>
                <w:shd w:val="clear" w:fill="FFFFFF"/>
                <w:lang w:val="en-US" w:eastAsia="zh-CN"/>
              </w:rPr>
            </w:pPr>
            <w:r>
              <w:rPr>
                <w:rFonts w:hint="eastAsia" w:ascii="楷体" w:hAnsi="楷体" w:eastAsia="楷体" w:cs="楷体"/>
                <w:sz w:val="21"/>
                <w:szCs w:val="21"/>
                <w:lang w:val="en-US" w:eastAsia="zh-CN"/>
              </w:rPr>
              <w:t>编织：使用设备：编织机，控制内容：尺寸、目数、网孔、</w:t>
            </w:r>
            <w:r>
              <w:rPr>
                <w:rFonts w:hint="eastAsia" w:ascii="楷体" w:hAnsi="楷体" w:eastAsia="楷体" w:cs="楷体"/>
                <w:i w:val="0"/>
                <w:iCs w:val="0"/>
                <w:caps w:val="0"/>
                <w:color w:val="333333"/>
                <w:spacing w:val="0"/>
                <w:sz w:val="21"/>
                <w:szCs w:val="21"/>
                <w:shd w:val="clear" w:fill="FFFFFF"/>
              </w:rPr>
              <w:t>经线和纬线成90度角</w:t>
            </w:r>
            <w:r>
              <w:rPr>
                <w:rFonts w:hint="eastAsia" w:ascii="楷体" w:hAnsi="楷体" w:eastAsia="楷体" w:cs="楷体"/>
                <w:i w:val="0"/>
                <w:iCs w:val="0"/>
                <w:caps w:val="0"/>
                <w:color w:val="333333"/>
                <w:spacing w:val="0"/>
                <w:sz w:val="21"/>
                <w:szCs w:val="21"/>
                <w:shd w:val="clear" w:fill="FFFFFF"/>
                <w:lang w:val="en-US" w:eastAsia="zh-CN"/>
              </w:rPr>
              <w:t>等</w:t>
            </w:r>
            <w:r>
              <w:rPr>
                <w:rFonts w:hint="eastAsia" w:ascii="楷体" w:hAnsi="楷体" w:eastAsia="楷体" w:cs="楷体"/>
                <w:sz w:val="21"/>
                <w:szCs w:val="21"/>
                <w:lang w:val="en-US" w:eastAsia="zh-CN"/>
              </w:rPr>
              <w:t>，操作：保罗，李子</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按生产派工单生产，日期：2023.2.18</w:t>
            </w:r>
            <w:r>
              <w:rPr>
                <w:rFonts w:hint="eastAsia" w:ascii="楷体" w:hAnsi="楷体" w:eastAsia="楷体" w:cs="楷体"/>
                <w:i w:val="0"/>
                <w:iCs w:val="0"/>
                <w:caps w:val="0"/>
                <w:color w:val="333333"/>
                <w:spacing w:val="0"/>
                <w:sz w:val="21"/>
                <w:szCs w:val="21"/>
                <w:shd w:val="clear" w:fill="FFFFFF"/>
                <w:lang w:val="en-US" w:eastAsia="zh-CN"/>
              </w:rPr>
              <w:t xml:space="preserve"> ，</w:t>
            </w:r>
            <w:r>
              <w:rPr>
                <w:rFonts w:hint="eastAsia" w:ascii="楷体" w:hAnsi="楷体" w:eastAsia="楷体" w:cs="楷体"/>
                <w:sz w:val="21"/>
                <w:szCs w:val="21"/>
                <w:lang w:val="en-US" w:eastAsia="zh-CN"/>
              </w:rPr>
              <w:t>卷网：编制到要求的长度后，卷网，填写送检单。</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1409700" cy="1848485"/>
                  <wp:effectExtent l="0" t="0" r="0" b="889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1409700" cy="1848485"/>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611630" cy="1800860"/>
                  <wp:effectExtent l="0" t="0" r="7620" b="889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1611630" cy="18008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4、成品检验：主要控制点：外观、尺寸、目数、成孔等，详见8.6条款</w:t>
            </w:r>
          </w:p>
          <w:p>
            <w:pPr>
              <w:pStyle w:val="14"/>
              <w:ind w:left="0" w:leftChars="0" w:firstLine="0" w:firstLine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5、包装：一般采用牛皮纸包装后，用塑料膜包装，托盘、压板储存</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1320800" cy="1743075"/>
                  <wp:effectExtent l="0" t="0" r="3175"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2"/>
                          <a:stretch>
                            <a:fillRect/>
                          </a:stretch>
                        </pic:blipFill>
                        <pic:spPr>
                          <a:xfrm>
                            <a:off x="0" y="0"/>
                            <a:ext cx="1320800" cy="17430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以上过程，均有相应控制记录</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二、查生产过程的控制:</w:t>
            </w:r>
            <w:r>
              <w:rPr>
                <w:rFonts w:hint="eastAsia" w:ascii="楷体" w:hAnsi="楷体" w:eastAsia="楷体" w:cs="楷体"/>
                <w:color w:val="000000"/>
                <w:sz w:val="21"/>
                <w:szCs w:val="21"/>
              </w:rPr>
              <w:t>丝网深加工产品（金属滤芯）</w:t>
            </w:r>
            <w:r>
              <w:rPr>
                <w:rFonts w:hint="eastAsia" w:ascii="楷体" w:hAnsi="楷体" w:eastAsia="楷体" w:cs="楷体"/>
                <w:color w:val="000000"/>
                <w:sz w:val="21"/>
                <w:szCs w:val="21"/>
                <w:lang w:val="en-US" w:eastAsia="zh-CN"/>
              </w:rPr>
              <w:t>48*5μm*48</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rPr>
              <w:t>金属滤芯的生产流程：裁网下料-卷圆-焊接-</w:t>
            </w:r>
            <w:r>
              <w:rPr>
                <w:rFonts w:hint="eastAsia" w:ascii="楷体" w:hAnsi="楷体" w:eastAsia="楷体" w:cs="楷体"/>
                <w:sz w:val="21"/>
                <w:szCs w:val="21"/>
                <w:lang w:val="en-US" w:eastAsia="zh-CN"/>
              </w:rPr>
              <w:t>组装（将法兰工件与滤网焊接在一起）--</w:t>
            </w:r>
            <w:r>
              <w:rPr>
                <w:rFonts w:hint="eastAsia" w:ascii="楷体" w:hAnsi="楷体" w:eastAsia="楷体" w:cs="楷体"/>
                <w:sz w:val="21"/>
                <w:szCs w:val="21"/>
              </w:rPr>
              <w:t>清洗</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打磨、抛光</w:t>
            </w:r>
            <w:r>
              <w:rPr>
                <w:rFonts w:hint="eastAsia" w:ascii="楷体" w:hAnsi="楷体" w:eastAsia="楷体" w:cs="楷体"/>
                <w:sz w:val="21"/>
                <w:szCs w:val="21"/>
                <w:lang w:eastAsia="zh-CN"/>
              </w:rPr>
              <w:t>）</w:t>
            </w:r>
            <w:r>
              <w:rPr>
                <w:rFonts w:hint="eastAsia" w:ascii="楷体" w:hAnsi="楷体" w:eastAsia="楷体" w:cs="楷体"/>
                <w:sz w:val="21"/>
                <w:szCs w:val="21"/>
              </w:rPr>
              <w:t>-包装-入库</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1、裁网下料：依据：客供图纸、技术要求， 将所需滤网裁剪成需要的网片。操作：王强，日期：2023.2.17.控制点：尺寸</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2、卷圆：将滤网片卷圆，操作：永茂，时间：2023.2.17，使用设备：卷圆机，控制点：不圆度、尺寸，</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1285875" cy="1703070"/>
                  <wp:effectExtent l="0" t="0" r="0" b="190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3"/>
                          <a:stretch>
                            <a:fillRect/>
                          </a:stretch>
                        </pic:blipFill>
                        <pic:spPr>
                          <a:xfrm>
                            <a:off x="0" y="0"/>
                            <a:ext cx="1285875" cy="17030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3、焊接（氩弧焊接）：使用设备：氩弧焊机，操作：王强，日期：2023.2.18，控制点： </w:t>
            </w:r>
            <w:r>
              <w:rPr>
                <w:rFonts w:hint="eastAsia" w:ascii="楷体" w:hAnsi="楷体" w:eastAsia="楷体" w:cs="楷体"/>
                <w:i w:val="0"/>
                <w:iCs w:val="0"/>
                <w:caps w:val="0"/>
                <w:color w:val="111111"/>
                <w:spacing w:val="0"/>
                <w:sz w:val="21"/>
                <w:szCs w:val="21"/>
                <w:shd w:val="clear" w:fill="FFFFFF"/>
              </w:rPr>
              <w:t>网面平整、焊点牢固</w:t>
            </w:r>
            <w:r>
              <w:rPr>
                <w:rFonts w:hint="eastAsia" w:ascii="楷体" w:hAnsi="楷体" w:eastAsia="楷体" w:cs="楷体"/>
                <w:i w:val="0"/>
                <w:iCs w:val="0"/>
                <w:caps w:val="0"/>
                <w:color w:val="111111"/>
                <w:spacing w:val="0"/>
                <w:sz w:val="21"/>
                <w:szCs w:val="21"/>
                <w:shd w:val="clear" w:fill="FFFFFF"/>
                <w:lang w:val="en-US" w:eastAsia="zh-CN"/>
              </w:rPr>
              <w:t>度等，检验：检验：徐卓</w:t>
            </w:r>
            <w:r>
              <w:rPr>
                <w:rFonts w:hint="eastAsia" w:ascii="楷体" w:hAnsi="楷体" w:eastAsia="楷体" w:cs="楷体"/>
                <w:i w:val="0"/>
                <w:iCs w:val="0"/>
                <w:caps w:val="0"/>
                <w:color w:val="111111"/>
                <w:spacing w:val="0"/>
                <w:sz w:val="21"/>
                <w:szCs w:val="21"/>
                <w:shd w:val="clear" w:fill="FFFFFF"/>
              </w:rPr>
              <w:t>。</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4、清洗（外包）：控制点：外观、清洁度等</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5、成品检验：主要控制点：外观、尺寸、气泡压力（需要时）等，详见8.6条款</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以上过程，均有相应控制记录</w:t>
            </w:r>
          </w:p>
          <w:p>
            <w:pPr>
              <w:pStyle w:val="2"/>
              <w:rPr>
                <w:rFonts w:hint="default"/>
                <w:lang w:val="en-US" w:eastAsia="zh-CN"/>
              </w:rPr>
            </w:pPr>
            <w:r>
              <w:rPr>
                <w:rFonts w:hint="eastAsia" w:ascii="楷体" w:hAnsi="楷体" w:eastAsia="楷体" w:cs="楷体"/>
                <w:sz w:val="21"/>
                <w:szCs w:val="21"/>
                <w:lang w:val="en-US" w:eastAsia="zh-CN"/>
              </w:rPr>
              <w:t>另抽其他规格、其他日期的生产过程控制，均有相应控制记录</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●查看车间生产现场：</w:t>
            </w:r>
          </w:p>
          <w:p>
            <w:pPr>
              <w:pStyle w:val="2"/>
              <w:rPr>
                <w:rFonts w:hint="default"/>
                <w:lang w:val="en-US" w:eastAsia="zh-CN"/>
              </w:rPr>
            </w:pPr>
            <w:r>
              <w:rPr>
                <w:rFonts w:hint="eastAsia" w:ascii="楷体" w:hAnsi="楷体" w:eastAsia="楷体" w:cs="楷体"/>
                <w:sz w:val="21"/>
                <w:szCs w:val="21"/>
                <w:lang w:val="en-US" w:eastAsia="zh-CN"/>
              </w:rPr>
              <w:t>1、查看原材料存放区：管理人员遵守库房管理制度，库房分类摆放，标识清晰，根据生产派工单填写领料通知单，月末盘点、核算，管理人员清楚职责</w:t>
            </w:r>
          </w:p>
          <w:p>
            <w:pPr>
              <w:bidi w:val="0"/>
              <w:rPr>
                <w:rFonts w:hint="eastAsia"/>
                <w:lang w:val="en-US" w:eastAsia="zh-CN"/>
              </w:rPr>
            </w:pPr>
            <w:r>
              <w:rPr>
                <w:rFonts w:hint="eastAsia" w:ascii="楷体" w:hAnsi="楷体" w:eastAsia="楷体" w:cs="楷体"/>
                <w:sz w:val="21"/>
                <w:szCs w:val="21"/>
                <w:lang w:val="en-US" w:eastAsia="zh-CN"/>
              </w:rPr>
              <w:t xml:space="preserve"> </w:t>
            </w:r>
            <w:r>
              <w:drawing>
                <wp:inline distT="0" distB="0" distL="114300" distR="114300">
                  <wp:extent cx="1433830" cy="1488440"/>
                  <wp:effectExtent l="0" t="0" r="4445" b="698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1433830" cy="14884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190625" cy="1496060"/>
                  <wp:effectExtent l="0" t="0" r="0" b="889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5"/>
                          <a:stretch>
                            <a:fillRect/>
                          </a:stretch>
                        </pic:blipFill>
                        <pic:spPr>
                          <a:xfrm>
                            <a:off x="0" y="0"/>
                            <a:ext cx="1190625" cy="1496060"/>
                          </a:xfrm>
                          <a:prstGeom prst="rect">
                            <a:avLst/>
                          </a:prstGeom>
                          <a:noFill/>
                          <a:ln>
                            <a:noFill/>
                          </a:ln>
                        </pic:spPr>
                      </pic:pic>
                    </a:graphicData>
                  </a:graphic>
                </wp:inline>
              </w:drawing>
            </w:r>
            <w:r>
              <w:rPr>
                <w:rFonts w:hint="eastAsia"/>
                <w:lang w:val="en-US" w:eastAsia="zh-CN"/>
              </w:rPr>
              <w:t xml:space="preserve"> </w:t>
            </w:r>
          </w:p>
          <w:p>
            <w:pPr>
              <w:pStyle w:val="2"/>
              <w:rPr>
                <w:rFonts w:hint="default"/>
                <w:lang w:val="en-US" w:eastAsia="zh-CN"/>
              </w:rPr>
            </w:pPr>
            <w:r>
              <w:rPr>
                <w:rFonts w:hint="eastAsia"/>
                <w:lang w:val="en-US" w:eastAsia="zh-CN"/>
              </w:rPr>
              <w:t>2、</w:t>
            </w:r>
            <w:r>
              <w:rPr>
                <w:rFonts w:hint="eastAsia" w:ascii="楷体" w:hAnsi="楷体" w:eastAsia="楷体" w:cs="楷体"/>
                <w:sz w:val="21"/>
                <w:szCs w:val="21"/>
                <w:lang w:val="en-US" w:eastAsia="zh-CN"/>
              </w:rPr>
              <w:t>车间按照生产工序流程分为不同的区域，便于工作衔接，车间工序紧张有序，生产设备运行稳定，物品摆放区域有明显的标识，半成品、成品存放有序，基本符合要求。</w:t>
            </w:r>
          </w:p>
          <w:p>
            <w:pPr>
              <w:bidi w:val="0"/>
              <w:rPr>
                <w:rFonts w:hint="eastAsia" w:eastAsia="宋体"/>
                <w:lang w:val="en-US" w:eastAsia="zh-CN"/>
              </w:rPr>
            </w:pPr>
            <w:r>
              <w:drawing>
                <wp:inline distT="0" distB="0" distL="114300" distR="114300">
                  <wp:extent cx="1447165" cy="1572895"/>
                  <wp:effectExtent l="0" t="0" r="635" b="825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6"/>
                          <a:stretch>
                            <a:fillRect/>
                          </a:stretch>
                        </pic:blipFill>
                        <pic:spPr>
                          <a:xfrm>
                            <a:off x="0" y="0"/>
                            <a:ext cx="1447165" cy="15728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73910" cy="1566545"/>
                  <wp:effectExtent l="0" t="0" r="2540" b="508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7"/>
                          <a:stretch>
                            <a:fillRect/>
                          </a:stretch>
                        </pic:blipFill>
                        <pic:spPr>
                          <a:xfrm>
                            <a:off x="0" y="0"/>
                            <a:ext cx="2073910" cy="1566545"/>
                          </a:xfrm>
                          <a:prstGeom prst="rect">
                            <a:avLst/>
                          </a:prstGeom>
                          <a:noFill/>
                          <a:ln>
                            <a:noFill/>
                          </a:ln>
                        </pic:spPr>
                      </pic:pic>
                    </a:graphicData>
                  </a:graphic>
                </wp:inline>
              </w:drawing>
            </w:r>
          </w:p>
          <w:p>
            <w:pPr>
              <w:pStyle w:val="2"/>
              <w:rPr>
                <w:rFonts w:hint="default" w:eastAsia="宋体"/>
                <w:lang w:val="en-US" w:eastAsia="zh-CN"/>
              </w:rPr>
            </w:pPr>
            <w:r>
              <w:rPr>
                <w:rFonts w:hint="eastAsia"/>
                <w:lang w:val="en-US" w:eastAsia="zh-CN"/>
              </w:rPr>
              <w:t>原材料存放            编织区              编织机正在工作，耿师傅（控制5台）</w:t>
            </w:r>
          </w:p>
          <w:p>
            <w:pPr>
              <w:pStyle w:val="2"/>
              <w:rPr>
                <w:rFonts w:hint="eastAsia"/>
                <w:lang w:val="en-US" w:eastAsia="zh-CN"/>
              </w:rPr>
            </w:pPr>
            <w:r>
              <w:rPr>
                <w:rFonts w:hint="eastAsia"/>
                <w:lang w:val="en-US" w:eastAsia="zh-CN"/>
              </w:rPr>
              <w:t>与耿师傅交谈，耿师傅清楚生产工艺，每日完工后填写工作单，已编制完成的丝网填写报检单，由专人送往检验处检验</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生产车间通风良好，工人劳保用品穿戴齐全，照明条件基本适宜，产品防护及生产环境满足生产要求</w:t>
            </w:r>
          </w:p>
          <w:p>
            <w:pPr>
              <w:pStyle w:val="2"/>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每天完工后由操作员清理场地、保养设备</w:t>
            </w:r>
          </w:p>
          <w:p>
            <w:pPr>
              <w:pStyle w:val="2"/>
              <w:rPr>
                <w:rFonts w:hint="default"/>
                <w:lang w:val="en-US" w:eastAsia="zh-CN"/>
              </w:rPr>
            </w:pPr>
            <w:r>
              <w:rPr>
                <w:rFonts w:hint="eastAsia"/>
                <w:lang w:val="en-US" w:eastAsia="zh-CN"/>
              </w:rPr>
              <w:t>3、查看检验室，配备检验设备，分为待检区、成品区</w:t>
            </w:r>
          </w:p>
          <w:p>
            <w:pPr>
              <w:bidi w:val="0"/>
              <w:rPr>
                <w:rFonts w:hint="eastAsia" w:eastAsia="宋体"/>
                <w:lang w:val="en-US" w:eastAsia="zh-CN"/>
              </w:rPr>
            </w:pPr>
            <w:r>
              <w:drawing>
                <wp:inline distT="0" distB="0" distL="114300" distR="114300">
                  <wp:extent cx="1514475" cy="2019300"/>
                  <wp:effectExtent l="0" t="0" r="0" b="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8"/>
                          <a:stretch>
                            <a:fillRect/>
                          </a:stretch>
                        </pic:blipFill>
                        <pic:spPr>
                          <a:xfrm>
                            <a:off x="0" y="0"/>
                            <a:ext cx="1514475" cy="20193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90980" cy="1995805"/>
                  <wp:effectExtent l="0" t="0" r="4445" b="444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9"/>
                          <a:stretch>
                            <a:fillRect/>
                          </a:stretch>
                        </pic:blipFill>
                        <pic:spPr>
                          <a:xfrm>
                            <a:off x="0" y="0"/>
                            <a:ext cx="1490980" cy="19958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34795" cy="1952625"/>
                  <wp:effectExtent l="0" t="0" r="8255"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0"/>
                          <a:stretch>
                            <a:fillRect/>
                          </a:stretch>
                        </pic:blipFill>
                        <pic:spPr>
                          <a:xfrm>
                            <a:off x="0" y="0"/>
                            <a:ext cx="1534795" cy="19526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与检验员徐卓交谈，清楚公司的检验规程，介绍：一般根据客户需求制定的检验规程进行检验，每日早晨将每台设备生产的成品网分类摆放，检验完成后，填写检验单，包装，分类摆放</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4，查看成品库房：</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分类摆放、标识清晰、卫生整洁</w:t>
            </w:r>
          </w:p>
          <w:p>
            <w:pPr>
              <w:pStyle w:val="2"/>
              <w:rPr>
                <w:rFonts w:hint="eastAsia"/>
                <w:lang w:val="en-US" w:eastAsia="zh-CN"/>
              </w:rPr>
            </w:pPr>
            <w:r>
              <w:drawing>
                <wp:inline distT="0" distB="0" distL="114300" distR="114300">
                  <wp:extent cx="1466850" cy="1681480"/>
                  <wp:effectExtent l="0" t="0" r="0" b="444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1"/>
                          <a:stretch>
                            <a:fillRect/>
                          </a:stretch>
                        </pic:blipFill>
                        <pic:spPr>
                          <a:xfrm>
                            <a:off x="0" y="0"/>
                            <a:ext cx="1466850" cy="16814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29385" cy="1719580"/>
                  <wp:effectExtent l="0" t="0" r="8890" b="444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2"/>
                          <a:stretch>
                            <a:fillRect/>
                          </a:stretch>
                        </pic:blipFill>
                        <pic:spPr>
                          <a:xfrm>
                            <a:off x="0" y="0"/>
                            <a:ext cx="1429385" cy="1719580"/>
                          </a:xfrm>
                          <a:prstGeom prst="rect">
                            <a:avLst/>
                          </a:prstGeom>
                          <a:noFill/>
                          <a:ln>
                            <a:noFill/>
                          </a:ln>
                        </pic:spPr>
                      </pic:pic>
                    </a:graphicData>
                  </a:graphic>
                </wp:inline>
              </w:drawing>
            </w:r>
            <w:r>
              <w:rPr>
                <w:rFonts w:hint="eastAsia"/>
                <w:lang w:val="en-US" w:eastAsia="zh-CN"/>
              </w:rPr>
              <w:t xml:space="preserve"> </w:t>
            </w:r>
          </w:p>
          <w:p>
            <w:pPr>
              <w:pStyle w:val="2"/>
              <w:rPr>
                <w:rFonts w:hint="eastAsia" w:eastAsia="宋体"/>
                <w:lang w:val="en-US" w:eastAsia="zh-CN"/>
              </w:rPr>
            </w:pPr>
            <w:r>
              <w:rPr>
                <w:rFonts w:hint="eastAsia"/>
                <w:lang w:val="en-US" w:eastAsia="zh-CN"/>
              </w:rPr>
              <w:t>5、查看</w:t>
            </w:r>
            <w:r>
              <w:rPr>
                <w:rFonts w:hint="eastAsia"/>
              </w:rPr>
              <w:t>金属滤芯的生产</w:t>
            </w:r>
            <w:r>
              <w:rPr>
                <w:rFonts w:hint="eastAsia"/>
                <w:lang w:val="en-US" w:eastAsia="zh-CN"/>
              </w:rPr>
              <w:t>区</w:t>
            </w:r>
          </w:p>
          <w:p>
            <w:pPr>
              <w:bidi w:val="0"/>
              <w:rPr>
                <w:rFonts w:hint="default" w:eastAsia="宋体"/>
                <w:lang w:val="en-US" w:eastAsia="zh-CN"/>
              </w:rPr>
            </w:pPr>
            <w:r>
              <w:drawing>
                <wp:inline distT="0" distB="0" distL="114300" distR="114300">
                  <wp:extent cx="1514475" cy="2005330"/>
                  <wp:effectExtent l="0" t="0" r="0" b="44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3"/>
                          <a:stretch>
                            <a:fillRect/>
                          </a:stretch>
                        </pic:blipFill>
                        <pic:spPr>
                          <a:xfrm>
                            <a:off x="0" y="0"/>
                            <a:ext cx="1514475" cy="20053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19555" cy="2019300"/>
                  <wp:effectExtent l="0" t="0" r="4445"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4"/>
                          <a:stretch>
                            <a:fillRect/>
                          </a:stretch>
                        </pic:blipFill>
                        <pic:spPr>
                          <a:xfrm>
                            <a:off x="0" y="0"/>
                            <a:ext cx="1519555" cy="2019300"/>
                          </a:xfrm>
                          <a:prstGeom prst="rect">
                            <a:avLst/>
                          </a:prstGeom>
                          <a:noFill/>
                          <a:ln>
                            <a:noFill/>
                          </a:ln>
                        </pic:spPr>
                      </pic:pic>
                    </a:graphicData>
                  </a:graphic>
                </wp:inline>
              </w:drawing>
            </w:r>
            <w:r>
              <w:rPr>
                <w:rFonts w:hint="eastAsia"/>
                <w:lang w:val="en-US" w:eastAsia="zh-CN"/>
              </w:rPr>
              <w:t xml:space="preserve">  清洗抛光（外包）</w:t>
            </w:r>
            <w:r>
              <w:drawing>
                <wp:inline distT="0" distB="0" distL="114300" distR="114300">
                  <wp:extent cx="2184400" cy="1628775"/>
                  <wp:effectExtent l="0" t="0" r="6350"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5"/>
                          <a:stretch>
                            <a:fillRect/>
                          </a:stretch>
                        </pic:blipFill>
                        <pic:spPr>
                          <a:xfrm>
                            <a:off x="0" y="0"/>
                            <a:ext cx="2184400" cy="1628775"/>
                          </a:xfrm>
                          <a:prstGeom prst="rect">
                            <a:avLst/>
                          </a:prstGeom>
                          <a:noFill/>
                          <a:ln>
                            <a:noFill/>
                          </a:ln>
                        </pic:spPr>
                      </pic:pic>
                    </a:graphicData>
                  </a:graphic>
                </wp:inline>
              </w:drawing>
            </w:r>
          </w:p>
          <w:p>
            <w:pPr>
              <w:pStyle w:val="2"/>
              <w:rPr>
                <w:rFonts w:hint="default" w:eastAsia="宋体"/>
                <w:lang w:val="en-US" w:eastAsia="zh-CN"/>
              </w:rPr>
            </w:pPr>
            <w:r>
              <w:rPr>
                <w:rFonts w:hint="eastAsia"/>
                <w:lang w:val="en-US" w:eastAsia="zh-CN"/>
              </w:rPr>
              <w:t>卷圆工序              组装焊接成型                          成品</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同生产负责人交谈：对生产任务，生产过程的控制内容均较清楚</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同质检人员卢书杰交谈：对原材料控制、生产过程检验、首件检验、成品检验过程的控制较清楚</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●外包过程：产品运输、清洗（电解抛光）</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●量手册规定了需确认过程识别的要求，提供《过程确认准则》， </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--查浇铸过程确认：经识别，公司目前特殊过程为焊接过程。</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对浇铸过程进行了确认，确认内容：作业指导书、设备、人员等方面进行了确认，</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有效；批准：王学雷  2022.7.3</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●人员，经过培训合格后上岗, 均有相关行业5年以上工作经验, </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●以上过程根据客户提供的图纸和要求以及相应的国家标准、行业标准等资料；进行产品质量控制。</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●质量控制程序：原材料进厂检验合格后投入使用、工序不合格不转序、所有工作没有完成前不交付、交付后发现的不合格包退、包换。</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●目前上述情况均无变化，暂不需要再确认。生产过程控制符合要求。</w:t>
            </w:r>
          </w:p>
        </w:tc>
        <w:tc>
          <w:tcPr>
            <w:tcW w:w="1134" w:type="dxa"/>
          </w:tcPr>
          <w:p>
            <w:pPr>
              <w:rPr>
                <w:rFonts w:hint="eastAsia" w:ascii="楷体" w:hAnsi="楷体" w:eastAsia="楷体" w:cs="楷体"/>
                <w:sz w:val="21"/>
                <w:szCs w:val="21"/>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834" w:type="dxa"/>
            <w:vAlign w:val="center"/>
          </w:tcPr>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产品和服务的放行</w:t>
            </w:r>
          </w:p>
        </w:tc>
        <w:tc>
          <w:tcPr>
            <w:tcW w:w="950" w:type="dxa"/>
            <w:vAlign w:val="center"/>
          </w:tcPr>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8.6</w:t>
            </w:r>
          </w:p>
        </w:tc>
        <w:tc>
          <w:tcPr>
            <w:tcW w:w="10791" w:type="dxa"/>
            <w:vAlign w:val="center"/>
          </w:tcPr>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●编制了生产过程执行《生产质量控制程序》HT/CX-8.6-A0-2022、《产品质量管理控制程序》HT/CX-8.5.1-A0-2022《外部提供产品、服务和过程控制程序》HT/CX-8.4-A0-2022等控制文件。</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●收集了产品的检验的依据：按照客户要求、生产图纸、技术资料进行生产，原材料检验、过程检验、成品检验过程参考：</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气体保护焊用钢丝</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GB/T 14958-94</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一般用途低碳钢丝</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YB/T5294-2009</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不锈钢丝</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GB/T4240-2019生产技术部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电弧焊机通用技术条件</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GB/T8118-2010</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工业用网  网孔 尺寸系列</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GB/T10611-2003</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工业用金属丝编织网技术要求和检验</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GB/T17492-2019</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工业用金属丝编制方孔筛网</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GB/T 5330-2003</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钢格栅板及配套件 第1部分 钢格栅板</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YB/T4001.1-2019生产技术部</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二氧化碳气体保护焊工艺规程</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JB/T 9186-1999</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生产技术部等相关标准</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●该公司策划的产品的监视和测量包括：进货检验、过程控制、成品检验。</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●企业原材料较简单，主要是不锈钢丝（多规格）、滤芯组件等，对这些原数量的验证主要是验证材质单或检验报告、数量、牌号等。 </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default"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 xml:space="preserve"> --不锈钢丝（0.25mm）316L   生产日期：2022.11.7</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1、原材料名称：不锈钢丝（0.25mm）316L</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 xml:space="preserve">2、进厂检验项目：外观、数量、有无材质单 </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3、进货日期：2022.11.9    数量：/</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default"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检验：徐卓，检验日期：2022.11.9</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default"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--滤芯法兰及部件</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default"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1、原材料名称：带扣法兰、底法兰等</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 xml:space="preserve">2、进厂检验项目：外观、数量、有无材质单 </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3、进货日期：2023.2.6    数量：/</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检验：徐卓，检验日期：2023.2.6</w:t>
            </w:r>
          </w:p>
          <w:p>
            <w:pPr>
              <w:pStyle w:val="2"/>
              <w:rPr>
                <w:rFonts w:hint="default"/>
                <w:lang w:val="en-US" w:eastAsia="zh-CN"/>
              </w:rPr>
            </w:pPr>
            <w:r>
              <w:drawing>
                <wp:inline distT="0" distB="0" distL="114300" distR="114300">
                  <wp:extent cx="2476500" cy="3381375"/>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6"/>
                          <a:stretch>
                            <a:fillRect/>
                          </a:stretch>
                        </pic:blipFill>
                        <pic:spPr>
                          <a:xfrm>
                            <a:off x="0" y="0"/>
                            <a:ext cx="2476500" cy="33813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●过程检验：</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--查过程检验：浇铸过程采用流转卡、工艺控制表，编制过程的控制体现在8.5.1条款的审核中</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抽1滤芯生产过程标识卡</w:t>
            </w:r>
          </w:p>
          <w:p>
            <w:pPr>
              <w:pStyle w:val="2"/>
              <w:rPr>
                <w:rFonts w:hint="default"/>
                <w:lang w:val="en-US" w:eastAsia="zh-CN"/>
              </w:rPr>
            </w:pPr>
            <w:r>
              <w:rPr>
                <w:rFonts w:hint="eastAsia" w:ascii="楷体" w:hAnsi="楷体" w:eastAsia="楷体" w:cs="楷体"/>
                <w:sz w:val="21"/>
                <w:szCs w:val="21"/>
                <w:lang w:val="en-US" w:eastAsia="zh-CN"/>
              </w:rPr>
              <w:t>抽2丝网生产过程领料流转、送检单</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r>
              <w:drawing>
                <wp:inline distT="0" distB="0" distL="114300" distR="114300">
                  <wp:extent cx="1671955" cy="2257425"/>
                  <wp:effectExtent l="0" t="0" r="4445" b="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7"/>
                          <a:stretch>
                            <a:fillRect/>
                          </a:stretch>
                        </pic:blipFill>
                        <pic:spPr>
                          <a:xfrm>
                            <a:off x="0" y="0"/>
                            <a:ext cx="1671955" cy="2257425"/>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drawing>
                <wp:inline distT="0" distB="0" distL="114300" distR="114300">
                  <wp:extent cx="1890395" cy="2246630"/>
                  <wp:effectExtent l="0" t="0" r="5080" b="127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8"/>
                          <a:stretch>
                            <a:fillRect/>
                          </a:stretch>
                        </pic:blipFill>
                        <pic:spPr>
                          <a:xfrm>
                            <a:off x="0" y="0"/>
                            <a:ext cx="1890395" cy="22466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33550" cy="2129155"/>
                  <wp:effectExtent l="0" t="0" r="0" b="444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9"/>
                          <a:stretch>
                            <a:fillRect/>
                          </a:stretch>
                        </pic:blipFill>
                        <pic:spPr>
                          <a:xfrm>
                            <a:off x="0" y="0"/>
                            <a:ext cx="1733550" cy="21291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生产过程控制记录10余份。对生产过程的控制符合要求                                       </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●成品检验控制：成品检验过程控制是由检验人员按照要求（标准、顾客要求等）对产品进行检验，形成检验记录，出厂时向客户提供出厂检验报告和产品标识卡</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——查：2023.2.12出厂检验报告</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产品名称：金属网；</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检验项目：外观、尺寸、目数、网孔等等</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检验结论：批次合格</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default"/>
                <w:lang w:val="en-US" w:eastAsia="zh-CN"/>
              </w:rPr>
            </w:pPr>
            <w:r>
              <w:rPr>
                <w:rFonts w:hint="eastAsia" w:ascii="楷体" w:hAnsi="楷体" w:eastAsia="楷体" w:cs="楷体"/>
                <w:sz w:val="21"/>
                <w:szCs w:val="21"/>
                <w:lang w:val="en-US" w:eastAsia="zh-CN"/>
              </w:rPr>
              <w:t>检验：徐卓   检验日期：2023.2.12</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——查：2023.2.2、2023.2.5等日期的滤芯出厂检验记录</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产品型号：59M-60*350；</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检验项目：外观、光泽度、洁净度、平整度、冒泡压力（有压力需求时）等</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检验结论：批次合格</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检验：徐卓   检验日期：2023.2.2、2023.2.5</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r>
              <w:drawing>
                <wp:inline distT="0" distB="0" distL="114300" distR="114300">
                  <wp:extent cx="1733550" cy="2457450"/>
                  <wp:effectExtent l="0" t="0" r="0"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30"/>
                          <a:stretch>
                            <a:fillRect/>
                          </a:stretch>
                        </pic:blipFill>
                        <pic:spPr>
                          <a:xfrm>
                            <a:off x="0" y="0"/>
                            <a:ext cx="1733550" cy="24574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48255" cy="1838325"/>
                  <wp:effectExtent l="0" t="0" r="4445" b="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31"/>
                          <a:stretch>
                            <a:fillRect/>
                          </a:stretch>
                        </pic:blipFill>
                        <pic:spPr>
                          <a:xfrm>
                            <a:off x="0" y="0"/>
                            <a:ext cx="2548255" cy="18383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另抽其他规格产品出厂检验记录10余份：均记录了技术要求、检验日期、检验人、检验结论等内容，成品检验控制符合要求。</w:t>
            </w:r>
          </w:p>
          <w:p>
            <w:pPr>
              <w:keepNext w:val="0"/>
              <w:keepLines w:val="0"/>
              <w:pageBreakBefore w:val="0"/>
              <w:widowControl w:val="0"/>
              <w:numPr>
                <w:ilvl w:val="0"/>
                <w:numId w:val="0"/>
              </w:numPr>
              <w:kinsoku/>
              <w:wordWrap/>
              <w:overflowPunct/>
              <w:topLinePunct w:val="0"/>
              <w:autoSpaceDE/>
              <w:autoSpaceDN/>
              <w:bidi w:val="0"/>
              <w:snapToGrid w:val="0"/>
              <w:spacing w:after="0" w:line="300" w:lineRule="exact"/>
              <w:ind w:left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●企业的检验过程控制符合要求</w:t>
            </w:r>
          </w:p>
        </w:tc>
        <w:tc>
          <w:tcPr>
            <w:tcW w:w="1134" w:type="dxa"/>
          </w:tcPr>
          <w:p>
            <w:pPr>
              <w:rPr>
                <w:rFonts w:hint="eastAsia" w:ascii="楷体" w:hAnsi="楷体" w:eastAsia="楷体" w:cs="楷体"/>
                <w:sz w:val="21"/>
                <w:szCs w:val="21"/>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834"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不合格输出的控制</w:t>
            </w:r>
          </w:p>
        </w:tc>
        <w:tc>
          <w:tcPr>
            <w:tcW w:w="950"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 xml:space="preserve">8.7 </w:t>
            </w:r>
          </w:p>
        </w:tc>
        <w:tc>
          <w:tcPr>
            <w:tcW w:w="10791" w:type="dxa"/>
            <w:vAlign w:val="center"/>
          </w:tcPr>
          <w:p>
            <w:pPr>
              <w:rPr>
                <w:rFonts w:hint="eastAsia" w:ascii="楷体" w:hAnsi="楷体" w:eastAsia="楷体" w:cs="楷体"/>
                <w:sz w:val="21"/>
                <w:szCs w:val="21"/>
              </w:rPr>
            </w:pPr>
            <w:r>
              <w:rPr>
                <w:rFonts w:hint="eastAsia" w:ascii="楷体" w:hAnsi="楷体" w:eastAsia="楷体" w:cs="楷体"/>
                <w:sz w:val="21"/>
                <w:szCs w:val="21"/>
              </w:rPr>
              <w:t>●编制了</w:t>
            </w:r>
            <w:r>
              <w:rPr>
                <w:rFonts w:hint="eastAsia" w:ascii="楷体" w:hAnsi="楷体" w:eastAsia="楷体" w:cs="楷体"/>
                <w:sz w:val="21"/>
                <w:szCs w:val="21"/>
                <w:lang w:val="en-US" w:eastAsia="zh-CN"/>
              </w:rPr>
              <w:t>《生产质量控制程序》HT/CX-8.6-A0-2022、《产品质量管理控制程序》HT/CX-8.5.1-A0-2022</w:t>
            </w:r>
            <w:r>
              <w:rPr>
                <w:rFonts w:hint="eastAsia" w:ascii="楷体" w:hAnsi="楷体" w:eastAsia="楷体" w:cs="楷体"/>
                <w:sz w:val="21"/>
                <w:szCs w:val="21"/>
              </w:rPr>
              <w:t xml:space="preserve">，程序内容符合标准要求。 对不合格品的处置方式包括：返工、返修和报废。 </w:t>
            </w:r>
          </w:p>
          <w:p>
            <w:pPr>
              <w:rPr>
                <w:rFonts w:hint="eastAsia" w:ascii="楷体" w:hAnsi="楷体" w:eastAsia="楷体" w:cs="楷体"/>
                <w:sz w:val="21"/>
                <w:szCs w:val="21"/>
              </w:rPr>
            </w:pPr>
            <w:r>
              <w:rPr>
                <w:rFonts w:hint="eastAsia" w:ascii="楷体" w:hAnsi="楷体" w:eastAsia="楷体" w:cs="楷体"/>
                <w:sz w:val="21"/>
                <w:szCs w:val="21"/>
              </w:rPr>
              <w:t>--查见《不合格产品处置报告》，内容包括：日期、不合格品名称、责任人、原因分析、处置情况、改进措施、审批意见等。</w:t>
            </w:r>
          </w:p>
          <w:p>
            <w:pPr>
              <w:pStyle w:val="14"/>
              <w:ind w:left="0" w:leftChars="0" w:firstLine="0" w:firstLineChars="0"/>
              <w:rPr>
                <w:rFonts w:hint="eastAsia" w:ascii="楷体" w:hAnsi="楷体" w:eastAsia="楷体" w:cs="楷体"/>
                <w:color w:val="auto"/>
                <w:sz w:val="21"/>
                <w:szCs w:val="21"/>
                <w:lang w:val="en-US" w:eastAsia="zh-CN"/>
              </w:rPr>
            </w:pPr>
            <w:r>
              <w:rPr>
                <w:rFonts w:hint="eastAsia" w:ascii="楷体" w:hAnsi="楷体" w:eastAsia="楷体" w:cs="楷体"/>
                <w:sz w:val="21"/>
                <w:szCs w:val="21"/>
                <w:lang w:val="en-US" w:eastAsia="zh-CN"/>
              </w:rPr>
              <w:t>丝网编制过程产生废品的情况有两种：</w:t>
            </w:r>
            <w:r>
              <w:rPr>
                <w:rFonts w:hint="eastAsia" w:ascii="楷体" w:hAnsi="楷体" w:eastAsia="楷体" w:cs="楷体"/>
                <w:color w:val="auto"/>
                <w:sz w:val="21"/>
                <w:szCs w:val="21"/>
                <w:lang w:val="en-US" w:eastAsia="zh-CN"/>
              </w:rPr>
              <w:t>开始编织时的不锈钢网料头和工作结束时的料头，均在允许量的范围内，废品量的控制在允许的范围内。</w:t>
            </w:r>
          </w:p>
          <w:p>
            <w:pPr>
              <w:rPr>
                <w:rFonts w:hint="default"/>
                <w:color w:val="auto"/>
                <w:lang w:val="en-US" w:eastAsia="zh-CN"/>
              </w:rPr>
            </w:pPr>
            <w:r>
              <w:rPr>
                <w:rFonts w:hint="eastAsia" w:ascii="楷体" w:hAnsi="楷体" w:eastAsia="楷体" w:cs="楷体"/>
                <w:color w:val="auto"/>
                <w:sz w:val="21"/>
                <w:szCs w:val="21"/>
                <w:lang w:val="en-US" w:eastAsia="zh-CN"/>
              </w:rPr>
              <w:t>处理方式：收集一定数量后，定期外售</w:t>
            </w:r>
          </w:p>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●产品在运输过程中及客户处发现不合格，一律退换处理，作废处理，或返修再检。并对不合格品进行原因分析，采取适当措施。</w:t>
            </w:r>
          </w:p>
        </w:tc>
        <w:tc>
          <w:tcPr>
            <w:tcW w:w="1134" w:type="dxa"/>
          </w:tcPr>
          <w:p>
            <w:pPr>
              <w:rPr>
                <w:rFonts w:hint="eastAsia" w:ascii="楷体" w:hAnsi="楷体" w:eastAsia="楷体" w:cs="楷体"/>
                <w:sz w:val="21"/>
                <w:szCs w:val="21"/>
                <w:lang w:val="en-US" w:eastAsia="zh-CN"/>
              </w:rPr>
            </w:pPr>
          </w:p>
        </w:tc>
      </w:tr>
    </w:tbl>
    <w:p>
      <w:pPr>
        <w:pStyle w:val="10"/>
        <w:rPr>
          <w:rFonts w:hint="eastAsia" w:eastAsia="宋体"/>
          <w:lang w:val="en-US" w:eastAsia="zh-CN"/>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10"/>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tabs>
        <w:tab w:val="left" w:pos="8910"/>
        <w:tab w:val="left" w:pos="9142"/>
        <w:tab w:val="clear" w:pos="4153"/>
      </w:tabs>
      <w:spacing w:line="320" w:lineRule="exact"/>
      <w:ind w:left="-86" w:leftChars="-41" w:firstLine="810" w:firstLineChars="450"/>
      <w:jc w:val="left"/>
      <w:rPr>
        <w:rStyle w:val="23"/>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1"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_x0000_s1026"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CQfhE2AAAAAsBAAAPAAAAAAAAAAEAIAAAACIAAABkcnMvZG93bnJldi54&#10;bWxQSwECFAAUAAAACACHTuJAZsEoGMEBAAB3AwAADgAAAAAAAAABACAAAAAnAQAAZHJzL2Uyb0Rv&#10;Yy54bWxQSwUGAAAAAAYABgBZAQAAWgU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23"/>
        <w:rFonts w:hint="default"/>
      </w:rPr>
      <w:t>北京国标联合认证有限公司</w:t>
    </w:r>
    <w:r>
      <w:rPr>
        <w:rStyle w:val="23"/>
        <w:rFonts w:hint="default"/>
      </w:rPr>
      <w:tab/>
    </w:r>
    <w:r>
      <w:rPr>
        <w:rStyle w:val="23"/>
        <w:rFonts w:hint="default"/>
      </w:rPr>
      <w:tab/>
    </w:r>
    <w:r>
      <w:rPr>
        <w:rStyle w:val="23"/>
        <w:rFonts w:hint="default"/>
      </w:rPr>
      <w:tab/>
    </w:r>
  </w:p>
  <w:p>
    <w:pPr>
      <w:pStyle w:val="11"/>
      <w:pBdr>
        <w:bottom w:val="none" w:color="auto" w:sz="0" w:space="0"/>
      </w:pBdr>
      <w:spacing w:line="320" w:lineRule="exact"/>
      <w:ind w:firstLine="756" w:firstLineChars="400"/>
      <w:jc w:val="left"/>
    </w:pPr>
    <w:r>
      <w:rPr>
        <w:rStyle w:val="2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C1E3D2"/>
    <w:multiLevelType w:val="singleLevel"/>
    <w:tmpl w:val="A2C1E3D2"/>
    <w:lvl w:ilvl="0" w:tentative="0">
      <w:start w:val="1"/>
      <w:numFmt w:val="decimal"/>
      <w:suff w:val="nothing"/>
      <w:lvlText w:val="%1、"/>
      <w:lvlJc w:val="left"/>
    </w:lvl>
  </w:abstractNum>
  <w:abstractNum w:abstractNumId="1">
    <w:nsid w:val="7F79CD3D"/>
    <w:multiLevelType w:val="singleLevel"/>
    <w:tmpl w:val="7F79CD3D"/>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yZWEwNTJkZmJlNThmOGIyN2MwMTRiZTI2ODcwNWIifQ=="/>
  </w:docVars>
  <w:rsids>
    <w:rsidRoot w:val="00000000"/>
    <w:rsid w:val="001F1D2C"/>
    <w:rsid w:val="005714C6"/>
    <w:rsid w:val="00C366ED"/>
    <w:rsid w:val="00E54D24"/>
    <w:rsid w:val="011078C7"/>
    <w:rsid w:val="013E61E2"/>
    <w:rsid w:val="015B3238"/>
    <w:rsid w:val="018362EB"/>
    <w:rsid w:val="01B25E8C"/>
    <w:rsid w:val="01D11448"/>
    <w:rsid w:val="022E31E6"/>
    <w:rsid w:val="0233386D"/>
    <w:rsid w:val="02445A7A"/>
    <w:rsid w:val="025B2DC4"/>
    <w:rsid w:val="0261662C"/>
    <w:rsid w:val="028D1F0F"/>
    <w:rsid w:val="02E35293"/>
    <w:rsid w:val="032000D3"/>
    <w:rsid w:val="03367AB9"/>
    <w:rsid w:val="038D16A3"/>
    <w:rsid w:val="03A013D6"/>
    <w:rsid w:val="03C54999"/>
    <w:rsid w:val="03D4003A"/>
    <w:rsid w:val="03E65F01"/>
    <w:rsid w:val="0416753B"/>
    <w:rsid w:val="04333FF8"/>
    <w:rsid w:val="049D3B67"/>
    <w:rsid w:val="053472A6"/>
    <w:rsid w:val="056401E1"/>
    <w:rsid w:val="05C375FE"/>
    <w:rsid w:val="05DD06BF"/>
    <w:rsid w:val="0607573C"/>
    <w:rsid w:val="060F639F"/>
    <w:rsid w:val="06420522"/>
    <w:rsid w:val="0677779A"/>
    <w:rsid w:val="068C3E93"/>
    <w:rsid w:val="06E810D0"/>
    <w:rsid w:val="07035F04"/>
    <w:rsid w:val="07103A46"/>
    <w:rsid w:val="071D5765"/>
    <w:rsid w:val="07A656A9"/>
    <w:rsid w:val="07C66F31"/>
    <w:rsid w:val="08513A4A"/>
    <w:rsid w:val="085F360E"/>
    <w:rsid w:val="085F70C6"/>
    <w:rsid w:val="087D5842"/>
    <w:rsid w:val="08D15069"/>
    <w:rsid w:val="092A7093"/>
    <w:rsid w:val="096E7880"/>
    <w:rsid w:val="09EC5038"/>
    <w:rsid w:val="09ED2377"/>
    <w:rsid w:val="09F204B1"/>
    <w:rsid w:val="0A1E12A6"/>
    <w:rsid w:val="0A5E78F5"/>
    <w:rsid w:val="0A746972"/>
    <w:rsid w:val="0AC77248"/>
    <w:rsid w:val="0AD96F7B"/>
    <w:rsid w:val="0B04618C"/>
    <w:rsid w:val="0B112BB9"/>
    <w:rsid w:val="0B2C17A1"/>
    <w:rsid w:val="0B446AEB"/>
    <w:rsid w:val="0B6131F9"/>
    <w:rsid w:val="0B71273B"/>
    <w:rsid w:val="0B7373D0"/>
    <w:rsid w:val="0C8319A6"/>
    <w:rsid w:val="0C85560D"/>
    <w:rsid w:val="0CAA5073"/>
    <w:rsid w:val="0CD520F0"/>
    <w:rsid w:val="0CEC1C98"/>
    <w:rsid w:val="0D026C5D"/>
    <w:rsid w:val="0D352B8F"/>
    <w:rsid w:val="0D38442D"/>
    <w:rsid w:val="0DC363ED"/>
    <w:rsid w:val="0DEB76F2"/>
    <w:rsid w:val="0E8B182E"/>
    <w:rsid w:val="0E9C09EC"/>
    <w:rsid w:val="0E9E29B6"/>
    <w:rsid w:val="0EAC1011"/>
    <w:rsid w:val="0ED63EFE"/>
    <w:rsid w:val="0F1551DF"/>
    <w:rsid w:val="0F364782"/>
    <w:rsid w:val="0F713C26"/>
    <w:rsid w:val="0F7727F0"/>
    <w:rsid w:val="0FBA3760"/>
    <w:rsid w:val="0FF24D67"/>
    <w:rsid w:val="0FFD54BA"/>
    <w:rsid w:val="1070092E"/>
    <w:rsid w:val="10C009C2"/>
    <w:rsid w:val="11052B5A"/>
    <w:rsid w:val="11063C09"/>
    <w:rsid w:val="1122167C"/>
    <w:rsid w:val="115777AD"/>
    <w:rsid w:val="115832F0"/>
    <w:rsid w:val="117614BA"/>
    <w:rsid w:val="11D05FB9"/>
    <w:rsid w:val="11D32976"/>
    <w:rsid w:val="121E0096"/>
    <w:rsid w:val="12582E7C"/>
    <w:rsid w:val="126F08F1"/>
    <w:rsid w:val="12E76701"/>
    <w:rsid w:val="12F554FB"/>
    <w:rsid w:val="13071667"/>
    <w:rsid w:val="132C0590"/>
    <w:rsid w:val="1424261C"/>
    <w:rsid w:val="142B6A9A"/>
    <w:rsid w:val="14BC7381"/>
    <w:rsid w:val="14DC2CD6"/>
    <w:rsid w:val="15086DDB"/>
    <w:rsid w:val="1540591D"/>
    <w:rsid w:val="157D1577"/>
    <w:rsid w:val="1585667E"/>
    <w:rsid w:val="15923292"/>
    <w:rsid w:val="15AF7257"/>
    <w:rsid w:val="15E70B08"/>
    <w:rsid w:val="168801D3"/>
    <w:rsid w:val="16BF34C9"/>
    <w:rsid w:val="16D36F75"/>
    <w:rsid w:val="16F13135"/>
    <w:rsid w:val="17481711"/>
    <w:rsid w:val="17732C32"/>
    <w:rsid w:val="1787048B"/>
    <w:rsid w:val="17B45EC3"/>
    <w:rsid w:val="17BF60B6"/>
    <w:rsid w:val="17D5451B"/>
    <w:rsid w:val="17E717E0"/>
    <w:rsid w:val="180C1F5F"/>
    <w:rsid w:val="18196493"/>
    <w:rsid w:val="182B350C"/>
    <w:rsid w:val="183323C1"/>
    <w:rsid w:val="185F79E5"/>
    <w:rsid w:val="18980476"/>
    <w:rsid w:val="18C96881"/>
    <w:rsid w:val="18ED2570"/>
    <w:rsid w:val="190A5148"/>
    <w:rsid w:val="19215819"/>
    <w:rsid w:val="19EB72A2"/>
    <w:rsid w:val="19FD1CEF"/>
    <w:rsid w:val="1A1F513E"/>
    <w:rsid w:val="1A4563DB"/>
    <w:rsid w:val="1A8635C8"/>
    <w:rsid w:val="1A9609E5"/>
    <w:rsid w:val="1B4641B9"/>
    <w:rsid w:val="1BBA3864"/>
    <w:rsid w:val="1BCA6B98"/>
    <w:rsid w:val="1BDE2525"/>
    <w:rsid w:val="1BE0460E"/>
    <w:rsid w:val="1BEA0FE8"/>
    <w:rsid w:val="1C5172BA"/>
    <w:rsid w:val="1C9D605B"/>
    <w:rsid w:val="1CB17D58"/>
    <w:rsid w:val="1CB25FAA"/>
    <w:rsid w:val="1CEC0D90"/>
    <w:rsid w:val="1D5F77B4"/>
    <w:rsid w:val="1D632E00"/>
    <w:rsid w:val="1D8F1E47"/>
    <w:rsid w:val="1DB25B36"/>
    <w:rsid w:val="1DC51585"/>
    <w:rsid w:val="1DD063CF"/>
    <w:rsid w:val="1DF779ED"/>
    <w:rsid w:val="1DFE521F"/>
    <w:rsid w:val="1E2702D2"/>
    <w:rsid w:val="1E2A2254"/>
    <w:rsid w:val="1E3842D7"/>
    <w:rsid w:val="1E890F8D"/>
    <w:rsid w:val="1ED36980"/>
    <w:rsid w:val="1EF81C6E"/>
    <w:rsid w:val="1F136AA8"/>
    <w:rsid w:val="1F1F71FB"/>
    <w:rsid w:val="1F740D38"/>
    <w:rsid w:val="1F9B55C9"/>
    <w:rsid w:val="1F9F033C"/>
    <w:rsid w:val="1FBE6A14"/>
    <w:rsid w:val="205729C5"/>
    <w:rsid w:val="205F63D2"/>
    <w:rsid w:val="2097136A"/>
    <w:rsid w:val="209D487B"/>
    <w:rsid w:val="20B91741"/>
    <w:rsid w:val="20C242E2"/>
    <w:rsid w:val="20F46465"/>
    <w:rsid w:val="21097D4A"/>
    <w:rsid w:val="21661111"/>
    <w:rsid w:val="21947BAF"/>
    <w:rsid w:val="219519F6"/>
    <w:rsid w:val="21AF0DFB"/>
    <w:rsid w:val="21CF4F08"/>
    <w:rsid w:val="22195E7D"/>
    <w:rsid w:val="222F1E4B"/>
    <w:rsid w:val="223E3E3C"/>
    <w:rsid w:val="226D55B8"/>
    <w:rsid w:val="228D5F39"/>
    <w:rsid w:val="229735CA"/>
    <w:rsid w:val="22BF6717"/>
    <w:rsid w:val="2302130E"/>
    <w:rsid w:val="23231A73"/>
    <w:rsid w:val="234C2589"/>
    <w:rsid w:val="237017BB"/>
    <w:rsid w:val="238D507B"/>
    <w:rsid w:val="23BE3912"/>
    <w:rsid w:val="23D700A4"/>
    <w:rsid w:val="24207C9D"/>
    <w:rsid w:val="24656C1B"/>
    <w:rsid w:val="24703E03"/>
    <w:rsid w:val="247E2C16"/>
    <w:rsid w:val="249266C1"/>
    <w:rsid w:val="24D12D46"/>
    <w:rsid w:val="24FD1D8D"/>
    <w:rsid w:val="250336C8"/>
    <w:rsid w:val="251C7F7B"/>
    <w:rsid w:val="253432D4"/>
    <w:rsid w:val="257A33DD"/>
    <w:rsid w:val="25AA523A"/>
    <w:rsid w:val="25D1142C"/>
    <w:rsid w:val="25EE15AD"/>
    <w:rsid w:val="26143832"/>
    <w:rsid w:val="261D1FBA"/>
    <w:rsid w:val="261F20D3"/>
    <w:rsid w:val="263452D7"/>
    <w:rsid w:val="26792A64"/>
    <w:rsid w:val="26CB1A16"/>
    <w:rsid w:val="26F7280B"/>
    <w:rsid w:val="27547C5E"/>
    <w:rsid w:val="277976C4"/>
    <w:rsid w:val="27D05536"/>
    <w:rsid w:val="27D112AE"/>
    <w:rsid w:val="280C22E7"/>
    <w:rsid w:val="28170541"/>
    <w:rsid w:val="28335AC5"/>
    <w:rsid w:val="28706D19"/>
    <w:rsid w:val="28A80261"/>
    <w:rsid w:val="28E74AAC"/>
    <w:rsid w:val="28FE2577"/>
    <w:rsid w:val="292F265F"/>
    <w:rsid w:val="294C5091"/>
    <w:rsid w:val="29712D49"/>
    <w:rsid w:val="29936474"/>
    <w:rsid w:val="29D24E67"/>
    <w:rsid w:val="29EB48A9"/>
    <w:rsid w:val="2A07545B"/>
    <w:rsid w:val="2A0B4F4C"/>
    <w:rsid w:val="2A1D74B6"/>
    <w:rsid w:val="2A685EFA"/>
    <w:rsid w:val="2A9156A2"/>
    <w:rsid w:val="2A9A1E2C"/>
    <w:rsid w:val="2AA040BA"/>
    <w:rsid w:val="2ACB46DB"/>
    <w:rsid w:val="2B801021"/>
    <w:rsid w:val="2C2A302A"/>
    <w:rsid w:val="2C4209CD"/>
    <w:rsid w:val="2C70553A"/>
    <w:rsid w:val="2C772424"/>
    <w:rsid w:val="2C9F7BCD"/>
    <w:rsid w:val="2D294951"/>
    <w:rsid w:val="2D7D2598"/>
    <w:rsid w:val="2D8A262B"/>
    <w:rsid w:val="2DA60AE7"/>
    <w:rsid w:val="2E2C723F"/>
    <w:rsid w:val="2E4E18AB"/>
    <w:rsid w:val="2EC13E2B"/>
    <w:rsid w:val="2EDD0684"/>
    <w:rsid w:val="2EF82EA4"/>
    <w:rsid w:val="2F49732F"/>
    <w:rsid w:val="2F805A94"/>
    <w:rsid w:val="2FC75471"/>
    <w:rsid w:val="2FD7142C"/>
    <w:rsid w:val="2FD858D0"/>
    <w:rsid w:val="30087837"/>
    <w:rsid w:val="30246C81"/>
    <w:rsid w:val="30D37E45"/>
    <w:rsid w:val="30F1651D"/>
    <w:rsid w:val="30FC0F59"/>
    <w:rsid w:val="3103697D"/>
    <w:rsid w:val="31353B3B"/>
    <w:rsid w:val="31C205E6"/>
    <w:rsid w:val="323D71D6"/>
    <w:rsid w:val="329E7067"/>
    <w:rsid w:val="32A72670"/>
    <w:rsid w:val="32A74481"/>
    <w:rsid w:val="32D85BE7"/>
    <w:rsid w:val="336D632F"/>
    <w:rsid w:val="33CC5F8E"/>
    <w:rsid w:val="33CD3272"/>
    <w:rsid w:val="33FB1B8D"/>
    <w:rsid w:val="340C5B48"/>
    <w:rsid w:val="34B9286C"/>
    <w:rsid w:val="34CE72A2"/>
    <w:rsid w:val="34E16FD5"/>
    <w:rsid w:val="34F16AD7"/>
    <w:rsid w:val="34F565DC"/>
    <w:rsid w:val="34F76CCC"/>
    <w:rsid w:val="35156C7E"/>
    <w:rsid w:val="351D5B33"/>
    <w:rsid w:val="358675F0"/>
    <w:rsid w:val="35B46497"/>
    <w:rsid w:val="35FB40C6"/>
    <w:rsid w:val="365B1201"/>
    <w:rsid w:val="367D0F7F"/>
    <w:rsid w:val="36AB40E2"/>
    <w:rsid w:val="36EC6E3D"/>
    <w:rsid w:val="36F646A5"/>
    <w:rsid w:val="36FB00F6"/>
    <w:rsid w:val="371C2E8E"/>
    <w:rsid w:val="373D426B"/>
    <w:rsid w:val="373D42AF"/>
    <w:rsid w:val="37411FAD"/>
    <w:rsid w:val="374C2700"/>
    <w:rsid w:val="37865C12"/>
    <w:rsid w:val="379522F8"/>
    <w:rsid w:val="37991DE9"/>
    <w:rsid w:val="37AB74C2"/>
    <w:rsid w:val="37CC5893"/>
    <w:rsid w:val="37F742DF"/>
    <w:rsid w:val="3814321D"/>
    <w:rsid w:val="38303DCF"/>
    <w:rsid w:val="386D0B7F"/>
    <w:rsid w:val="38807E5C"/>
    <w:rsid w:val="388F4AC7"/>
    <w:rsid w:val="38E36B3A"/>
    <w:rsid w:val="391334D5"/>
    <w:rsid w:val="39202096"/>
    <w:rsid w:val="396957EB"/>
    <w:rsid w:val="39A14F85"/>
    <w:rsid w:val="39FD5F33"/>
    <w:rsid w:val="3A015A23"/>
    <w:rsid w:val="3A271A13"/>
    <w:rsid w:val="3A2C579E"/>
    <w:rsid w:val="3A2D5EA0"/>
    <w:rsid w:val="3A52002D"/>
    <w:rsid w:val="3A56723A"/>
    <w:rsid w:val="3AAF64A1"/>
    <w:rsid w:val="3ABC7B9C"/>
    <w:rsid w:val="3B1E3282"/>
    <w:rsid w:val="3B1E6D71"/>
    <w:rsid w:val="3B2B731B"/>
    <w:rsid w:val="3B334302"/>
    <w:rsid w:val="3B47390A"/>
    <w:rsid w:val="3B7641EF"/>
    <w:rsid w:val="3B806E1C"/>
    <w:rsid w:val="3BB371F1"/>
    <w:rsid w:val="3BCE7B87"/>
    <w:rsid w:val="3C147E29"/>
    <w:rsid w:val="3C3D6ABB"/>
    <w:rsid w:val="3C5E51C3"/>
    <w:rsid w:val="3C7921E9"/>
    <w:rsid w:val="3C797AF3"/>
    <w:rsid w:val="3CB40EF3"/>
    <w:rsid w:val="3D0E02FD"/>
    <w:rsid w:val="3D346110"/>
    <w:rsid w:val="3D42082D"/>
    <w:rsid w:val="3D7B789B"/>
    <w:rsid w:val="3DC21146"/>
    <w:rsid w:val="3DC90BB8"/>
    <w:rsid w:val="3DD1570D"/>
    <w:rsid w:val="3DFA6FA5"/>
    <w:rsid w:val="3DFE5085"/>
    <w:rsid w:val="3E66679D"/>
    <w:rsid w:val="3EAF2D25"/>
    <w:rsid w:val="3EE71B56"/>
    <w:rsid w:val="3EEF20BD"/>
    <w:rsid w:val="3EF67B21"/>
    <w:rsid w:val="3F0D6C18"/>
    <w:rsid w:val="3F3B5533"/>
    <w:rsid w:val="3FAA090B"/>
    <w:rsid w:val="3FBA1790"/>
    <w:rsid w:val="3FBD063E"/>
    <w:rsid w:val="409F187F"/>
    <w:rsid w:val="41016D79"/>
    <w:rsid w:val="412F7925"/>
    <w:rsid w:val="41382B0D"/>
    <w:rsid w:val="41463C47"/>
    <w:rsid w:val="4148218A"/>
    <w:rsid w:val="417411D1"/>
    <w:rsid w:val="418A27A2"/>
    <w:rsid w:val="421B33FA"/>
    <w:rsid w:val="42415ACC"/>
    <w:rsid w:val="42507548"/>
    <w:rsid w:val="4296435D"/>
    <w:rsid w:val="42A54C0C"/>
    <w:rsid w:val="42CD1E63"/>
    <w:rsid w:val="43217A80"/>
    <w:rsid w:val="436D293E"/>
    <w:rsid w:val="43CA280D"/>
    <w:rsid w:val="43D917BF"/>
    <w:rsid w:val="44316F05"/>
    <w:rsid w:val="445552E9"/>
    <w:rsid w:val="4461660D"/>
    <w:rsid w:val="44C14DFA"/>
    <w:rsid w:val="45252F0E"/>
    <w:rsid w:val="45533F2D"/>
    <w:rsid w:val="457F63EC"/>
    <w:rsid w:val="45A73923"/>
    <w:rsid w:val="45AC718B"/>
    <w:rsid w:val="45B24076"/>
    <w:rsid w:val="45BC2AC4"/>
    <w:rsid w:val="45C73FC5"/>
    <w:rsid w:val="45F51402"/>
    <w:rsid w:val="45F6387B"/>
    <w:rsid w:val="4674757D"/>
    <w:rsid w:val="46CB1893"/>
    <w:rsid w:val="46D06EA9"/>
    <w:rsid w:val="46DF70EC"/>
    <w:rsid w:val="47044DA5"/>
    <w:rsid w:val="47061B43"/>
    <w:rsid w:val="473B58A4"/>
    <w:rsid w:val="47743CD8"/>
    <w:rsid w:val="480A3EF4"/>
    <w:rsid w:val="480F1EC9"/>
    <w:rsid w:val="48141018"/>
    <w:rsid w:val="486B6EDA"/>
    <w:rsid w:val="486D24D6"/>
    <w:rsid w:val="489939B2"/>
    <w:rsid w:val="48BD75E4"/>
    <w:rsid w:val="48DF5182"/>
    <w:rsid w:val="4904108C"/>
    <w:rsid w:val="49575660"/>
    <w:rsid w:val="498875C7"/>
    <w:rsid w:val="49C354C1"/>
    <w:rsid w:val="49D75781"/>
    <w:rsid w:val="49E54A1A"/>
    <w:rsid w:val="49EA3C1F"/>
    <w:rsid w:val="4A1A3609"/>
    <w:rsid w:val="4A396B13"/>
    <w:rsid w:val="4A4D25BF"/>
    <w:rsid w:val="4A647922"/>
    <w:rsid w:val="4AA246B9"/>
    <w:rsid w:val="4AD0206A"/>
    <w:rsid w:val="4B9C2AAE"/>
    <w:rsid w:val="4BF511BF"/>
    <w:rsid w:val="4C0B2731"/>
    <w:rsid w:val="4C0F3FD0"/>
    <w:rsid w:val="4C14361A"/>
    <w:rsid w:val="4C2E21F4"/>
    <w:rsid w:val="4C5806EA"/>
    <w:rsid w:val="4C7E73A7"/>
    <w:rsid w:val="4C9A69DF"/>
    <w:rsid w:val="4CDB65A8"/>
    <w:rsid w:val="4CFE5DF2"/>
    <w:rsid w:val="4D0E4287"/>
    <w:rsid w:val="4D3C320F"/>
    <w:rsid w:val="4DFA5872"/>
    <w:rsid w:val="4E3272FE"/>
    <w:rsid w:val="4E630603"/>
    <w:rsid w:val="4E8567CB"/>
    <w:rsid w:val="4E99027A"/>
    <w:rsid w:val="4EFB4CDF"/>
    <w:rsid w:val="4FCB2904"/>
    <w:rsid w:val="4FE6773D"/>
    <w:rsid w:val="4FE92D8A"/>
    <w:rsid w:val="503319D1"/>
    <w:rsid w:val="507C59AC"/>
    <w:rsid w:val="508D1E06"/>
    <w:rsid w:val="50DD28EE"/>
    <w:rsid w:val="51087240"/>
    <w:rsid w:val="510C31D4"/>
    <w:rsid w:val="514209A3"/>
    <w:rsid w:val="51594493"/>
    <w:rsid w:val="515A3FCC"/>
    <w:rsid w:val="519A6FAF"/>
    <w:rsid w:val="51CD5E78"/>
    <w:rsid w:val="51ED109E"/>
    <w:rsid w:val="52097713"/>
    <w:rsid w:val="525A3ACB"/>
    <w:rsid w:val="526F5A52"/>
    <w:rsid w:val="529D0C02"/>
    <w:rsid w:val="52B56CF8"/>
    <w:rsid w:val="52BB08C0"/>
    <w:rsid w:val="52D675F5"/>
    <w:rsid w:val="52F537F4"/>
    <w:rsid w:val="535B5D4C"/>
    <w:rsid w:val="53846D14"/>
    <w:rsid w:val="538F3C48"/>
    <w:rsid w:val="53B84F4D"/>
    <w:rsid w:val="545C7FCE"/>
    <w:rsid w:val="54AA19D8"/>
    <w:rsid w:val="54AB6860"/>
    <w:rsid w:val="54CE3AA7"/>
    <w:rsid w:val="54F2189F"/>
    <w:rsid w:val="554B062A"/>
    <w:rsid w:val="55CD2D3D"/>
    <w:rsid w:val="55E02539"/>
    <w:rsid w:val="55E55977"/>
    <w:rsid w:val="56243ACD"/>
    <w:rsid w:val="56B714EC"/>
    <w:rsid w:val="56D171F0"/>
    <w:rsid w:val="56D95B7F"/>
    <w:rsid w:val="57212E09"/>
    <w:rsid w:val="572528F9"/>
    <w:rsid w:val="57684EDC"/>
    <w:rsid w:val="57B675EE"/>
    <w:rsid w:val="57F55B48"/>
    <w:rsid w:val="583C23E5"/>
    <w:rsid w:val="585F3F28"/>
    <w:rsid w:val="589046EA"/>
    <w:rsid w:val="5895585D"/>
    <w:rsid w:val="58B6732D"/>
    <w:rsid w:val="58D2260D"/>
    <w:rsid w:val="58F46A27"/>
    <w:rsid w:val="591075D9"/>
    <w:rsid w:val="59407EBE"/>
    <w:rsid w:val="598558D1"/>
    <w:rsid w:val="5A074538"/>
    <w:rsid w:val="5A291E7A"/>
    <w:rsid w:val="5A3E4514"/>
    <w:rsid w:val="5A64198B"/>
    <w:rsid w:val="5A930319"/>
    <w:rsid w:val="5AB75F5E"/>
    <w:rsid w:val="5AF739D9"/>
    <w:rsid w:val="5B7756EE"/>
    <w:rsid w:val="5BAD54FC"/>
    <w:rsid w:val="5BB64468"/>
    <w:rsid w:val="5BCA586A"/>
    <w:rsid w:val="5BD90B93"/>
    <w:rsid w:val="5BE0486A"/>
    <w:rsid w:val="5BE82147"/>
    <w:rsid w:val="5BEB53B8"/>
    <w:rsid w:val="5BF3746A"/>
    <w:rsid w:val="5C34265F"/>
    <w:rsid w:val="5C515CA6"/>
    <w:rsid w:val="5C71038F"/>
    <w:rsid w:val="5CA40764"/>
    <w:rsid w:val="5CAD7D38"/>
    <w:rsid w:val="5D6C2870"/>
    <w:rsid w:val="5D6F2B20"/>
    <w:rsid w:val="5DAA1DAA"/>
    <w:rsid w:val="5DCA7D57"/>
    <w:rsid w:val="5DEA7F80"/>
    <w:rsid w:val="5E062D59"/>
    <w:rsid w:val="5E535813"/>
    <w:rsid w:val="5E8C7702"/>
    <w:rsid w:val="5E912F6A"/>
    <w:rsid w:val="5E9D755E"/>
    <w:rsid w:val="5EBD3D5F"/>
    <w:rsid w:val="5EE10C91"/>
    <w:rsid w:val="5F613D20"/>
    <w:rsid w:val="5F6F0083"/>
    <w:rsid w:val="5F906D7E"/>
    <w:rsid w:val="5FCF7F2F"/>
    <w:rsid w:val="601654D5"/>
    <w:rsid w:val="60553502"/>
    <w:rsid w:val="60732927"/>
    <w:rsid w:val="607A3D8D"/>
    <w:rsid w:val="60912DAE"/>
    <w:rsid w:val="60AD1DFC"/>
    <w:rsid w:val="60D6228D"/>
    <w:rsid w:val="60F56A97"/>
    <w:rsid w:val="61204131"/>
    <w:rsid w:val="61345439"/>
    <w:rsid w:val="615C160D"/>
    <w:rsid w:val="618C33ED"/>
    <w:rsid w:val="61A134C4"/>
    <w:rsid w:val="61A42FB4"/>
    <w:rsid w:val="626F711E"/>
    <w:rsid w:val="628E1C9B"/>
    <w:rsid w:val="62A67E37"/>
    <w:rsid w:val="63006FA7"/>
    <w:rsid w:val="630E06E5"/>
    <w:rsid w:val="633671EC"/>
    <w:rsid w:val="633769A9"/>
    <w:rsid w:val="63520F1A"/>
    <w:rsid w:val="635D069E"/>
    <w:rsid w:val="637B48FF"/>
    <w:rsid w:val="63843A67"/>
    <w:rsid w:val="638C790B"/>
    <w:rsid w:val="63E94CAF"/>
    <w:rsid w:val="640F1388"/>
    <w:rsid w:val="641E6E0A"/>
    <w:rsid w:val="64393E88"/>
    <w:rsid w:val="644C3C0E"/>
    <w:rsid w:val="6485002B"/>
    <w:rsid w:val="649E3CEB"/>
    <w:rsid w:val="64AF7CA6"/>
    <w:rsid w:val="64BA3F18"/>
    <w:rsid w:val="652F7039"/>
    <w:rsid w:val="65856C59"/>
    <w:rsid w:val="65956E9C"/>
    <w:rsid w:val="6597768B"/>
    <w:rsid w:val="65D11E9E"/>
    <w:rsid w:val="66285F62"/>
    <w:rsid w:val="663A7A43"/>
    <w:rsid w:val="665A078F"/>
    <w:rsid w:val="66666A8A"/>
    <w:rsid w:val="666735ED"/>
    <w:rsid w:val="669F6056"/>
    <w:rsid w:val="670E33AA"/>
    <w:rsid w:val="67786A75"/>
    <w:rsid w:val="680F6B7F"/>
    <w:rsid w:val="681A5D7E"/>
    <w:rsid w:val="68264723"/>
    <w:rsid w:val="683F57E5"/>
    <w:rsid w:val="6884144A"/>
    <w:rsid w:val="688F22C8"/>
    <w:rsid w:val="68F774D8"/>
    <w:rsid w:val="691E5BA6"/>
    <w:rsid w:val="69277AD1"/>
    <w:rsid w:val="695D23C7"/>
    <w:rsid w:val="69992CD3"/>
    <w:rsid w:val="69A60125"/>
    <w:rsid w:val="69AB1384"/>
    <w:rsid w:val="69C53AC8"/>
    <w:rsid w:val="69C9180A"/>
    <w:rsid w:val="6A2829D5"/>
    <w:rsid w:val="6AAD4C88"/>
    <w:rsid w:val="6AD246EE"/>
    <w:rsid w:val="6AE85CC0"/>
    <w:rsid w:val="6B0A20DA"/>
    <w:rsid w:val="6B144D07"/>
    <w:rsid w:val="6B301415"/>
    <w:rsid w:val="6B4A0469"/>
    <w:rsid w:val="6B5B46E4"/>
    <w:rsid w:val="6B9136FA"/>
    <w:rsid w:val="6BDF5315"/>
    <w:rsid w:val="6BDF70C3"/>
    <w:rsid w:val="6BEF1186"/>
    <w:rsid w:val="6BF574DE"/>
    <w:rsid w:val="6C3D4C22"/>
    <w:rsid w:val="6C5D448C"/>
    <w:rsid w:val="6C6677E4"/>
    <w:rsid w:val="6C6F3F6B"/>
    <w:rsid w:val="6C8726F7"/>
    <w:rsid w:val="6C8D26AC"/>
    <w:rsid w:val="6CCF5389"/>
    <w:rsid w:val="6D0D7DE6"/>
    <w:rsid w:val="6D592EA5"/>
    <w:rsid w:val="6D797533"/>
    <w:rsid w:val="6D921C73"/>
    <w:rsid w:val="6DB36A59"/>
    <w:rsid w:val="6DCA1A0F"/>
    <w:rsid w:val="6DCE3893"/>
    <w:rsid w:val="6E000616"/>
    <w:rsid w:val="6E494CC8"/>
    <w:rsid w:val="6E5555DC"/>
    <w:rsid w:val="6EA36ACE"/>
    <w:rsid w:val="6EB505AF"/>
    <w:rsid w:val="6F3E67F6"/>
    <w:rsid w:val="6F5979D7"/>
    <w:rsid w:val="6F871F4B"/>
    <w:rsid w:val="6FA84376"/>
    <w:rsid w:val="70087110"/>
    <w:rsid w:val="70877D29"/>
    <w:rsid w:val="70903082"/>
    <w:rsid w:val="70D17DAD"/>
    <w:rsid w:val="71070737"/>
    <w:rsid w:val="710E3FA6"/>
    <w:rsid w:val="713752AB"/>
    <w:rsid w:val="716D5171"/>
    <w:rsid w:val="71A0360A"/>
    <w:rsid w:val="71AF7537"/>
    <w:rsid w:val="71CF3736"/>
    <w:rsid w:val="71DE606F"/>
    <w:rsid w:val="721C704C"/>
    <w:rsid w:val="72200435"/>
    <w:rsid w:val="724100D7"/>
    <w:rsid w:val="72DE0805"/>
    <w:rsid w:val="735071F1"/>
    <w:rsid w:val="73531A5A"/>
    <w:rsid w:val="73702CF6"/>
    <w:rsid w:val="74324450"/>
    <w:rsid w:val="74B02CFC"/>
    <w:rsid w:val="74CE5F27"/>
    <w:rsid w:val="754129C7"/>
    <w:rsid w:val="75610B49"/>
    <w:rsid w:val="75B5062A"/>
    <w:rsid w:val="75F145C2"/>
    <w:rsid w:val="76275304"/>
    <w:rsid w:val="765B5EE0"/>
    <w:rsid w:val="76901DB2"/>
    <w:rsid w:val="76A01B45"/>
    <w:rsid w:val="76EC2159"/>
    <w:rsid w:val="76FB1E6F"/>
    <w:rsid w:val="774921DC"/>
    <w:rsid w:val="775070C7"/>
    <w:rsid w:val="775F555C"/>
    <w:rsid w:val="78216CB5"/>
    <w:rsid w:val="78250553"/>
    <w:rsid w:val="78283BA0"/>
    <w:rsid w:val="784E052B"/>
    <w:rsid w:val="785250C1"/>
    <w:rsid w:val="78570929"/>
    <w:rsid w:val="78882890"/>
    <w:rsid w:val="78911745"/>
    <w:rsid w:val="789D7B19"/>
    <w:rsid w:val="78E57CE3"/>
    <w:rsid w:val="78EB3317"/>
    <w:rsid w:val="79254583"/>
    <w:rsid w:val="792C3B64"/>
    <w:rsid w:val="7936053E"/>
    <w:rsid w:val="793D367B"/>
    <w:rsid w:val="795A247F"/>
    <w:rsid w:val="79D33FDF"/>
    <w:rsid w:val="79F0693F"/>
    <w:rsid w:val="79FF06C1"/>
    <w:rsid w:val="7A186697"/>
    <w:rsid w:val="7A1F0FD2"/>
    <w:rsid w:val="7A2931E5"/>
    <w:rsid w:val="7A6C60B4"/>
    <w:rsid w:val="7A811C8D"/>
    <w:rsid w:val="7A9B4AFD"/>
    <w:rsid w:val="7AA8546C"/>
    <w:rsid w:val="7AEC0927"/>
    <w:rsid w:val="7AFD4C76"/>
    <w:rsid w:val="7B7F61CD"/>
    <w:rsid w:val="7B931C78"/>
    <w:rsid w:val="7BDD535C"/>
    <w:rsid w:val="7BF344C5"/>
    <w:rsid w:val="7BFD0038"/>
    <w:rsid w:val="7BFD5343"/>
    <w:rsid w:val="7C0861C2"/>
    <w:rsid w:val="7CA659DB"/>
    <w:rsid w:val="7CAA2823"/>
    <w:rsid w:val="7CC16371"/>
    <w:rsid w:val="7CC3033B"/>
    <w:rsid w:val="7CD17DB6"/>
    <w:rsid w:val="7CDE6F23"/>
    <w:rsid w:val="7CEA105F"/>
    <w:rsid w:val="7CF46746"/>
    <w:rsid w:val="7CF91FAF"/>
    <w:rsid w:val="7D8A0E59"/>
    <w:rsid w:val="7DAE00ED"/>
    <w:rsid w:val="7DBA7990"/>
    <w:rsid w:val="7DE7443E"/>
    <w:rsid w:val="7E0E1A8A"/>
    <w:rsid w:val="7E3C2153"/>
    <w:rsid w:val="7E3F39F1"/>
    <w:rsid w:val="7E470887"/>
    <w:rsid w:val="7E555ACA"/>
    <w:rsid w:val="7E5971A9"/>
    <w:rsid w:val="7ECE4181"/>
    <w:rsid w:val="7EFC3D40"/>
    <w:rsid w:val="7F1F3593"/>
    <w:rsid w:val="7F495B19"/>
    <w:rsid w:val="7F9935D5"/>
    <w:rsid w:val="7F9E4FC7"/>
    <w:rsid w:val="7FC0534C"/>
    <w:rsid w:val="7FE505C8"/>
    <w:rsid w:val="7FF372C7"/>
    <w:rsid w:val="7FFF16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1"/>
    <w:pPr>
      <w:spacing w:before="14"/>
      <w:outlineLvl w:val="1"/>
    </w:pPr>
    <w:rPr>
      <w:rFonts w:ascii="宋体" w:hAnsi="宋体" w:eastAsia="宋体"/>
      <w:b/>
      <w:bCs/>
      <w:sz w:val="28"/>
      <w:szCs w:val="28"/>
    </w:rPr>
  </w:style>
  <w:style w:type="paragraph" w:styleId="4">
    <w:name w:val="heading 4"/>
    <w:basedOn w:val="1"/>
    <w:next w:val="5"/>
    <w:qFormat/>
    <w:uiPriority w:val="0"/>
    <w:pPr>
      <w:keepNext/>
      <w:widowControl/>
      <w:jc w:val="center"/>
      <w:outlineLvl w:val="3"/>
    </w:pPr>
    <w:rPr>
      <w:rFonts w:ascii="Arial Black" w:hAnsi="Arial Black"/>
      <w:kern w:val="0"/>
      <w:sz w:val="32"/>
      <w:szCs w:val="20"/>
    </w:rPr>
  </w:style>
  <w:style w:type="character" w:default="1" w:styleId="17">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5">
    <w:name w:val="Normal Indent"/>
    <w:basedOn w:val="1"/>
    <w:next w:val="4"/>
    <w:qFormat/>
    <w:uiPriority w:val="0"/>
    <w:pPr>
      <w:adjustRightInd w:val="0"/>
      <w:spacing w:line="360" w:lineRule="atLeast"/>
      <w:ind w:left="480"/>
      <w:textAlignment w:val="baseline"/>
    </w:pPr>
    <w:rPr>
      <w:kern w:val="0"/>
    </w:rPr>
  </w:style>
  <w:style w:type="paragraph" w:styleId="6">
    <w:name w:val="Body Text"/>
    <w:basedOn w:val="1"/>
    <w:next w:val="1"/>
    <w:qFormat/>
    <w:uiPriority w:val="0"/>
    <w:pPr>
      <w:spacing w:after="120"/>
    </w:pPr>
    <w:rPr>
      <w:szCs w:val="24"/>
    </w:rPr>
  </w:style>
  <w:style w:type="paragraph" w:styleId="7">
    <w:name w:val="Body Text Indent"/>
    <w:basedOn w:val="1"/>
    <w:next w:val="8"/>
    <w:qFormat/>
    <w:uiPriority w:val="0"/>
    <w:pPr>
      <w:spacing w:line="440" w:lineRule="exact"/>
      <w:ind w:firstLine="552" w:firstLineChars="230"/>
    </w:pPr>
    <w:rPr>
      <w:rFonts w:ascii="宋体" w:hAnsi="宋体"/>
      <w:sz w:val="24"/>
    </w:rPr>
  </w:style>
  <w:style w:type="paragraph" w:styleId="8">
    <w:name w:val="toc 3"/>
    <w:basedOn w:val="1"/>
    <w:next w:val="1"/>
    <w:unhideWhenUsed/>
    <w:qFormat/>
    <w:uiPriority w:val="39"/>
    <w:pPr>
      <w:spacing w:before="0" w:after="100" w:line="276" w:lineRule="auto"/>
      <w:ind w:left="440" w:firstLine="0" w:firstLineChars="0"/>
    </w:pPr>
    <w:rPr>
      <w:sz w:val="22"/>
      <w:szCs w:val="22"/>
    </w:rPr>
  </w:style>
  <w:style w:type="paragraph" w:styleId="9">
    <w:name w:val="Balloon Text"/>
    <w:basedOn w:val="1"/>
    <w:link w:val="22"/>
    <w:unhideWhenUsed/>
    <w:qFormat/>
    <w:uiPriority w:val="99"/>
    <w:rPr>
      <w:sz w:val="18"/>
      <w:szCs w:val="18"/>
    </w:rPr>
  </w:style>
  <w:style w:type="paragraph" w:styleId="10">
    <w:name w:val="footer"/>
    <w:basedOn w:val="1"/>
    <w:link w:val="21"/>
    <w:unhideWhenUsed/>
    <w:qFormat/>
    <w:uiPriority w:val="99"/>
    <w:pPr>
      <w:tabs>
        <w:tab w:val="center" w:pos="4153"/>
        <w:tab w:val="right" w:pos="8306"/>
      </w:tabs>
      <w:snapToGrid w:val="0"/>
      <w:jc w:val="left"/>
    </w:pPr>
    <w:rPr>
      <w:sz w:val="18"/>
      <w:szCs w:val="18"/>
    </w:rPr>
  </w:style>
  <w:style w:type="paragraph" w:styleId="11">
    <w:name w:val="header"/>
    <w:basedOn w:val="1"/>
    <w:next w:val="1"/>
    <w:link w:val="20"/>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widowControl/>
      <w:spacing w:before="100" w:beforeLines="0" w:beforeAutospacing="1" w:after="100" w:afterLines="0" w:afterAutospacing="1"/>
      <w:jc w:val="left"/>
    </w:pPr>
    <w:rPr>
      <w:rFonts w:ascii="宋体" w:hAnsi="宋体"/>
      <w:kern w:val="0"/>
      <w:sz w:val="24"/>
      <w:lang w:val="en-US"/>
    </w:rPr>
  </w:style>
  <w:style w:type="paragraph" w:styleId="13">
    <w:name w:val="Title"/>
    <w:basedOn w:val="1"/>
    <w:next w:val="1"/>
    <w:qFormat/>
    <w:uiPriority w:val="0"/>
    <w:pPr>
      <w:spacing w:before="240" w:after="60"/>
      <w:jc w:val="center"/>
      <w:outlineLvl w:val="0"/>
    </w:pPr>
    <w:rPr>
      <w:rFonts w:ascii="Cambria" w:hAnsi="Cambria"/>
      <w:b/>
      <w:bCs/>
      <w:sz w:val="32"/>
      <w:szCs w:val="32"/>
    </w:rPr>
  </w:style>
  <w:style w:type="paragraph" w:styleId="14">
    <w:name w:val="Body Text First Indent 2"/>
    <w:basedOn w:val="7"/>
    <w:next w:val="1"/>
    <w:unhideWhenUsed/>
    <w:qFormat/>
    <w:uiPriority w:val="99"/>
    <w:pPr>
      <w:ind w:firstLine="420" w:firstLineChars="200"/>
    </w:pPr>
    <w:rPr>
      <w:szCs w:val="24"/>
    </w:rPr>
  </w:style>
  <w:style w:type="table" w:styleId="16">
    <w:name w:val="Table Grid"/>
    <w:basedOn w:val="1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qFormat/>
    <w:uiPriority w:val="0"/>
    <w:rPr>
      <w:color w:val="338DE6"/>
      <w:u w:val="none"/>
    </w:rPr>
  </w:style>
  <w:style w:type="paragraph" w:customStyle="1" w:styleId="19">
    <w:name w:val="正文 首行缩进:  2 字符"/>
    <w:basedOn w:val="1"/>
    <w:qFormat/>
    <w:uiPriority w:val="0"/>
    <w:pPr>
      <w:ind w:firstLine="200" w:firstLineChars="200"/>
    </w:pPr>
    <w:rPr>
      <w:rFonts w:cs="宋体"/>
      <w:sz w:val="24"/>
      <w:szCs w:val="20"/>
    </w:rPr>
  </w:style>
  <w:style w:type="character" w:customStyle="1" w:styleId="20">
    <w:name w:val="页眉 Char"/>
    <w:basedOn w:val="17"/>
    <w:link w:val="11"/>
    <w:qFormat/>
    <w:uiPriority w:val="99"/>
    <w:rPr>
      <w:rFonts w:ascii="Times New Roman" w:hAnsi="Times New Roman" w:eastAsia="宋体" w:cs="Times New Roman"/>
      <w:sz w:val="18"/>
      <w:szCs w:val="18"/>
    </w:rPr>
  </w:style>
  <w:style w:type="character" w:customStyle="1" w:styleId="21">
    <w:name w:val="页脚 Char"/>
    <w:basedOn w:val="17"/>
    <w:link w:val="10"/>
    <w:qFormat/>
    <w:uiPriority w:val="99"/>
    <w:rPr>
      <w:rFonts w:ascii="Times New Roman" w:hAnsi="Times New Roman" w:eastAsia="宋体" w:cs="Times New Roman"/>
      <w:sz w:val="18"/>
      <w:szCs w:val="18"/>
    </w:rPr>
  </w:style>
  <w:style w:type="character" w:customStyle="1" w:styleId="22">
    <w:name w:val="批注框文本 Char"/>
    <w:basedOn w:val="17"/>
    <w:link w:val="9"/>
    <w:semiHidden/>
    <w:qFormat/>
    <w:uiPriority w:val="99"/>
    <w:rPr>
      <w:rFonts w:ascii="Times New Roman" w:hAnsi="Times New Roman" w:eastAsia="宋体" w:cs="Times New Roman"/>
      <w:sz w:val="18"/>
      <w:szCs w:val="18"/>
    </w:rPr>
  </w:style>
  <w:style w:type="character" w:customStyle="1" w:styleId="23">
    <w:name w:val="Char Char1"/>
    <w:qFormat/>
    <w:locked/>
    <w:uiPriority w:val="0"/>
    <w:rPr>
      <w:rFonts w:hint="eastAsia" w:ascii="宋体" w:hAnsi="Courier New" w:eastAsia="宋体"/>
      <w:kern w:val="2"/>
      <w:sz w:val="21"/>
      <w:lang w:val="en-US" w:eastAsia="zh-CN" w:bidi="ar-SA"/>
    </w:rPr>
  </w:style>
  <w:style w:type="paragraph" w:customStyle="1" w:styleId="2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12729</Words>
  <Characters>14151</Characters>
  <Lines>1</Lines>
  <Paragraphs>1</Paragraphs>
  <TotalTime>9</TotalTime>
  <ScaleCrop>false</ScaleCrop>
  <LinksUpToDate>false</LinksUpToDate>
  <CharactersWithSpaces>14544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周文迋</cp:lastModifiedBy>
  <dcterms:modified xsi:type="dcterms:W3CDTF">2023-02-18T08:19:09Z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2052-11.1.0.13703</vt:lpwstr>
  </property>
</Properties>
</file>