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沧州金特五金制造有限公司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南皮县冯家口镇后上桥村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南皮县冯家口镇后上桥村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冷树林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13582755833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mail@czjinte.com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  <w:r>
              <w:rPr>
                <w:sz w:val="21"/>
                <w:szCs w:val="21"/>
              </w:rPr>
              <w:t>冷树林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  <w:r>
              <w:rPr>
                <w:sz w:val="21"/>
                <w:szCs w:val="21"/>
              </w:rPr>
              <w:t>13582755833</w:t>
            </w:r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0140-2023-QE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Q：五金冲压件（含汽车零件）的加工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E：五金冲压件（含汽车零件）的加工所涉及场所的相关环境管理活动</w:t>
            </w:r>
            <w:bookmarkEnd w:id="24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Q：17.09.00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E：17.09.00</w:t>
            </w:r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GB/T45001-2020/ISO45001：2018标准 </w:t>
            </w:r>
            <w:bookmarkStart w:id="30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2023年02月18日 上午至2023年02月19日 下午</w:t>
            </w:r>
            <w:bookmarkEnd w:id="33"/>
            <w:r>
              <w:rPr>
                <w:rFonts w:hint="eastAsia"/>
                <w:b/>
                <w:sz w:val="20"/>
              </w:rPr>
              <w:t>(共</w:t>
            </w:r>
            <w:bookmarkStart w:id="34" w:name="审核天数"/>
            <w:r>
              <w:rPr>
                <w:rFonts w:hint="eastAsia"/>
                <w:b/>
                <w:sz w:val="20"/>
              </w:rPr>
              <w:t>2.0</w:t>
            </w:r>
            <w:bookmarkEnd w:id="34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强兴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2020-N1QMS-1263375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2020-N1EMS-1263375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Q:17.09.00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E:17.09.00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15353547891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张星</w:t>
            </w: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2020-N1QMS-1263722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2020-N1EMS-1263722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Q:17.09.00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E:17.09.00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13731692448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强兴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李凤娟</w:t>
            </w:r>
            <w:bookmarkEnd w:id="35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15353547891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2023.2.17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2023.2.17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2023.2.17</w:t>
            </w:r>
          </w:p>
        </w:tc>
      </w:tr>
    </w:tbl>
    <w:p>
      <w:bookmarkStart w:id="36" w:name="_GoBack"/>
      <w:bookmarkEnd w:id="36"/>
      <w:r>
        <w:rPr>
          <w:rFonts w:hint="eastAsia" w:ascii="宋体" w:hAnsi="宋体" w:eastAsia="宋体"/>
          <w:b/>
          <w:sz w:val="21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-438785</wp:posOffset>
            </wp:positionH>
            <wp:positionV relativeFrom="paragraph">
              <wp:posOffset>-685800</wp:posOffset>
            </wp:positionV>
            <wp:extent cx="7315835" cy="9930765"/>
            <wp:effectExtent l="0" t="0" r="12065" b="635"/>
            <wp:wrapNone/>
            <wp:docPr id="1" name="图片 1" descr="微信图片_202302231550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30223155014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15835" cy="9930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6"/>
        <w:tblpPr w:leftFromText="180" w:rightFromText="180" w:vertAnchor="text" w:horzAnchor="page" w:tblpX="1044" w:tblpY="418"/>
        <w:tblOverlap w:val="never"/>
        <w:tblW w:w="10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1200"/>
        <w:gridCol w:w="1124"/>
        <w:gridCol w:w="6012"/>
        <w:gridCol w:w="1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20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45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0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12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601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过程涉及条款</w:t>
            </w:r>
          </w:p>
        </w:tc>
        <w:tc>
          <w:tcPr>
            <w:tcW w:w="1039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45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default" w:ascii="仿宋" w:hAnsi="仿宋" w:eastAsia="仿宋" w:cs="仿宋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1"/>
                <w:szCs w:val="21"/>
                <w:lang w:val="en-US" w:eastAsia="zh-CN"/>
              </w:rPr>
              <w:t>2023.2.18</w:t>
            </w:r>
          </w:p>
          <w:p>
            <w:pPr>
              <w:spacing w:line="280" w:lineRule="exact"/>
              <w:jc w:val="left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1"/>
                <w:szCs w:val="21"/>
                <w:lang w:val="en-US" w:eastAsia="zh-CN"/>
              </w:rPr>
              <w:t>午餐：12:00--13：00</w:t>
            </w:r>
          </w:p>
        </w:tc>
        <w:tc>
          <w:tcPr>
            <w:tcW w:w="1200" w:type="dxa"/>
          </w:tcPr>
          <w:p>
            <w:pPr>
              <w:snapToGrid w:val="0"/>
              <w:spacing w:line="320" w:lineRule="exact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-9：00</w:t>
            </w:r>
          </w:p>
        </w:tc>
        <w:tc>
          <w:tcPr>
            <w:tcW w:w="1124" w:type="dxa"/>
          </w:tcPr>
          <w:p>
            <w:pPr>
              <w:spacing w:line="300" w:lineRule="exact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6012" w:type="dxa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039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45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snapToGrid w:val="0"/>
              <w:spacing w:line="320" w:lineRule="exact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9：00-14：30</w:t>
            </w:r>
          </w:p>
        </w:tc>
        <w:tc>
          <w:tcPr>
            <w:tcW w:w="1124" w:type="dxa"/>
          </w:tcPr>
          <w:p>
            <w:pPr>
              <w:spacing w:line="300" w:lineRule="exact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6012" w:type="dxa"/>
          </w:tcPr>
          <w:p>
            <w:pPr>
              <w:adjustRightInd w:val="0"/>
              <w:snapToGrid w:val="0"/>
              <w:ind w:right="120" w:rightChars="50"/>
              <w:textAlignment w:val="baseline"/>
              <w:rPr>
                <w:rFonts w:hint="eastAsia" w:ascii="仿宋" w:hAnsi="仿宋" w:eastAsia="仿宋" w:cs="仿宋"/>
                <w:spacing w:val="-6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6"/>
                <w:sz w:val="21"/>
                <w:szCs w:val="21"/>
              </w:rPr>
              <w:t>QE:4.1理解组织及其环境、4.2理解相关方的需求和期望、4.3 确定管理体系的范围、4.4质量/环境/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职业健康</w:t>
            </w:r>
            <w:r>
              <w:rPr>
                <w:rFonts w:hint="eastAsia" w:ascii="仿宋" w:hAnsi="仿宋" w:eastAsia="仿宋" w:cs="仿宋"/>
                <w:spacing w:val="-6"/>
                <w:sz w:val="21"/>
                <w:szCs w:val="21"/>
              </w:rPr>
              <w:t>安全管理体系及其过程、5.1领导作用和承诺、5.2质量/环境/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职业健康</w:t>
            </w:r>
            <w:r>
              <w:rPr>
                <w:rFonts w:hint="eastAsia" w:ascii="仿宋" w:hAnsi="仿宋" w:eastAsia="仿宋" w:cs="仿宋"/>
                <w:spacing w:val="-6"/>
                <w:sz w:val="21"/>
                <w:szCs w:val="21"/>
              </w:rPr>
              <w:t>安全方针、5.3组织的岗位、职责和权限、6.1应对风险和机遇的措施、6.2质量/环境/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职业健康</w:t>
            </w:r>
            <w:r>
              <w:rPr>
                <w:rFonts w:hint="eastAsia" w:ascii="仿宋" w:hAnsi="仿宋" w:eastAsia="仿宋" w:cs="仿宋"/>
                <w:spacing w:val="-6"/>
                <w:sz w:val="21"/>
                <w:szCs w:val="21"/>
              </w:rPr>
              <w:t>安全目标及其实现的策划</w:t>
            </w:r>
            <w:r>
              <w:rPr>
                <w:rFonts w:hint="eastAsia" w:ascii="仿宋" w:hAnsi="仿宋" w:eastAsia="仿宋" w:cs="仿宋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pacing w:val="-6"/>
                <w:sz w:val="21"/>
                <w:szCs w:val="21"/>
                <w:lang w:val="en-US" w:eastAsia="zh-CN"/>
              </w:rPr>
              <w:t>Q</w:t>
            </w:r>
            <w:r>
              <w:rPr>
                <w:rFonts w:hint="eastAsia" w:ascii="仿宋" w:hAnsi="仿宋" w:eastAsia="仿宋" w:cs="仿宋"/>
                <w:spacing w:val="-6"/>
                <w:sz w:val="21"/>
                <w:szCs w:val="21"/>
              </w:rPr>
              <w:t>6.3变更的策划、7.1.1（E7.1）资源总则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pacing w:val="-6"/>
                <w:sz w:val="21"/>
                <w:szCs w:val="21"/>
                <w:lang w:val="en-US" w:eastAsia="zh-CN"/>
              </w:rPr>
              <w:t>9.1（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9.1.1监视、测量、分析和评价总则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="仿宋" w:hAnsi="仿宋" w:eastAsia="仿宋" w:cs="仿宋"/>
                <w:spacing w:val="-6"/>
                <w:sz w:val="21"/>
                <w:szCs w:val="21"/>
              </w:rPr>
              <w:t>9.3管理评审、10.1改进、10.3持续改进</w:t>
            </w:r>
          </w:p>
          <w:p>
            <w:pPr>
              <w:adjustRightInd w:val="0"/>
              <w:snapToGrid w:val="0"/>
              <w:ind w:right="120" w:rightChars="50"/>
              <w:textAlignment w:val="baseline"/>
              <w:rPr>
                <w:rFonts w:hint="eastAsia" w:ascii="仿宋" w:hAnsi="仿宋" w:eastAsia="仿宋" w:cs="仿宋"/>
                <w:spacing w:val="-6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6"/>
                <w:sz w:val="21"/>
                <w:szCs w:val="21"/>
              </w:rPr>
              <w:t>国家/地方监督抽查情况；顾客满意、相关方投诉及处理情况；一阶段问题验证</w:t>
            </w:r>
          </w:p>
          <w:p>
            <w:pPr>
              <w:adjustRightInd w:val="0"/>
              <w:snapToGrid w:val="0"/>
              <w:ind w:right="120" w:rightChars="50"/>
              <w:textAlignment w:val="baseline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6"/>
                <w:sz w:val="21"/>
                <w:szCs w:val="21"/>
              </w:rPr>
              <w:t>验证企业相关资质证明的有效性；</w:t>
            </w:r>
          </w:p>
        </w:tc>
        <w:tc>
          <w:tcPr>
            <w:tcW w:w="1039" w:type="dxa"/>
            <w:tcBorders>
              <w:right w:val="single" w:color="auto" w:sz="8" w:space="0"/>
            </w:tcBorders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45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1200" w:type="dxa"/>
          </w:tcPr>
          <w:p>
            <w:pPr>
              <w:snapToGrid w:val="0"/>
              <w:spacing w:line="320" w:lineRule="exact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9：00-17：30</w:t>
            </w:r>
          </w:p>
        </w:tc>
        <w:tc>
          <w:tcPr>
            <w:tcW w:w="1124" w:type="dxa"/>
            <w:vAlign w:val="top"/>
          </w:tcPr>
          <w:p>
            <w:pPr>
              <w:spacing w:line="300" w:lineRule="exact"/>
              <w:rPr>
                <w:rFonts w:hint="default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办公室</w:t>
            </w:r>
          </w:p>
        </w:tc>
        <w:tc>
          <w:tcPr>
            <w:tcW w:w="6012" w:type="dxa"/>
            <w:vAlign w:val="top"/>
          </w:tcPr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QMS: 5.3组</w:t>
            </w:r>
            <w:r>
              <w:rPr>
                <w:rFonts w:hint="eastAsia" w:ascii="仿宋" w:hAnsi="仿宋" w:eastAsia="仿宋" w:cs="仿宋"/>
                <w:spacing w:val="-6"/>
                <w:sz w:val="21"/>
                <w:szCs w:val="21"/>
              </w:rPr>
              <w:t>织的岗位、职责和权限、6.2质量目标、7.1.2人员</w:t>
            </w:r>
            <w:r>
              <w:rPr>
                <w:rFonts w:hint="eastAsia" w:ascii="仿宋" w:hAnsi="仿宋" w:eastAsia="仿宋" w:cs="仿宋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pacing w:val="-6"/>
                <w:sz w:val="21"/>
                <w:szCs w:val="21"/>
                <w:lang w:val="en-US" w:eastAsia="zh-CN"/>
              </w:rPr>
              <w:t>7.1.6</w:t>
            </w:r>
            <w:r>
              <w:rPr>
                <w:rFonts w:hint="eastAsia" w:ascii="仿宋" w:hAnsi="仿宋" w:eastAsia="仿宋" w:cs="仿宋"/>
                <w:spacing w:val="-6"/>
                <w:sz w:val="21"/>
                <w:szCs w:val="21"/>
              </w:rPr>
              <w:t>组织的知识</w:t>
            </w:r>
            <w:r>
              <w:rPr>
                <w:rFonts w:hint="eastAsia" w:ascii="仿宋" w:hAnsi="仿宋" w:eastAsia="仿宋" w:cs="仿宋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pacing w:val="-6"/>
                <w:sz w:val="21"/>
                <w:szCs w:val="21"/>
              </w:rPr>
              <w:t>7.2能力、7.3意识、7.4沟通</w:t>
            </w:r>
            <w:r>
              <w:rPr>
                <w:rFonts w:hint="eastAsia" w:ascii="仿宋" w:hAnsi="仿宋" w:eastAsia="仿宋" w:cs="仿宋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pacing w:val="-6"/>
                <w:sz w:val="21"/>
                <w:szCs w:val="21"/>
                <w:lang w:val="en-US" w:eastAsia="zh-CN"/>
              </w:rPr>
              <w:t>7.5成文</w:t>
            </w:r>
            <w:r>
              <w:rPr>
                <w:rFonts w:hint="eastAsia" w:ascii="仿宋" w:hAnsi="仿宋" w:eastAsia="仿宋" w:cs="仿宋"/>
                <w:spacing w:val="-6"/>
                <w:sz w:val="21"/>
                <w:szCs w:val="21"/>
              </w:rPr>
              <w:t>信息</w:t>
            </w:r>
            <w:r>
              <w:rPr>
                <w:rFonts w:hint="eastAsia" w:ascii="仿宋" w:hAnsi="仿宋" w:eastAsia="仿宋" w:cs="仿宋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pacing w:val="-6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pacing w:val="-6"/>
                <w:sz w:val="21"/>
                <w:szCs w:val="21"/>
              </w:rPr>
              <w:t>.2产品和服务的要求、8.4外部提供过程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、产品和服务的控制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8.5.3顾客或外部供方的财产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8.5.5交付后的活动、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8.5.6生产和服务提供的更改控制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9.1.2顾客满意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9.2 内部审核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10.2不合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格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和纠正措施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。</w:t>
            </w:r>
          </w:p>
          <w:p>
            <w:pPr>
              <w:spacing w:line="280" w:lineRule="exac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EMS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5.3组织的岗位、职责和权限、6.1.2环境因素的辨识与评价、6.1.3合规义务、6.1.4措施的策划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6.2.1环境目标、6.2.2实现环境目标措施的策划、7.2能力、7.3意识、</w:t>
            </w:r>
            <w:r>
              <w:rPr>
                <w:rFonts w:hint="eastAsia" w:ascii="仿宋" w:hAnsi="仿宋" w:eastAsia="仿宋" w:cs="仿宋"/>
                <w:spacing w:val="-6"/>
                <w:sz w:val="21"/>
                <w:szCs w:val="21"/>
              </w:rPr>
              <w:t>7.4信息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交流、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7.5文件化信息、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8.1运行策划和控制、8.2应急准备和响应、9.1.2合规性评价、9.2 内部审核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10.2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事件、不符合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和纠正措施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spacing w:val="-6"/>
                <w:sz w:val="21"/>
                <w:szCs w:val="21"/>
              </w:rPr>
              <w:t>EMS运行控制相关财务支出证据</w:t>
            </w:r>
            <w:r>
              <w:rPr>
                <w:rFonts w:hint="eastAsia" w:ascii="仿宋" w:hAnsi="仿宋" w:eastAsia="仿宋" w:cs="仿宋"/>
                <w:spacing w:val="-6"/>
                <w:sz w:val="21"/>
                <w:szCs w:val="21"/>
                <w:lang w:val="en-US" w:eastAsia="zh-CN"/>
              </w:rPr>
              <w:t>；</w:t>
            </w:r>
          </w:p>
        </w:tc>
        <w:tc>
          <w:tcPr>
            <w:tcW w:w="1039" w:type="dxa"/>
            <w:tcBorders>
              <w:right w:val="single" w:color="auto" w:sz="8" w:space="0"/>
            </w:tcBorders>
            <w:vAlign w:val="top"/>
          </w:tcPr>
          <w:p>
            <w:pPr>
              <w:spacing w:line="280" w:lineRule="exact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45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仿宋" w:hAnsi="仿宋" w:eastAsia="仿宋" w:cs="仿宋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1200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14：30-17：30</w:t>
            </w:r>
          </w:p>
        </w:tc>
        <w:tc>
          <w:tcPr>
            <w:tcW w:w="1124" w:type="dxa"/>
            <w:vAlign w:val="top"/>
          </w:tcPr>
          <w:p>
            <w:pPr>
              <w:spacing w:line="300" w:lineRule="exact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生产部</w:t>
            </w:r>
          </w:p>
        </w:tc>
        <w:tc>
          <w:tcPr>
            <w:tcW w:w="6012" w:type="dxa"/>
            <w:vAlign w:val="top"/>
          </w:tcPr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QMS:5.3组织的岗位、职责和权限、6.2质量目标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7.1.3基础设施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7.1.4过程运行环境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8.1运行策划和控制、8.3产品和服务的设计和开发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不适用确认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、8.5.1生产和服务提供的控制、8.5.2产品标识和可追朔性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8.5.4产品防护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EMS: 5.3组织的岗位、职责和权限、6.2环境与职业健康安全目标、6.1.2环境因素/危险源辨识与评价、8.1运行策划和控制、8.2应急准备和响应</w:t>
            </w:r>
          </w:p>
        </w:tc>
        <w:tc>
          <w:tcPr>
            <w:tcW w:w="1039" w:type="dxa"/>
            <w:tcBorders>
              <w:right w:val="single" w:color="auto" w:sz="8" w:space="0"/>
            </w:tcBorders>
            <w:vAlign w:val="top"/>
          </w:tcPr>
          <w:p>
            <w:pPr>
              <w:spacing w:line="280" w:lineRule="exac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45" w:type="dxa"/>
            <w:vMerge w:val="restart"/>
            <w:tcBorders>
              <w:left w:val="single" w:color="auto" w:sz="8" w:space="0"/>
            </w:tcBorders>
          </w:tcPr>
          <w:p>
            <w:pPr>
              <w:spacing w:line="280" w:lineRule="exact"/>
              <w:jc w:val="left"/>
              <w:rPr>
                <w:rFonts w:hint="default" w:ascii="仿宋" w:hAnsi="仿宋" w:eastAsia="仿宋" w:cs="仿宋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1"/>
                <w:szCs w:val="21"/>
                <w:lang w:val="en-US" w:eastAsia="zh-CN"/>
              </w:rPr>
              <w:t>2023.2.19</w:t>
            </w:r>
          </w:p>
          <w:p>
            <w:pPr>
              <w:snapToGrid w:val="0"/>
              <w:spacing w:line="320" w:lineRule="exact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1"/>
                <w:szCs w:val="21"/>
                <w:lang w:val="en-US" w:eastAsia="zh-CN"/>
              </w:rPr>
              <w:t>午餐：12:00--12：30</w:t>
            </w:r>
          </w:p>
        </w:tc>
        <w:tc>
          <w:tcPr>
            <w:tcW w:w="1200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8：30-16：30</w:t>
            </w:r>
          </w:p>
        </w:tc>
        <w:tc>
          <w:tcPr>
            <w:tcW w:w="1124" w:type="dxa"/>
            <w:vAlign w:val="top"/>
          </w:tcPr>
          <w:p>
            <w:pPr>
              <w:spacing w:line="300" w:lineRule="exact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生产部</w:t>
            </w:r>
          </w:p>
        </w:tc>
        <w:tc>
          <w:tcPr>
            <w:tcW w:w="6012" w:type="dxa"/>
            <w:vAlign w:val="top"/>
          </w:tcPr>
          <w:p>
            <w:pPr>
              <w:spacing w:line="300" w:lineRule="exact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继续生产部审核</w:t>
            </w:r>
          </w:p>
        </w:tc>
        <w:tc>
          <w:tcPr>
            <w:tcW w:w="1039" w:type="dxa"/>
            <w:tcBorders>
              <w:right w:val="single" w:color="auto" w:sz="8" w:space="0"/>
            </w:tcBorders>
            <w:vAlign w:val="top"/>
          </w:tcPr>
          <w:p>
            <w:pPr>
              <w:spacing w:line="280" w:lineRule="exac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45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00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8：30-16：30</w:t>
            </w:r>
          </w:p>
        </w:tc>
        <w:tc>
          <w:tcPr>
            <w:tcW w:w="1124" w:type="dxa"/>
            <w:vAlign w:val="top"/>
          </w:tcPr>
          <w:p>
            <w:pPr>
              <w:spacing w:line="300" w:lineRule="exact"/>
              <w:rPr>
                <w:rFonts w:hint="default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质检部</w:t>
            </w:r>
          </w:p>
        </w:tc>
        <w:tc>
          <w:tcPr>
            <w:tcW w:w="6012" w:type="dxa"/>
            <w:vAlign w:val="top"/>
          </w:tcPr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hint="eastAsia" w:ascii="仿宋" w:hAnsi="仿宋" w:eastAsia="仿宋" w:cs="仿宋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QMS:5.3组织的岗位、职责和权限、6.2质量目标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7.1.5监视和测量资源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8.6产品和服务的放行、8.7不合格输出的控制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9.1.3分析与评价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EMS: 5.3组织的岗位、职责和权限、6.2环境与职业健康安全目标、6.1.2环境因素/危险源辨识与评价、8.1运行策划和控制、8.2应急准备和响应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039" w:type="dxa"/>
            <w:tcBorders>
              <w:right w:val="single" w:color="auto" w:sz="8" w:space="0"/>
            </w:tcBorders>
            <w:vAlign w:val="top"/>
          </w:tcPr>
          <w:p>
            <w:pPr>
              <w:spacing w:line="280" w:lineRule="exact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45" w:type="dxa"/>
            <w:vMerge w:val="continue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1200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16:30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17:00</w:t>
            </w:r>
          </w:p>
        </w:tc>
        <w:tc>
          <w:tcPr>
            <w:tcW w:w="7136" w:type="dxa"/>
            <w:gridSpan w:val="2"/>
            <w:shd w:val="clear" w:color="auto" w:fill="F2DCDC" w:themeFill="accent2" w:themeFillTint="32"/>
          </w:tcPr>
          <w:p>
            <w:pPr>
              <w:spacing w:line="280" w:lineRule="exact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补充及跟踪审核：必要部门、必要条款；审核组内部沟通；</w:t>
            </w:r>
          </w:p>
          <w:p>
            <w:pPr>
              <w:spacing w:line="280" w:lineRule="exact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审核组与受审核方领导层沟通；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末次会：综合评价QMS\EMS管理体系运行总体情况及改进要求，宣告审核发现及审核结论。</w:t>
            </w:r>
          </w:p>
        </w:tc>
        <w:tc>
          <w:tcPr>
            <w:tcW w:w="1039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hint="default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4"/>
        <w:rFonts w:hint="default"/>
        <w:w w:val="90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4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lkMDNiN2QzZTk4YTE3NjNiM2I5OTI4Y2YxNGYyZmIifQ=="/>
  </w:docVars>
  <w:rsids>
    <w:rsidRoot w:val="00000000"/>
    <w:rsid w:val="02326E3B"/>
    <w:rsid w:val="054B365B"/>
    <w:rsid w:val="06CC4A19"/>
    <w:rsid w:val="08C17E60"/>
    <w:rsid w:val="0EDF36F1"/>
    <w:rsid w:val="0F3659CA"/>
    <w:rsid w:val="11380EA0"/>
    <w:rsid w:val="12BA66E6"/>
    <w:rsid w:val="13905C6F"/>
    <w:rsid w:val="13ED3157"/>
    <w:rsid w:val="13EE573C"/>
    <w:rsid w:val="15271449"/>
    <w:rsid w:val="15A77A54"/>
    <w:rsid w:val="199174E1"/>
    <w:rsid w:val="1D3D599B"/>
    <w:rsid w:val="1F99183C"/>
    <w:rsid w:val="1F9C3AFA"/>
    <w:rsid w:val="208E704F"/>
    <w:rsid w:val="23EB33A6"/>
    <w:rsid w:val="25B005E1"/>
    <w:rsid w:val="2ADA451A"/>
    <w:rsid w:val="357B2200"/>
    <w:rsid w:val="37A070BB"/>
    <w:rsid w:val="3B0454B7"/>
    <w:rsid w:val="411575DA"/>
    <w:rsid w:val="4194689B"/>
    <w:rsid w:val="4324534C"/>
    <w:rsid w:val="46DB42B2"/>
    <w:rsid w:val="47822246"/>
    <w:rsid w:val="48647F3F"/>
    <w:rsid w:val="4AEF384B"/>
    <w:rsid w:val="503258E5"/>
    <w:rsid w:val="51164890"/>
    <w:rsid w:val="52D4188A"/>
    <w:rsid w:val="56070D34"/>
    <w:rsid w:val="591E587E"/>
    <w:rsid w:val="5AEC41CD"/>
    <w:rsid w:val="63400E96"/>
    <w:rsid w:val="63E34D49"/>
    <w:rsid w:val="678D1AB8"/>
    <w:rsid w:val="6E91020B"/>
    <w:rsid w:val="6EC647D7"/>
    <w:rsid w:val="6FE43E88"/>
    <w:rsid w:val="710A36FD"/>
    <w:rsid w:val="77C27899"/>
    <w:rsid w:val="77E5503D"/>
    <w:rsid w:val="7A446DE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tabs>
        <w:tab w:val="left" w:pos="0"/>
        <w:tab w:val="left" w:pos="180"/>
      </w:tabs>
      <w:spacing w:line="360" w:lineRule="auto"/>
      <w:jc w:val="left"/>
    </w:pPr>
    <w:rPr>
      <w:sz w:val="28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0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5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2051</Words>
  <Characters>2933</Characters>
  <Lines>37</Lines>
  <Paragraphs>10</Paragraphs>
  <TotalTime>0</TotalTime>
  <ScaleCrop>false</ScaleCrop>
  <LinksUpToDate>false</LinksUpToDate>
  <CharactersWithSpaces>2994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苗</cp:lastModifiedBy>
  <dcterms:modified xsi:type="dcterms:W3CDTF">2023-02-23T07:51:53Z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2052-11.1.0.13703</vt:lpwstr>
  </property>
</Properties>
</file>