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
        <w:gridCol w:w="2159"/>
        <w:gridCol w:w="960"/>
        <w:gridCol w:w="745"/>
        <w:gridCol w:w="9256"/>
        <w:gridCol w:w="2"/>
        <w:gridCol w:w="1585"/>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2164" w:type="dxa"/>
            <w:gridSpan w:val="2"/>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001" w:type="dxa"/>
            <w:gridSpan w:val="2"/>
            <w:shd w:val="clear" w:color="auto" w:fill="auto"/>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领导层    </w:t>
            </w:r>
            <w:r>
              <w:rPr>
                <w:sz w:val="24"/>
                <w:szCs w:val="24"/>
              </w:rPr>
              <w:t xml:space="preserve"> </w:t>
            </w:r>
            <w:r>
              <w:rPr>
                <w:rFonts w:hint="eastAsia"/>
                <w:sz w:val="24"/>
                <w:szCs w:val="24"/>
                <w:lang w:val="en-US" w:eastAsia="zh-CN"/>
              </w:rPr>
              <w:t xml:space="preserve">主管领导：邓益华 </w:t>
            </w:r>
            <w:r>
              <w:rPr>
                <w:sz w:val="24"/>
                <w:szCs w:val="24"/>
              </w:rPr>
              <w:t xml:space="preserve">    </w:t>
            </w:r>
            <w:r>
              <w:rPr>
                <w:rFonts w:hint="eastAsia"/>
                <w:sz w:val="24"/>
                <w:szCs w:val="24"/>
                <w:highlight w:val="none"/>
              </w:rPr>
              <w:t>陪同人员：</w:t>
            </w:r>
            <w:r>
              <w:rPr>
                <w:rFonts w:hint="eastAsia"/>
                <w:sz w:val="24"/>
                <w:szCs w:val="24"/>
                <w:highlight w:val="none"/>
                <w:lang w:val="en-US" w:eastAsia="zh-CN"/>
              </w:rPr>
              <w:t>李尚新</w:t>
            </w:r>
          </w:p>
        </w:tc>
        <w:tc>
          <w:tcPr>
            <w:tcW w:w="1589" w:type="dxa"/>
            <w:gridSpan w:val="3"/>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2164" w:type="dxa"/>
            <w:gridSpan w:val="2"/>
            <w:vMerge w:val="continue"/>
            <w:shd w:val="clear" w:color="auto" w:fill="auto"/>
            <w:vAlign w:val="center"/>
          </w:tcPr>
          <w:p/>
        </w:tc>
        <w:tc>
          <w:tcPr>
            <w:tcW w:w="960" w:type="dxa"/>
            <w:vMerge w:val="continue"/>
            <w:shd w:val="clear" w:color="auto" w:fill="auto"/>
            <w:vAlign w:val="center"/>
          </w:tcPr>
          <w:p/>
        </w:tc>
        <w:tc>
          <w:tcPr>
            <w:tcW w:w="10001" w:type="dxa"/>
            <w:gridSpan w:val="2"/>
            <w:shd w:val="clear" w:color="auto" w:fill="auto"/>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 肖新龙      </w:t>
            </w:r>
            <w:r>
              <w:rPr>
                <w:rFonts w:hint="eastAsia"/>
                <w:sz w:val="24"/>
                <w:szCs w:val="24"/>
              </w:rPr>
              <w:t>审核日期：</w:t>
            </w:r>
            <w:r>
              <w:rPr>
                <w:sz w:val="24"/>
                <w:szCs w:val="24"/>
              </w:rPr>
              <w:t xml:space="preserve"> </w:t>
            </w:r>
            <w:r>
              <w:rPr>
                <w:rFonts w:hint="eastAsia"/>
                <w:sz w:val="24"/>
                <w:szCs w:val="24"/>
                <w:lang w:val="en-US" w:eastAsia="zh-CN"/>
              </w:rPr>
              <w:t>2023-02-12上午</w:t>
            </w:r>
          </w:p>
        </w:tc>
        <w:tc>
          <w:tcPr>
            <w:tcW w:w="1589" w:type="dxa"/>
            <w:gridSpan w:val="3"/>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2164" w:type="dxa"/>
            <w:gridSpan w:val="2"/>
            <w:vMerge w:val="continue"/>
            <w:shd w:val="clear" w:color="auto" w:fill="auto"/>
            <w:vAlign w:val="center"/>
          </w:tcPr>
          <w:p/>
        </w:tc>
        <w:tc>
          <w:tcPr>
            <w:tcW w:w="960" w:type="dxa"/>
            <w:vMerge w:val="continue"/>
            <w:shd w:val="clear" w:color="auto" w:fill="auto"/>
            <w:vAlign w:val="center"/>
          </w:tcPr>
          <w:p/>
        </w:tc>
        <w:tc>
          <w:tcPr>
            <w:tcW w:w="10001" w:type="dxa"/>
            <w:gridSpan w:val="2"/>
            <w:shd w:val="clear" w:color="auto" w:fill="auto"/>
            <w:vAlign w:val="center"/>
          </w:tcPr>
          <w:p>
            <w:pPr>
              <w:tabs>
                <w:tab w:val="left" w:pos="709"/>
              </w:tabs>
              <w:ind w:right="57"/>
              <w:jc w:val="left"/>
              <w:rPr>
                <w:rFonts w:hint="eastAsia"/>
                <w:lang w:val="en-US" w:eastAsia="zh-CN"/>
              </w:rPr>
            </w:pPr>
            <w:r>
              <w:rPr>
                <w:rFonts w:hint="eastAsia"/>
              </w:rPr>
              <w:t>审核条款：</w:t>
            </w:r>
          </w:p>
          <w:p>
            <w:pPr>
              <w:tabs>
                <w:tab w:val="left" w:pos="709"/>
              </w:tabs>
              <w:ind w:right="57"/>
              <w:jc w:val="left"/>
              <w:rPr>
                <w:sz w:val="21"/>
                <w:szCs w:val="21"/>
              </w:rPr>
            </w:pPr>
            <w:r>
              <w:rPr>
                <w:sz w:val="21"/>
                <w:szCs w:val="21"/>
              </w:rPr>
              <w:t>QMS：4.1/ 4.2 /4.3/ 4.4/5.1/5.2/5.3/6.1/6.2/6.3/7.1.1/</w:t>
            </w:r>
            <w:r>
              <w:rPr>
                <w:rFonts w:hint="eastAsia"/>
                <w:sz w:val="21"/>
                <w:szCs w:val="21"/>
              </w:rPr>
              <w:t>7.4/</w:t>
            </w:r>
            <w:r>
              <w:rPr>
                <w:sz w:val="21"/>
                <w:szCs w:val="21"/>
              </w:rPr>
              <w:t>9.1.1</w:t>
            </w:r>
            <w:r>
              <w:rPr>
                <w:rFonts w:hint="eastAsia"/>
                <w:sz w:val="21"/>
                <w:szCs w:val="21"/>
              </w:rPr>
              <w:t>/</w:t>
            </w:r>
            <w:r>
              <w:rPr>
                <w:sz w:val="21"/>
                <w:szCs w:val="21"/>
              </w:rPr>
              <w:t>9.3</w:t>
            </w:r>
            <w:r>
              <w:rPr>
                <w:rFonts w:hint="eastAsia"/>
                <w:sz w:val="21"/>
                <w:szCs w:val="21"/>
              </w:rPr>
              <w:t>/</w:t>
            </w:r>
            <w:r>
              <w:rPr>
                <w:sz w:val="21"/>
                <w:szCs w:val="21"/>
              </w:rPr>
              <w:t>10.1/10.3</w:t>
            </w:r>
          </w:p>
          <w:p>
            <w:pPr>
              <w:pStyle w:val="2"/>
              <w:rPr>
                <w:rFonts w:hint="default" w:eastAsia="宋体"/>
                <w:lang w:val="en-US" w:eastAsia="zh-CN"/>
              </w:rPr>
            </w:pPr>
            <w:r>
              <w:rPr>
                <w:sz w:val="21"/>
                <w:szCs w:val="21"/>
              </w:rPr>
              <w:t>FSMS：4.1/4.2/4.3/4.4/5.1/5.2/5.3/6.1/6.2/6.3/7.1.1/7.4/9.1.1/9.3/10.2</w:t>
            </w:r>
            <w:r>
              <w:rPr>
                <w:rFonts w:hint="eastAsia"/>
                <w:sz w:val="21"/>
                <w:szCs w:val="21"/>
                <w:lang w:val="en-US" w:eastAsia="zh-CN"/>
              </w:rPr>
              <w:t>/10.3</w:t>
            </w:r>
          </w:p>
        </w:tc>
        <w:tc>
          <w:tcPr>
            <w:tcW w:w="1589" w:type="dxa"/>
            <w:gridSpan w:val="3"/>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3" w:hRule="atLeast"/>
        </w:trPr>
        <w:tc>
          <w:tcPr>
            <w:tcW w:w="2164" w:type="dxa"/>
            <w:gridSpan w:val="2"/>
            <w:vMerge w:val="restart"/>
            <w:shd w:val="clear" w:color="auto" w:fill="auto"/>
          </w:tcPr>
          <w:p>
            <w:r>
              <w:rPr>
                <w:rFonts w:hint="eastAsia"/>
              </w:rPr>
              <w:t>理解组织及其环境</w:t>
            </w:r>
          </w:p>
        </w:tc>
        <w:tc>
          <w:tcPr>
            <w:tcW w:w="960" w:type="dxa"/>
            <w:vMerge w:val="restart"/>
            <w:shd w:val="clear" w:color="auto" w:fill="auto"/>
          </w:tcPr>
          <w:p>
            <w:pPr>
              <w:rPr>
                <w:rFonts w:hint="default" w:eastAsia="宋体"/>
                <w:lang w:val="en-US" w:eastAsia="zh-CN"/>
              </w:rPr>
            </w:pPr>
            <w:r>
              <w:rPr>
                <w:rFonts w:hint="eastAsia"/>
                <w:lang w:val="en-US" w:eastAsia="zh-CN"/>
              </w:rPr>
              <w:t>Q4.1</w:t>
            </w:r>
          </w:p>
          <w:p>
            <w:r>
              <w:rPr>
                <w:rFonts w:hint="eastAsia"/>
              </w:rPr>
              <w:t>F4.1</w:t>
            </w:r>
          </w:p>
        </w:tc>
        <w:tc>
          <w:tcPr>
            <w:tcW w:w="745" w:type="dxa"/>
            <w:shd w:val="clear" w:color="auto" w:fill="auto"/>
          </w:tcPr>
          <w:p>
            <w:r>
              <w:rPr>
                <w:rFonts w:hint="eastAsia"/>
              </w:rPr>
              <w:t>文件名称</w:t>
            </w:r>
          </w:p>
        </w:tc>
        <w:tc>
          <w:tcPr>
            <w:tcW w:w="9256" w:type="dxa"/>
            <w:shd w:val="clear" w:color="auto" w:fill="auto"/>
          </w:tcPr>
          <w:p>
            <w:r>
              <w:rPr>
                <w:rFonts w:hint="eastAsia"/>
              </w:rPr>
              <w:t>如：</w:t>
            </w:r>
            <w:r>
              <w:t xml:space="preserve"> </w:t>
            </w:r>
            <w:r>
              <w:rPr/>
              <w:sym w:font="Wingdings" w:char="00FE"/>
            </w:r>
            <w:r>
              <w:rPr>
                <w:rFonts w:hint="eastAsia"/>
                <w:lang w:eastAsia="zh-CN"/>
              </w:rPr>
              <w:t>《</w:t>
            </w:r>
            <w:r>
              <w:rPr>
                <w:rFonts w:hint="eastAsia"/>
                <w:lang w:val="en-US" w:eastAsia="zh-CN"/>
              </w:rPr>
              <w:t>质量与食品</w:t>
            </w:r>
            <w:r>
              <w:rPr>
                <w:rFonts w:hint="eastAsia"/>
              </w:rPr>
              <w:t>管理手册</w:t>
            </w:r>
            <w:r>
              <w:rPr>
                <w:rFonts w:hint="eastAsia"/>
                <w:lang w:eastAsia="zh-CN"/>
              </w:rPr>
              <w:t>》</w:t>
            </w:r>
            <w:r>
              <w:rPr>
                <w:rFonts w:hint="eastAsia"/>
              </w:rPr>
              <w:t>第</w:t>
            </w:r>
            <w:r>
              <w:rPr>
                <w:rFonts w:hint="eastAsia"/>
                <w:lang w:val="en-US" w:eastAsia="zh-CN"/>
              </w:rPr>
              <w:t>4.1</w:t>
            </w:r>
            <w:r>
              <w:rPr>
                <w:rFonts w:hint="eastAsia"/>
              </w:rPr>
              <w:t>章、</w:t>
            </w:r>
            <w:r>
              <w:rPr/>
              <w:sym w:font="Wingdings" w:char="00A8"/>
            </w:r>
            <w:r>
              <w:rPr>
                <w:rFonts w:hint="eastAsia"/>
              </w:rPr>
              <w:t>组织内外部环境要素识别表</w:t>
            </w:r>
            <w:r>
              <w:rPr>
                <w:rFonts w:hint="eastAsia"/>
                <w:highlight w:val="none"/>
              </w:rPr>
              <w:t>、</w:t>
            </w:r>
            <w:r>
              <w:rPr>
                <w:highlight w:val="none"/>
              </w:rPr>
              <w:sym w:font="Wingdings" w:char="00FE"/>
            </w:r>
            <w:r>
              <w:rPr>
                <w:rFonts w:hint="eastAsia"/>
                <w:highlight w:val="none"/>
              </w:rPr>
              <w:t>《公司环境分析控制程序 》</w:t>
            </w:r>
          </w:p>
        </w:tc>
        <w:tc>
          <w:tcPr>
            <w:tcW w:w="1589" w:type="dxa"/>
            <w:gridSpan w:val="3"/>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6" w:hRule="atLeast"/>
        </w:trPr>
        <w:tc>
          <w:tcPr>
            <w:tcW w:w="2164" w:type="dxa"/>
            <w:gridSpan w:val="2"/>
            <w:vMerge w:val="continue"/>
            <w:shd w:val="clear" w:color="auto" w:fill="auto"/>
          </w:tcPr>
          <w:p/>
        </w:tc>
        <w:tc>
          <w:tcPr>
            <w:tcW w:w="960" w:type="dxa"/>
            <w:vMerge w:val="continue"/>
            <w:shd w:val="clear" w:color="auto" w:fill="auto"/>
          </w:tcPr>
          <w:p/>
        </w:tc>
        <w:tc>
          <w:tcPr>
            <w:tcW w:w="745" w:type="dxa"/>
            <w:shd w:val="clear" w:color="auto" w:fill="auto"/>
          </w:tcPr>
          <w:p>
            <w:pPr>
              <w:rPr>
                <w:highlight w:val="none"/>
              </w:rPr>
            </w:pPr>
            <w:r>
              <w:rPr>
                <w:rFonts w:hint="eastAsia"/>
                <w:highlight w:val="none"/>
              </w:rPr>
              <w:t>运行证据</w:t>
            </w:r>
          </w:p>
        </w:tc>
        <w:tc>
          <w:tcPr>
            <w:tcW w:w="9256" w:type="dxa"/>
            <w:shd w:val="clear" w:color="auto" w:fill="auto"/>
          </w:tcPr>
          <w:p>
            <w:pPr>
              <w:rPr>
                <w:color w:val="000000"/>
                <w:szCs w:val="21"/>
                <w:highlight w:val="none"/>
              </w:rPr>
            </w:pPr>
            <w:r>
              <w:rPr>
                <w:rFonts w:hint="eastAsia"/>
                <w:color w:val="000000"/>
                <w:szCs w:val="21"/>
                <w:highlight w:val="none"/>
              </w:rPr>
              <w:t xml:space="preserve"> 与最高管理者沟通：</w:t>
            </w:r>
          </w:p>
          <w:p>
            <w:pPr>
              <w:rPr>
                <w:color w:val="000000"/>
                <w:szCs w:val="21"/>
                <w:highlight w:val="none"/>
              </w:rPr>
            </w:pPr>
            <w:r>
              <w:rPr>
                <w:rFonts w:hint="eastAsia"/>
                <w:color w:val="000000"/>
                <w:szCs w:val="21"/>
                <w:highlight w:val="none"/>
              </w:rPr>
              <w:t>组织的环境：</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rPr>
                      <w:highlight w:val="none"/>
                    </w:rPr>
                  </w:pPr>
                  <w:r>
                    <w:rPr>
                      <w:rFonts w:hint="eastAsia"/>
                      <w:highlight w:val="none"/>
                    </w:rPr>
                    <w:t>外部环境</w:t>
                  </w:r>
                </w:p>
              </w:tc>
              <w:tc>
                <w:tcPr>
                  <w:tcW w:w="6990"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法律法规 □技术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竞争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市场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文化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社会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经济环境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政治环境□</w:t>
                  </w:r>
                  <w:r>
                    <w:rPr>
                      <w:rFonts w:hint="eastAsia"/>
                      <w:color w:val="000000"/>
                      <w:szCs w:val="21"/>
                      <w:highlight w:val="none"/>
                    </w:rPr>
                    <w:t>网络安全</w:t>
                  </w:r>
                  <w:r>
                    <w:rPr>
                      <w:rFonts w:hint="eastAsia"/>
                      <w:color w:val="000000"/>
                      <w:szCs w:val="21"/>
                      <w:highlight w:val="none"/>
                      <w:lang w:val="en-US" w:eastAsia="zh-CN"/>
                    </w:rPr>
                    <w:t xml:space="preserve">  </w:t>
                  </w:r>
                  <w:r>
                    <w:rPr>
                      <w:rFonts w:hint="eastAsia"/>
                      <w:highlight w:val="none"/>
                    </w:rPr>
                    <w:sym w:font="Wingdings 2" w:char="0052"/>
                  </w:r>
                  <w:r>
                    <w:rPr>
                      <w:rFonts w:hint="eastAsia"/>
                      <w:color w:val="000000"/>
                      <w:szCs w:val="21"/>
                      <w:highlight w:val="none"/>
                    </w:rPr>
                    <w:t xml:space="preserve">食品欺诈 </w:t>
                  </w:r>
                  <w:r>
                    <w:rPr>
                      <w:rFonts w:hint="eastAsia"/>
                      <w:highlight w:val="none"/>
                    </w:rPr>
                    <w:sym w:font="Wingdings 2" w:char="0052"/>
                  </w:r>
                  <w:r>
                    <w:rPr>
                      <w:rFonts w:hint="eastAsia"/>
                      <w:color w:val="000000"/>
                      <w:szCs w:val="21"/>
                      <w:highlight w:val="none"/>
                    </w:rPr>
                    <w:t xml:space="preserve">食品防护 </w:t>
                  </w:r>
                  <w:r>
                    <w:rPr>
                      <w:rFonts w:hint="eastAsia"/>
                      <w:highlight w:val="none"/>
                    </w:rPr>
                    <w:sym w:font="Wingdings 2" w:char="0052"/>
                  </w:r>
                  <w:r>
                    <w:rPr>
                      <w:rFonts w:hint="eastAsia"/>
                      <w:color w:val="000000"/>
                      <w:szCs w:val="21"/>
                      <w:highlight w:val="none"/>
                    </w:rPr>
                    <w:t xml:space="preserve">蓄意污染 </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rPr>
                      <w:highlight w:val="none"/>
                    </w:rPr>
                  </w:pPr>
                  <w:r>
                    <w:rPr>
                      <w:rFonts w:hint="eastAsia"/>
                      <w:highlight w:val="none"/>
                    </w:rPr>
                    <w:t>列举主要的内容</w:t>
                  </w:r>
                </w:p>
              </w:tc>
              <w:tc>
                <w:tcPr>
                  <w:tcW w:w="6990" w:type="dxa"/>
                </w:tcPr>
                <w:p>
                  <w:pPr>
                    <w:rPr>
                      <w:rFonts w:hint="default" w:eastAsia="宋体"/>
                      <w:highlight w:val="none"/>
                      <w:lang w:val="en-US" w:eastAsia="zh-CN"/>
                    </w:rPr>
                  </w:pPr>
                  <w:r>
                    <w:rPr>
                      <w:rFonts w:hint="eastAsia"/>
                      <w:highlight w:val="none"/>
                      <w:lang w:val="en-US" w:eastAsia="zh-CN"/>
                    </w:rPr>
                    <w:t>竞争激烈、市场竞争大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rPr>
                      <w:highlight w:val="none"/>
                    </w:rPr>
                  </w:pPr>
                  <w:r>
                    <w:rPr>
                      <w:rFonts w:hint="eastAsia"/>
                      <w:highlight w:val="none"/>
                    </w:rPr>
                    <w:t>内部环境</w:t>
                  </w:r>
                </w:p>
              </w:tc>
              <w:tc>
                <w:tcPr>
                  <w:tcW w:w="6990"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价值观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文化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知识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绩效 </w:t>
                  </w:r>
                  <w:r>
                    <w:rPr>
                      <w:rFonts w:hint="eastAsia"/>
                      <w:highlight w:val="none"/>
                    </w:rPr>
                    <w:sym w:font="Wingdings 2" w:char="00A3"/>
                  </w:r>
                  <w:r>
                    <w:rPr>
                      <w:rFonts w:hint="eastAsia"/>
                      <w:highlight w:val="none"/>
                    </w:rPr>
                    <w:t xml:space="preserve">工艺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 xml:space="preserve">设备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rPr>
                      <w:highlight w:val="none"/>
                    </w:rPr>
                  </w:pPr>
                  <w:r>
                    <w:rPr>
                      <w:rFonts w:hint="eastAsia"/>
                      <w:highlight w:val="none"/>
                    </w:rPr>
                    <w:t>列举主要的内容</w:t>
                  </w:r>
                </w:p>
              </w:tc>
              <w:tc>
                <w:tcPr>
                  <w:tcW w:w="6990" w:type="dxa"/>
                </w:tcPr>
                <w:p>
                  <w:pPr>
                    <w:pStyle w:val="2"/>
                    <w:rPr>
                      <w:rFonts w:hint="eastAsia"/>
                      <w:highlight w:val="none"/>
                      <w:lang w:val="en-US" w:eastAsia="zh-CN"/>
                    </w:rPr>
                  </w:pPr>
                  <w:r>
                    <w:rPr>
                      <w:rFonts w:hint="eastAsia"/>
                      <w:highlight w:val="none"/>
                      <w:lang w:val="en-US" w:eastAsia="zh-CN"/>
                    </w:rPr>
                    <w:t>具备生产技术研发能力，研发人员经验丰富；</w:t>
                  </w:r>
                </w:p>
                <w:p>
                  <w:pPr>
                    <w:pStyle w:val="2"/>
                    <w:rPr>
                      <w:rFonts w:hint="default"/>
                      <w:highlight w:val="none"/>
                      <w:lang w:val="en-US" w:eastAsia="zh-CN"/>
                    </w:rPr>
                  </w:pPr>
                  <w:r>
                    <w:rPr>
                      <w:rFonts w:hint="eastAsia"/>
                      <w:highlight w:val="none"/>
                      <w:lang w:val="en-US" w:eastAsia="zh-CN"/>
                    </w:rPr>
                    <w:t>设备设施等资源配置比较齐全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rPr>
                      <w:highlight w:val="none"/>
                    </w:rPr>
                  </w:pPr>
                  <w:r>
                    <w:rPr>
                      <w:rFonts w:hint="eastAsia"/>
                      <w:color w:val="000000"/>
                      <w:szCs w:val="21"/>
                      <w:highlight w:val="none"/>
                    </w:rPr>
                    <w:t>组织优势说明</w:t>
                  </w:r>
                </w:p>
              </w:tc>
              <w:tc>
                <w:tcPr>
                  <w:tcW w:w="6990" w:type="dxa"/>
                </w:tcPr>
                <w:p>
                  <w:pPr>
                    <w:pStyle w:val="2"/>
                    <w:rPr>
                      <w:rFonts w:hint="eastAsia"/>
                      <w:lang w:val="en-US" w:eastAsia="zh-CN"/>
                    </w:rPr>
                  </w:pPr>
                  <w:r>
                    <w:rPr>
                      <w:rFonts w:hint="eastAsia"/>
                      <w:lang w:val="en-US" w:eastAsia="zh-CN"/>
                    </w:rPr>
                    <w:t>主要负责人从事香精生产加工研发多年</w:t>
                  </w:r>
                </w:p>
                <w:p>
                  <w:pPr>
                    <w:pStyle w:val="2"/>
                    <w:rPr>
                      <w:rFonts w:hint="eastAsia"/>
                      <w:lang w:val="en-US" w:eastAsia="zh-CN"/>
                    </w:rPr>
                  </w:pPr>
                  <w:r>
                    <w:rPr>
                      <w:rFonts w:hint="eastAsia"/>
                      <w:lang w:val="en-US" w:eastAsia="zh-CN"/>
                    </w:rPr>
                    <w:t>技术经验很丰富</w:t>
                  </w:r>
                </w:p>
                <w:p>
                  <w:pPr>
                    <w:pStyle w:val="2"/>
                    <w:rPr>
                      <w:rFonts w:hint="default"/>
                      <w:lang w:val="en-US" w:eastAsia="zh-CN"/>
                    </w:rPr>
                  </w:pPr>
                  <w:r>
                    <w:rPr>
                      <w:rFonts w:hint="eastAsia"/>
                      <w:lang w:val="en-US" w:eastAsia="zh-CN"/>
                    </w:rPr>
                    <w:t>地理位置优势、发货方便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rPr>
                      <w:highlight w:val="none"/>
                    </w:rPr>
                  </w:pPr>
                  <w:r>
                    <w:rPr>
                      <w:rFonts w:hint="eastAsia"/>
                      <w:color w:val="000000"/>
                      <w:szCs w:val="21"/>
                      <w:highlight w:val="none"/>
                    </w:rPr>
                    <w:t>组织劣势说明</w:t>
                  </w:r>
                </w:p>
              </w:tc>
              <w:tc>
                <w:tcPr>
                  <w:tcW w:w="6990" w:type="dxa"/>
                </w:tcPr>
                <w:p>
                  <w:pPr>
                    <w:rPr>
                      <w:rFonts w:hint="eastAsia"/>
                      <w:lang w:val="en-US" w:eastAsia="zh-CN"/>
                    </w:rPr>
                  </w:pPr>
                  <w:r>
                    <w:rPr>
                      <w:rFonts w:hint="eastAsia"/>
                      <w:lang w:val="en-US" w:eastAsia="zh-CN"/>
                    </w:rPr>
                    <w:t>部分生产线员工年龄偏大</w:t>
                  </w:r>
                </w:p>
                <w:p>
                  <w:pPr>
                    <w:rPr>
                      <w:rFonts w:hint="default"/>
                      <w:lang w:val="en-US" w:eastAsia="zh-CN"/>
                    </w:rPr>
                  </w:pPr>
                  <w:r>
                    <w:rPr>
                      <w:rFonts w:hint="eastAsia"/>
                      <w:lang w:val="en-US" w:eastAsia="zh-CN"/>
                    </w:rPr>
                    <w:t>意识强度不平稳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rPr>
                      <w:highlight w:val="none"/>
                    </w:rPr>
                  </w:pPr>
                  <w:r>
                    <w:rPr>
                      <w:rFonts w:hint="eastAsia"/>
                      <w:color w:val="000000"/>
                      <w:szCs w:val="21"/>
                      <w:highlight w:val="none"/>
                    </w:rPr>
                    <w:t>主要风险的说明</w:t>
                  </w:r>
                </w:p>
              </w:tc>
              <w:tc>
                <w:tcPr>
                  <w:tcW w:w="6990" w:type="dxa"/>
                </w:tcPr>
                <w:p>
                  <w:pPr>
                    <w:rPr>
                      <w:rFonts w:hint="eastAsia"/>
                      <w:lang w:val="en-US" w:eastAsia="zh-CN"/>
                    </w:rPr>
                  </w:pPr>
                  <w:r>
                    <w:rPr>
                      <w:rFonts w:hint="eastAsia"/>
                      <w:lang w:val="en-US" w:eastAsia="zh-CN"/>
                    </w:rPr>
                    <w:t>安全生产的风险</w:t>
                  </w:r>
                </w:p>
                <w:p>
                  <w:pPr>
                    <w:rPr>
                      <w:rFonts w:hint="default"/>
                      <w:lang w:val="en-US" w:eastAsia="zh-CN"/>
                    </w:rPr>
                  </w:pPr>
                  <w:r>
                    <w:rPr>
                      <w:rFonts w:hint="eastAsia"/>
                      <w:lang w:val="en-US" w:eastAsia="zh-CN"/>
                    </w:rPr>
                    <w:t>产品异物的食品安全风险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rPr>
                      <w:highlight w:val="none"/>
                    </w:rPr>
                  </w:pPr>
                  <w:r>
                    <w:rPr>
                      <w:rFonts w:hint="eastAsia"/>
                      <w:color w:val="000000"/>
                      <w:szCs w:val="21"/>
                      <w:highlight w:val="none"/>
                    </w:rPr>
                    <w:t>机遇的说明</w:t>
                  </w:r>
                </w:p>
              </w:tc>
              <w:tc>
                <w:tcPr>
                  <w:tcW w:w="6990" w:type="dxa"/>
                </w:tcPr>
                <w:p>
                  <w:pPr>
                    <w:rPr>
                      <w:rFonts w:hint="default"/>
                      <w:lang w:val="en-US" w:eastAsia="zh-CN"/>
                    </w:rPr>
                  </w:pPr>
                  <w:r>
                    <w:rPr>
                      <w:rFonts w:hint="eastAsia"/>
                      <w:lang w:val="en-US" w:eastAsia="zh-CN"/>
                    </w:rPr>
                    <w:t>通过管理体系认证，加强内部管理，便于开拓客户及新市场</w:t>
                  </w:r>
                </w:p>
              </w:tc>
            </w:tr>
          </w:tbl>
          <w:p>
            <w:pPr>
              <w:rPr>
                <w:color w:val="000000"/>
                <w:szCs w:val="21"/>
                <w:highlight w:val="none"/>
              </w:rPr>
            </w:pPr>
          </w:p>
          <w:p>
            <w:pPr>
              <w:rPr>
                <w:rFonts w:hint="eastAsia" w:eastAsia="宋体"/>
                <w:color w:val="000000"/>
                <w:szCs w:val="21"/>
                <w:highlight w:val="none"/>
                <w:lang w:eastAsia="zh-CN"/>
              </w:rPr>
            </w:pPr>
            <w:r>
              <w:rPr>
                <w:rFonts w:hint="eastAsia"/>
                <w:color w:val="000000"/>
                <w:szCs w:val="21"/>
                <w:highlight w:val="none"/>
              </w:rPr>
              <w:t>主要证据体现在</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ascii="宋体" w:hAnsi="宋体"/>
                <w:highlight w:val="none"/>
              </w:rPr>
              <w:t>《</w:t>
            </w:r>
            <w:r>
              <w:rPr>
                <w:rFonts w:hint="eastAsia"/>
                <w:highlight w:val="none"/>
                <w:lang w:val="en-US" w:eastAsia="zh-CN"/>
              </w:rPr>
              <w:t>公司环境分析报告</w:t>
            </w:r>
            <w:r>
              <w:rPr>
                <w:rFonts w:hint="eastAsia" w:ascii="宋体" w:hAnsi="宋体"/>
                <w:highlight w:val="none"/>
              </w:rPr>
              <w:t>》</w:t>
            </w:r>
            <w:r>
              <w:rPr>
                <w:rFonts w:hint="eastAsia"/>
                <w:highlight w:val="none"/>
              </w:rPr>
              <w:t xml:space="preserve"> </w:t>
            </w:r>
            <w:r>
              <w:rPr>
                <w:rFonts w:hint="eastAsia"/>
                <w:highlight w:val="none"/>
              </w:rPr>
              <w:sym w:font="Wingdings" w:char="00A8"/>
            </w:r>
            <w:r>
              <w:rPr>
                <w:rFonts w:hint="eastAsia"/>
                <w:highlight w:val="none"/>
              </w:rPr>
              <w:t xml:space="preserve">《组织及其环境分析表》  </w:t>
            </w:r>
            <w:r>
              <w:rPr>
                <w:rFonts w:hint="eastAsia"/>
                <w:highlight w:val="none"/>
              </w:rPr>
              <w:sym w:font="Wingdings" w:char="00A8"/>
            </w:r>
            <w:r>
              <w:rPr>
                <w:rFonts w:hint="eastAsia"/>
                <w:highlight w:val="none"/>
              </w:rPr>
              <w:t xml:space="preserve">《年度业务计划》 </w:t>
            </w:r>
            <w:r>
              <w:rPr>
                <w:rFonts w:hint="eastAsia"/>
                <w:highlight w:val="none"/>
              </w:rPr>
              <w:sym w:font="Wingdings" w:char="00A8"/>
            </w:r>
            <w:r>
              <w:rPr>
                <w:rFonts w:hint="eastAsia"/>
                <w:highlight w:val="none"/>
              </w:rPr>
              <w:t>其他</w:t>
            </w:r>
            <w:r>
              <w:rPr>
                <w:rFonts w:hint="eastAsia"/>
                <w:highlight w:val="none"/>
                <w:lang w:val="en-US" w:eastAsia="zh-CN"/>
              </w:rPr>
              <w:t xml:space="preserve"> </w:t>
            </w:r>
          </w:p>
        </w:tc>
        <w:tc>
          <w:tcPr>
            <w:tcW w:w="1589" w:type="dxa"/>
            <w:gridSpan w:val="3"/>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r>
              <w:rPr>
                <w:rFonts w:hint="eastAsia"/>
              </w:rPr>
              <w:t>理解相关方的需求和期望</w:t>
            </w:r>
          </w:p>
        </w:tc>
        <w:tc>
          <w:tcPr>
            <w:tcW w:w="960" w:type="dxa"/>
            <w:vMerge w:val="restart"/>
            <w:shd w:val="clear" w:color="auto" w:fill="auto"/>
          </w:tcPr>
          <w:p>
            <w:pPr>
              <w:rPr>
                <w:rFonts w:hint="default" w:eastAsia="宋体"/>
                <w:lang w:val="en-US" w:eastAsia="zh-CN"/>
              </w:rPr>
            </w:pPr>
            <w:r>
              <w:rPr>
                <w:rFonts w:hint="eastAsia"/>
                <w:lang w:val="en-US" w:eastAsia="zh-CN"/>
              </w:rPr>
              <w:t>Q4.2</w:t>
            </w:r>
          </w:p>
          <w:p>
            <w:r>
              <w:rPr>
                <w:rFonts w:hint="eastAsia"/>
              </w:rPr>
              <w:t>F4.2</w:t>
            </w:r>
          </w:p>
        </w:tc>
        <w:tc>
          <w:tcPr>
            <w:tcW w:w="745" w:type="dxa"/>
            <w:shd w:val="clear" w:color="auto" w:fill="auto"/>
          </w:tcPr>
          <w:p>
            <w:r>
              <w:rPr>
                <w:rFonts w:hint="eastAsia"/>
              </w:rPr>
              <w:t>文件名称</w:t>
            </w:r>
          </w:p>
        </w:tc>
        <w:tc>
          <w:tcPr>
            <w:tcW w:w="9256" w:type="dxa"/>
            <w:shd w:val="clear" w:color="auto" w:fill="auto"/>
          </w:tcPr>
          <w:p>
            <w:pPr>
              <w:rPr>
                <w:rFonts w:hint="default"/>
                <w:lang w:val="en-US"/>
              </w:rPr>
            </w:pPr>
            <w:r>
              <w:rPr>
                <w:rFonts w:hint="eastAsia"/>
              </w:rPr>
              <w:t>如：</w:t>
            </w:r>
            <w:r>
              <w:rPr/>
              <w:sym w:font="Wingdings" w:char="00FE"/>
            </w:r>
            <w:r>
              <w:rPr>
                <w:rFonts w:hint="eastAsia"/>
              </w:rPr>
              <w:t>《相关方需求和期望控制程序》、</w:t>
            </w:r>
            <w:r>
              <w:rPr/>
              <w:sym w:font="Wingdings" w:char="00FE"/>
            </w:r>
            <w:r>
              <w:rPr>
                <w:rFonts w:hint="eastAsia"/>
                <w:lang w:eastAsia="zh-CN"/>
              </w:rPr>
              <w:t>《</w:t>
            </w:r>
            <w:r>
              <w:rPr>
                <w:rFonts w:hint="eastAsia"/>
                <w:lang w:val="en-US" w:eastAsia="zh-CN"/>
              </w:rPr>
              <w:t>质量与食品</w:t>
            </w:r>
            <w:r>
              <w:rPr>
                <w:rFonts w:hint="eastAsia"/>
              </w:rPr>
              <w:t>管理手册</w:t>
            </w:r>
            <w:r>
              <w:rPr>
                <w:rFonts w:hint="eastAsia"/>
                <w:lang w:eastAsia="zh-CN"/>
              </w:rPr>
              <w:t>》</w:t>
            </w:r>
            <w:r>
              <w:rPr>
                <w:rFonts w:hint="eastAsia"/>
                <w:lang w:val="en-US" w:eastAsia="zh-CN"/>
              </w:rPr>
              <w:t>4.2条款</w:t>
            </w:r>
          </w:p>
        </w:tc>
        <w:tc>
          <w:tcPr>
            <w:tcW w:w="1589" w:type="dxa"/>
            <w:gridSpan w:val="3"/>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0" w:hRule="atLeast"/>
        </w:trPr>
        <w:tc>
          <w:tcPr>
            <w:tcW w:w="2164" w:type="dxa"/>
            <w:gridSpan w:val="2"/>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pPr>
              <w:rPr>
                <w:color w:val="000000"/>
                <w:szCs w:val="21"/>
              </w:rPr>
            </w:pPr>
            <w:r>
              <w:rPr>
                <w:rFonts w:hint="eastAsia"/>
                <w:color w:val="000000"/>
                <w:szCs w:val="21"/>
              </w:rPr>
              <w:t xml:space="preserve"> </w:t>
            </w:r>
          </w:p>
          <w:tbl>
            <w:tblPr>
              <w:tblStyle w:val="10"/>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3471"/>
              <w:gridCol w:w="3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重要的相关方</w:t>
                  </w:r>
                </w:p>
              </w:tc>
              <w:tc>
                <w:tcPr>
                  <w:tcW w:w="3471" w:type="dxa"/>
                </w:tcPr>
                <w:p>
                  <w:r>
                    <w:rPr>
                      <w:rFonts w:hint="eastAsia"/>
                    </w:rPr>
                    <w:t>相关方名称举例</w:t>
                  </w:r>
                </w:p>
              </w:tc>
              <w:tc>
                <w:tcPr>
                  <w:tcW w:w="3959" w:type="dxa"/>
                </w:tcPr>
                <w:p>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主管部门</w:t>
                  </w:r>
                </w:p>
              </w:tc>
              <w:tc>
                <w:tcPr>
                  <w:tcW w:w="3471" w:type="dxa"/>
                </w:tcPr>
                <w:p>
                  <w:pPr>
                    <w:pStyle w:val="8"/>
                    <w:ind w:left="0" w:leftChars="0" w:firstLine="0" w:firstLineChars="0"/>
                    <w:jc w:val="left"/>
                    <w:rPr>
                      <w:rFonts w:hint="default" w:eastAsia="宋体"/>
                      <w:lang w:val="en-US" w:eastAsia="zh-CN"/>
                    </w:rPr>
                  </w:pPr>
                  <w:r>
                    <w:rPr>
                      <w:rFonts w:hint="eastAsia"/>
                      <w:lang w:val="en-US" w:eastAsia="zh-CN"/>
                    </w:rPr>
                    <w:t>杭州余杭区市场监督管理局</w:t>
                  </w:r>
                </w:p>
              </w:tc>
              <w:tc>
                <w:tcPr>
                  <w:tcW w:w="395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遵守食品安全相关的法律法规</w:t>
                  </w:r>
                </w:p>
                <w:p>
                  <w:pPr>
                    <w:rPr>
                      <w:rFonts w:hint="default" w:eastAsia="宋体"/>
                      <w:highlight w:val="none"/>
                      <w:lang w:val="en-US" w:eastAsia="zh-CN"/>
                    </w:rPr>
                  </w:pPr>
                  <w:r>
                    <w:rPr>
                      <w:rFonts w:hint="eastAsia"/>
                      <w:highlight w:val="none"/>
                    </w:rPr>
                    <w:sym w:font="Wingdings 2" w:char="0052"/>
                  </w:r>
                  <w:r>
                    <w:rPr>
                      <w:rFonts w:hint="eastAsia"/>
                      <w:highlight w:val="none"/>
                      <w:lang w:val="en-US" w:eastAsia="zh-CN"/>
                    </w:rPr>
                    <w:t>遵守保健品的相关法律法规要求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供方</w:t>
                  </w:r>
                </w:p>
              </w:tc>
              <w:tc>
                <w:tcPr>
                  <w:tcW w:w="3471" w:type="dxa"/>
                </w:tcPr>
                <w:p>
                  <w:pPr>
                    <w:rPr>
                      <w:rFonts w:hint="default" w:eastAsia="宋体"/>
                      <w:highlight w:val="none"/>
                      <w:lang w:val="en-US" w:eastAsia="zh-CN"/>
                    </w:rPr>
                  </w:pPr>
                  <w:r>
                    <w:rPr>
                      <w:rFonts w:hint="eastAsia"/>
                      <w:highlight w:val="none"/>
                      <w:lang w:val="en-US" w:eastAsia="zh-CN"/>
                    </w:rPr>
                    <w:t>昆山市绿洲香料有限公司、山东新和成药业有限公司、河南龙香香料有限公司等</w:t>
                  </w:r>
                </w:p>
              </w:tc>
              <w:tc>
                <w:tcPr>
                  <w:tcW w:w="395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组织的持续经营、明示食品安全采购要求</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pPr>
                    <w:rPr>
                      <w:highlight w:val="yellow"/>
                    </w:rPr>
                  </w:pPr>
                  <w:r>
                    <w:rPr>
                      <w:rFonts w:hint="eastAsia"/>
                      <w:highlight w:val="none"/>
                      <w:lang w:eastAsia="zh-CN"/>
                    </w:rPr>
                    <w:sym w:font="Wingdings 2" w:char="0052"/>
                  </w:r>
                  <w:r>
                    <w:rPr>
                      <w:rFonts w:hint="eastAsia"/>
                      <w:highlight w:val="none"/>
                    </w:rPr>
                    <w:t>顾客</w:t>
                  </w:r>
                </w:p>
              </w:tc>
              <w:tc>
                <w:tcPr>
                  <w:tcW w:w="3471" w:type="dxa"/>
                </w:tcPr>
                <w:p>
                  <w:pPr>
                    <w:rPr>
                      <w:rFonts w:hint="default" w:eastAsia="宋体"/>
                      <w:highlight w:val="yellow"/>
                      <w:lang w:val="en-US" w:eastAsia="zh-CN"/>
                    </w:rPr>
                  </w:pPr>
                  <w:r>
                    <w:rPr>
                      <w:rFonts w:hint="eastAsia"/>
                      <w:highlight w:val="none"/>
                      <w:lang w:val="en-US" w:eastAsia="zh-CN"/>
                    </w:rPr>
                    <w:t>深圳市卓凡生物科技有限公司、东莞市吉纯生物技术有限公司等</w:t>
                  </w:r>
                </w:p>
              </w:tc>
              <w:tc>
                <w:tcPr>
                  <w:tcW w:w="395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按时按质按量交付产品或服务；</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产品/服务质量持续满足要求</w:t>
                  </w:r>
                </w:p>
                <w:p>
                  <w:pPr>
                    <w:ind w:left="210" w:hanging="210" w:hangingChars="100"/>
                    <w:rPr>
                      <w:highlight w:val="none"/>
                    </w:rPr>
                  </w:pPr>
                  <w:r>
                    <w:rPr>
                      <w:rFonts w:hint="eastAsia"/>
                      <w:highlight w:val="none"/>
                    </w:rPr>
                    <w:t>☑不因食品安全问题影响按时按质按量交付产品或服务；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消费者</w:t>
                  </w:r>
                </w:p>
              </w:tc>
              <w:tc>
                <w:tcPr>
                  <w:tcW w:w="3471" w:type="dxa"/>
                </w:tcPr>
                <w:p>
                  <w:pPr>
                    <w:rPr>
                      <w:rFonts w:hint="default" w:eastAsia="宋体"/>
                      <w:lang w:val="en-US" w:eastAsia="zh-CN"/>
                    </w:rPr>
                  </w:pPr>
                  <w:r>
                    <w:rPr>
                      <w:rFonts w:hint="eastAsia"/>
                      <w:lang w:val="en-US" w:eastAsia="zh-CN"/>
                    </w:rPr>
                    <w:t>普通大众</w:t>
                  </w:r>
                </w:p>
              </w:tc>
              <w:tc>
                <w:tcPr>
                  <w:tcW w:w="3959" w:type="dxa"/>
                </w:tcPr>
                <w:p>
                  <w:r>
                    <w:rPr>
                      <w:rFonts w:hint="eastAsia"/>
                      <w:lang w:eastAsia="zh-CN"/>
                    </w:rPr>
                    <w:sym w:font="Wingdings 2" w:char="0052"/>
                  </w:r>
                  <w:r>
                    <w:rPr>
                      <w:rFonts w:hint="eastAsia"/>
                    </w:rPr>
                    <w:t>良好的使用感受</w:t>
                  </w:r>
                </w:p>
                <w:p>
                  <w:r>
                    <w:rPr>
                      <w:rFonts w:hint="eastAsia"/>
                      <w:lang w:eastAsia="zh-CN"/>
                    </w:rPr>
                    <w:sym w:font="Wingdings 2" w:char="0052"/>
                  </w:r>
                  <w:r>
                    <w:rPr>
                      <w:rFonts w:hint="eastAsia"/>
                    </w:rPr>
                    <w:t>不因食品安全问题带来健康损害和生命威胁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sym w:font="Wingdings 2" w:char="0052"/>
                  </w:r>
                  <w:r>
                    <w:rPr>
                      <w:rFonts w:hint="eastAsia"/>
                    </w:rPr>
                    <w:t>员工</w:t>
                  </w:r>
                </w:p>
              </w:tc>
              <w:tc>
                <w:tcPr>
                  <w:tcW w:w="3471" w:type="dxa"/>
                </w:tcPr>
                <w:p>
                  <w:pPr>
                    <w:rPr>
                      <w:szCs w:val="24"/>
                    </w:rPr>
                  </w:pPr>
                  <w:r>
                    <w:rPr>
                      <w:rFonts w:hint="eastAsia"/>
                      <w:szCs w:val="24"/>
                    </w:rPr>
                    <w:t>雇员</w:t>
                  </w:r>
                </w:p>
              </w:tc>
              <w:tc>
                <w:tcPr>
                  <w:tcW w:w="3959" w:type="dxa"/>
                </w:tcPr>
                <w:p>
                  <w:r>
                    <w:rPr>
                      <w:rFonts w:hint="eastAsia"/>
                      <w:lang w:eastAsia="zh-CN"/>
                    </w:rPr>
                    <w:sym w:font="Wingdings 2" w:char="0052"/>
                  </w:r>
                  <w:r>
                    <w:rPr>
                      <w:rFonts w:hint="eastAsia"/>
                    </w:rPr>
                    <w:t>组织的持续经营、自我发展</w:t>
                  </w:r>
                </w:p>
                <w:p>
                  <w:r>
                    <w:rPr>
                      <w:rFonts w:hint="eastAsia"/>
                    </w:rPr>
                    <w:t>☑不因食品安全问题停产，组织持续经营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pPr>
                    <w:rPr>
                      <w:rFonts w:hint="eastAsia"/>
                    </w:rPr>
                  </w:pPr>
                  <w:r>
                    <w:rPr>
                      <w:rFonts w:hint="eastAsia"/>
                      <w:lang w:eastAsia="zh-CN"/>
                    </w:rPr>
                    <w:t>□</w:t>
                  </w:r>
                  <w:r>
                    <w:rPr>
                      <w:rFonts w:hint="eastAsia"/>
                    </w:rPr>
                    <w:t>投资方</w:t>
                  </w:r>
                </w:p>
                <w:p>
                  <w:pPr>
                    <w:pStyle w:val="8"/>
                    <w:ind w:left="0" w:leftChars="0" w:firstLine="0" w:firstLineChars="0"/>
                    <w:rPr>
                      <w:rFonts w:hint="eastAsia"/>
                      <w:lang w:eastAsia="zh-CN"/>
                    </w:rPr>
                  </w:pPr>
                  <w:r>
                    <w:rPr>
                      <w:rFonts w:hint="eastAsia"/>
                      <w:lang w:eastAsia="zh-CN"/>
                    </w:rPr>
                    <w:sym w:font="Wingdings 2" w:char="0052"/>
                  </w:r>
                  <w:r>
                    <w:rPr>
                      <w:rFonts w:hint="eastAsia"/>
                      <w:lang w:val="en-US" w:eastAsia="zh-CN"/>
                    </w:rPr>
                    <w:t>股东</w:t>
                  </w:r>
                </w:p>
              </w:tc>
              <w:tc>
                <w:tcPr>
                  <w:tcW w:w="3471" w:type="dxa"/>
                </w:tcPr>
                <w:p>
                  <w:pPr>
                    <w:rPr>
                      <w:rFonts w:hint="default" w:eastAsia="宋体"/>
                      <w:highlight w:val="none"/>
                      <w:lang w:val="en-US" w:eastAsia="zh-CN"/>
                    </w:rPr>
                  </w:pPr>
                  <w:r>
                    <w:rPr>
                      <w:rFonts w:hint="eastAsia"/>
                      <w:highlight w:val="none"/>
                      <w:lang w:val="en-US" w:eastAsia="zh-CN"/>
                    </w:rPr>
                    <w:t>胡平等</w:t>
                  </w:r>
                </w:p>
              </w:tc>
              <w:tc>
                <w:tcPr>
                  <w:tcW w:w="395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组织的持续经营、盈利</w:t>
                  </w:r>
                </w:p>
                <w:p>
                  <w:pPr>
                    <w:rPr>
                      <w:highlight w:val="none"/>
                    </w:rPr>
                  </w:pPr>
                  <w:r>
                    <w:rPr>
                      <w:rFonts w:hint="eastAsia"/>
                      <w:highlight w:val="none"/>
                      <w:lang w:eastAsia="zh-CN"/>
                    </w:rPr>
                    <w:sym w:font="Wingdings 2" w:char="0052"/>
                  </w:r>
                  <w:r>
                    <w:rPr>
                      <w:rFonts w:hint="eastAsia"/>
                      <w:highlight w:val="none"/>
                    </w:rPr>
                    <w:t>不因食品安全问题停产，组织持续经营、盈利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社区</w:t>
                  </w:r>
                </w:p>
              </w:tc>
              <w:tc>
                <w:tcPr>
                  <w:tcW w:w="3471" w:type="dxa"/>
                </w:tcPr>
                <w:p>
                  <w:r>
                    <w:rPr>
                      <w:rFonts w:hint="eastAsia" w:ascii="宋体" w:hAnsi="宋体" w:cs="宋体"/>
                      <w:szCs w:val="21"/>
                    </w:rPr>
                    <w:t>周边企业和居民</w:t>
                  </w:r>
                </w:p>
              </w:tc>
              <w:tc>
                <w:tcPr>
                  <w:tcW w:w="3959" w:type="dxa"/>
                </w:tcPr>
                <w:p>
                  <w:r>
                    <w:rPr>
                      <w:rFonts w:hint="eastAsia"/>
                    </w:rPr>
                    <w:sym w:font="Wingdings 2" w:char="0052"/>
                  </w:r>
                  <w:r>
                    <w:rPr>
                      <w:rFonts w:hint="eastAsia"/>
                    </w:rPr>
                    <w:t>不因食品安全问题影响周围人员的就业</w:t>
                  </w:r>
                </w:p>
                <w:p>
                  <w:pPr>
                    <w:rPr>
                      <w:rFonts w:hint="default" w:eastAsia="宋体"/>
                      <w:lang w:val="en-US" w:eastAsia="zh-CN"/>
                    </w:rPr>
                  </w:pPr>
                  <w:r>
                    <w:rPr>
                      <w:rFonts w:hint="eastAsia"/>
                    </w:rPr>
                    <w:sym w:font="Wingdings 2" w:char="0052"/>
                  </w:r>
                  <w:r>
                    <w:rPr>
                      <w:rFonts w:hint="eastAsia"/>
                      <w:lang w:val="en-US" w:eastAsia="zh-CN"/>
                    </w:rPr>
                    <w:t>不因为废水废气的排放影响到周围社区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3471" w:type="dxa"/>
                </w:tcPr>
                <w:p/>
              </w:tc>
              <w:tc>
                <w:tcPr>
                  <w:tcW w:w="3959" w:type="dxa"/>
                </w:tcPr>
                <w:p/>
              </w:tc>
            </w:tr>
          </w:tbl>
          <w:p>
            <w:pPr>
              <w:rPr>
                <w:color w:val="000000"/>
                <w:szCs w:val="21"/>
              </w:rPr>
            </w:pPr>
          </w:p>
          <w:p>
            <w:pPr>
              <w:rPr>
                <w:rFonts w:hint="default" w:eastAsia="宋体"/>
                <w:color w:val="000000"/>
                <w:szCs w:val="21"/>
                <w:lang w:val="en-US" w:eastAsia="zh-CN"/>
              </w:rPr>
            </w:pPr>
            <w:r>
              <w:rPr>
                <w:rFonts w:hint="eastAsia"/>
                <w:color w:val="000000"/>
                <w:szCs w:val="21"/>
                <w:highlight w:val="none"/>
              </w:rPr>
              <w:t>主要证据体现在</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《相关方期望要求识别表》、</w:t>
            </w:r>
            <w:r>
              <w:rPr>
                <w:rFonts w:hint="eastAsia"/>
                <w:highlight w:val="none"/>
              </w:rPr>
              <w:sym w:font="Wingdings" w:char="00FE"/>
            </w:r>
            <w:r>
              <w:rPr>
                <w:rFonts w:hint="eastAsia"/>
                <w:highlight w:val="none"/>
              </w:rPr>
              <w:t>《</w:t>
            </w:r>
            <w:r>
              <w:rPr>
                <w:rFonts w:hint="eastAsia"/>
                <w:highlight w:val="none"/>
                <w:lang w:val="en-US" w:eastAsia="zh-CN"/>
              </w:rPr>
              <w:t>组织内外部环境要素识别表</w:t>
            </w:r>
            <w:r>
              <w:rPr>
                <w:rFonts w:hint="eastAsia"/>
                <w:highlight w:val="none"/>
              </w:rPr>
              <w:t xml:space="preserve">》、 </w:t>
            </w:r>
            <w:r>
              <w:rPr>
                <w:rFonts w:hint="eastAsia"/>
                <w:highlight w:val="none"/>
              </w:rPr>
              <w:sym w:font="Wingdings" w:char="00A8"/>
            </w:r>
            <w:r>
              <w:rPr>
                <w:rFonts w:hint="eastAsia"/>
                <w:highlight w:val="none"/>
              </w:rPr>
              <w:t>《年度业务计划》</w:t>
            </w:r>
            <w:r>
              <w:rPr>
                <w:rFonts w:hint="eastAsia"/>
                <w:highlight w:val="none"/>
                <w:lang w:val="en-US" w:eastAsia="zh-CN"/>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lang w:eastAsia="zh-CN"/>
              </w:rPr>
              <w:t>《</w:t>
            </w:r>
            <w:r>
              <w:rPr>
                <w:rFonts w:hint="eastAsia"/>
                <w:highlight w:val="none"/>
                <w:lang w:val="en-US" w:eastAsia="zh-CN"/>
              </w:rPr>
              <w:t>相关方的需求和期望清单</w:t>
            </w:r>
            <w:r>
              <w:rPr>
                <w:rFonts w:hint="eastAsia" w:ascii="宋体" w:hAnsi="宋体"/>
                <w:highlight w:val="none"/>
                <w:lang w:eastAsia="zh-CN"/>
              </w:rPr>
              <w:t>》</w:t>
            </w:r>
            <w:r>
              <w:rPr>
                <w:rFonts w:hint="eastAsia"/>
                <w:highlight w:val="none"/>
              </w:rPr>
              <w:t xml:space="preserve"> </w:t>
            </w:r>
            <w:r>
              <w:rPr>
                <w:rFonts w:hint="eastAsia"/>
                <w:highlight w:val="none"/>
              </w:rPr>
              <w:sym w:font="Wingdings" w:char="00A8"/>
            </w:r>
            <w:r>
              <w:rPr>
                <w:rFonts w:hint="eastAsia"/>
                <w:highlight w:val="none"/>
              </w:rPr>
              <w:t>其他</w:t>
            </w:r>
          </w:p>
        </w:tc>
        <w:tc>
          <w:tcPr>
            <w:tcW w:w="1589" w:type="dxa"/>
            <w:gridSpan w:val="3"/>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r>
              <w:rPr>
                <w:rFonts w:hint="eastAsia"/>
              </w:rPr>
              <w:t>确定质量/食品安全管理体系的范围</w:t>
            </w:r>
          </w:p>
        </w:tc>
        <w:tc>
          <w:tcPr>
            <w:tcW w:w="960" w:type="dxa"/>
            <w:vMerge w:val="restart"/>
            <w:shd w:val="clear" w:color="auto" w:fill="auto"/>
          </w:tcPr>
          <w:p>
            <w:pPr>
              <w:rPr>
                <w:rFonts w:hint="default" w:eastAsia="宋体"/>
                <w:lang w:val="en-US" w:eastAsia="zh-CN"/>
              </w:rPr>
            </w:pPr>
            <w:r>
              <w:rPr>
                <w:rFonts w:hint="eastAsia"/>
                <w:lang w:val="en-US" w:eastAsia="zh-CN"/>
              </w:rPr>
              <w:t>Q4.3</w:t>
            </w:r>
          </w:p>
          <w:p>
            <w:r>
              <w:rPr>
                <w:rFonts w:hint="eastAsia"/>
              </w:rPr>
              <w:t>F4.3</w:t>
            </w:r>
          </w:p>
        </w:tc>
        <w:tc>
          <w:tcPr>
            <w:tcW w:w="745" w:type="dxa"/>
            <w:shd w:val="clear" w:color="auto" w:fill="auto"/>
          </w:tcPr>
          <w:p>
            <w:r>
              <w:rPr>
                <w:rFonts w:hint="eastAsia"/>
              </w:rPr>
              <w:t>文件名称</w:t>
            </w:r>
          </w:p>
        </w:tc>
        <w:tc>
          <w:tcPr>
            <w:tcW w:w="9256" w:type="dxa"/>
            <w:shd w:val="clear" w:color="auto" w:fill="auto"/>
          </w:tcPr>
          <w:p>
            <w:pPr>
              <w:rPr>
                <w:rFonts w:hint="default"/>
                <w:lang w:val="en-US"/>
              </w:rPr>
            </w:pPr>
            <w:r>
              <w:rPr>
                <w:rFonts w:hint="eastAsia"/>
              </w:rPr>
              <w:t>如：</w:t>
            </w:r>
            <w:r>
              <w:rPr/>
              <w:sym w:font="Wingdings" w:char="00FE"/>
            </w:r>
            <w:r>
              <w:rPr>
                <w:rFonts w:hint="eastAsia"/>
                <w:lang w:eastAsia="zh-CN"/>
              </w:rPr>
              <w:t>《</w:t>
            </w:r>
            <w:r>
              <w:rPr>
                <w:rFonts w:hint="eastAsia"/>
                <w:lang w:val="en-US" w:eastAsia="zh-CN"/>
              </w:rPr>
              <w:t>质量与食品</w:t>
            </w:r>
            <w:r>
              <w:rPr>
                <w:rFonts w:hint="eastAsia"/>
              </w:rPr>
              <w:t>管理手册</w:t>
            </w:r>
            <w:r>
              <w:rPr>
                <w:rFonts w:hint="eastAsia"/>
                <w:lang w:eastAsia="zh-CN"/>
              </w:rPr>
              <w:t>》</w:t>
            </w:r>
            <w:r>
              <w:rPr>
                <w:rFonts w:hint="eastAsia"/>
                <w:lang w:val="en-US" w:eastAsia="zh-CN"/>
              </w:rPr>
              <w:t>4.3条款</w:t>
            </w:r>
          </w:p>
        </w:tc>
        <w:tc>
          <w:tcPr>
            <w:tcW w:w="1589" w:type="dxa"/>
            <w:gridSpan w:val="3"/>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gridSpan w:val="2"/>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r>
              <w:rPr>
                <w:rFonts w:hint="eastAsia"/>
              </w:rPr>
              <w:t>组织应明确相关管理体系的范围；</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756"/>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5756" w:type="dxa"/>
                </w:tcPr>
                <w:p>
                  <w:r>
                    <w:rPr>
                      <w:rFonts w:hint="eastAsia"/>
                    </w:rPr>
                    <w:t>内容描述</w:t>
                  </w:r>
                </w:p>
              </w:tc>
              <w:tc>
                <w:tcPr>
                  <w:tcW w:w="137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11" w:type="dxa"/>
                </w:tcPr>
                <w:p>
                  <w:r>
                    <w:rPr>
                      <w:rFonts w:hint="eastAsia"/>
                    </w:rPr>
                    <w:t>产品/服务的活动</w:t>
                  </w:r>
                </w:p>
              </w:tc>
              <w:tc>
                <w:tcPr>
                  <w:tcW w:w="5756" w:type="dxa"/>
                </w:tcPr>
                <w:p>
                  <w:pPr>
                    <w:rPr>
                      <w:szCs w:val="21"/>
                      <w:highlight w:val="none"/>
                    </w:rPr>
                  </w:pPr>
                  <w:bookmarkStart w:id="0" w:name="审核范围"/>
                  <w:r>
                    <w:t>食品用香精（液体）的生产</w:t>
                  </w:r>
                  <w:bookmarkEnd w:id="0"/>
                </w:p>
              </w:tc>
              <w:tc>
                <w:tcPr>
                  <w:tcW w:w="1376"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 xml:space="preserve">审核范围描述 </w:t>
                  </w:r>
                </w:p>
              </w:tc>
              <w:tc>
                <w:tcPr>
                  <w:tcW w:w="5756" w:type="dxa"/>
                </w:tcPr>
                <w:p>
                  <w:r>
                    <w:t>Q：食品用香精（液体）的生产</w:t>
                  </w:r>
                </w:p>
                <w:p>
                  <w:pPr>
                    <w:autoSpaceDE w:val="0"/>
                    <w:autoSpaceDN w:val="0"/>
                    <w:adjustRightInd w:val="0"/>
                    <w:jc w:val="left"/>
                    <w:rPr>
                      <w:highlight w:val="none"/>
                    </w:rPr>
                  </w:pPr>
                  <w:r>
                    <w:t>F：位于浙江省杭州市余杭区径山镇长乐村杭州美森香料有限公司</w:t>
                  </w:r>
                  <w:r>
                    <w:rPr>
                      <w:highlight w:val="none"/>
                    </w:rPr>
                    <w:t>生产车间</w:t>
                  </w:r>
                  <w:r>
                    <w:t>食品用香精（液体）的生产</w:t>
                  </w:r>
                </w:p>
              </w:tc>
              <w:tc>
                <w:tcPr>
                  <w:tcW w:w="1376" w:type="dxa"/>
                </w:tcPr>
                <w:p>
                  <w:pPr>
                    <w:rPr>
                      <w:rFonts w:hint="eastAsia" w:eastAsia="宋体"/>
                      <w:color w:val="0000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911" w:type="dxa"/>
                </w:tcPr>
                <w:p>
                  <w:pPr>
                    <w:rPr>
                      <w:rFonts w:hint="default" w:eastAsia="宋体"/>
                      <w:lang w:val="en-US" w:eastAsia="zh-CN"/>
                    </w:rPr>
                  </w:pPr>
                  <w:r>
                    <w:rPr>
                      <w:rFonts w:hint="eastAsia"/>
                      <w:lang w:val="en-US" w:eastAsia="zh-CN"/>
                    </w:rPr>
                    <w:t>注册地址</w:t>
                  </w:r>
                </w:p>
              </w:tc>
              <w:tc>
                <w:tcPr>
                  <w:tcW w:w="5756" w:type="dxa"/>
                  <w:vAlign w:val="center"/>
                </w:tcPr>
                <w:p>
                  <w:pPr>
                    <w:rPr>
                      <w:rFonts w:hint="eastAsia" w:cs="Times New Roman" w:asciiTheme="minorEastAsia" w:hAnsiTheme="minorEastAsia" w:eastAsiaTheme="minorEastAsia"/>
                      <w:kern w:val="2"/>
                      <w:sz w:val="20"/>
                      <w:lang w:val="en-US" w:eastAsia="zh-CN" w:bidi="ar-SA"/>
                    </w:rPr>
                  </w:pPr>
                  <w:bookmarkStart w:id="1" w:name="注册地址"/>
                  <w:r>
                    <w:rPr>
                      <w:sz w:val="21"/>
                      <w:szCs w:val="21"/>
                    </w:rPr>
                    <w:t>浙江省杭州市余杭区径山镇长乐村</w:t>
                  </w:r>
                  <w:bookmarkEnd w:id="1"/>
                </w:p>
              </w:tc>
              <w:tc>
                <w:tcPr>
                  <w:tcW w:w="1376"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11" w:type="dxa"/>
                </w:tcPr>
                <w:p>
                  <w:r>
                    <w:rPr>
                      <w:rFonts w:hint="eastAsia"/>
                    </w:rPr>
                    <w:t>经营地址</w:t>
                  </w:r>
                </w:p>
              </w:tc>
              <w:tc>
                <w:tcPr>
                  <w:tcW w:w="5756" w:type="dxa"/>
                  <w:vAlign w:val="center"/>
                </w:tcPr>
                <w:p>
                  <w:pPr>
                    <w:rPr>
                      <w:rFonts w:hint="eastAsia" w:cs="Times New Roman" w:asciiTheme="minorEastAsia" w:hAnsiTheme="minorEastAsia" w:eastAsiaTheme="minorEastAsia"/>
                      <w:kern w:val="2"/>
                      <w:sz w:val="20"/>
                      <w:lang w:val="en-US" w:eastAsia="zh-CN" w:bidi="ar-SA"/>
                    </w:rPr>
                  </w:pPr>
                  <w:r>
                    <w:rPr>
                      <w:sz w:val="21"/>
                      <w:szCs w:val="21"/>
                    </w:rPr>
                    <w:t>浙江省杭州市余杭区径山镇长乐村</w:t>
                  </w:r>
                </w:p>
              </w:tc>
              <w:tc>
                <w:tcPr>
                  <w:tcW w:w="1376" w:type="dxa"/>
                </w:tcPr>
                <w:p>
                  <w:pPr>
                    <w:rPr>
                      <w:rFonts w:hint="default" w:eastAsia="宋体"/>
                      <w:color w:val="0000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临时现场</w:t>
                  </w:r>
                </w:p>
              </w:tc>
              <w:tc>
                <w:tcPr>
                  <w:tcW w:w="5756" w:type="dxa"/>
                </w:tcPr>
                <w:p>
                  <w:r>
                    <w:rPr>
                      <w:rFonts w:hint="eastAsia"/>
                    </w:rPr>
                    <w:t>——</w:t>
                  </w:r>
                </w:p>
              </w:tc>
              <w:tc>
                <w:tcPr>
                  <w:tcW w:w="137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多场所</w:t>
                  </w:r>
                </w:p>
              </w:tc>
              <w:tc>
                <w:tcPr>
                  <w:tcW w:w="5756" w:type="dxa"/>
                </w:tcPr>
                <w:p>
                  <w:r>
                    <w:rPr>
                      <w:rFonts w:hint="eastAsia"/>
                    </w:rPr>
                    <w:t>——</w:t>
                  </w:r>
                </w:p>
              </w:tc>
              <w:tc>
                <w:tcPr>
                  <w:tcW w:w="137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575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r>
                    <w:rPr>
                      <w:u w:val="single"/>
                    </w:rPr>
                    <w:t xml:space="preserve">   </w:t>
                  </w:r>
                  <w:r>
                    <w:rPr>
                      <w:rFonts w:hint="eastAsia"/>
                      <w:u w:val="single"/>
                    </w:rPr>
                    <w:t xml:space="preserve">   </w:t>
                  </w:r>
                </w:p>
              </w:tc>
              <w:tc>
                <w:tcPr>
                  <w:tcW w:w="1376" w:type="dxa"/>
                </w:tcPr>
                <w:p>
                  <w:pPr>
                    <w:rPr>
                      <w:rFonts w:hint="default" w:eastAsia="宋体"/>
                      <w:lang w:val="en-US" w:eastAsia="zh-CN"/>
                    </w:rPr>
                  </w:pPr>
                  <w:r>
                    <w:rPr>
                      <w:rFonts w:hint="eastAsia"/>
                      <w:lang w:eastAsia="zh-CN"/>
                    </w:rPr>
                    <w:t>——</w:t>
                  </w:r>
                  <w:r>
                    <w:rPr>
                      <w:rFonts w:hint="eastAsia"/>
                      <w:lang w:val="en-US" w:eastAsia="zh-CN"/>
                    </w:rPr>
                    <w:t>不涉及分支机构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5756" w:type="dxa"/>
                </w:tcPr>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 体系建立以来，</w:t>
                  </w:r>
                  <w:r>
                    <w:rPr>
                      <w:rFonts w:hint="eastAsia"/>
                      <w:lang w:val="en-US" w:eastAsia="zh-CN"/>
                    </w:rPr>
                    <w:t>2022-09-01</w:t>
                  </w:r>
                </w:p>
                <w:p>
                  <w:pPr>
                    <w:rPr>
                      <w:rFonts w:hint="default" w:eastAsia="宋体"/>
                      <w:lang w:val="en-US" w:eastAsia="zh-CN"/>
                    </w:rPr>
                  </w:pPr>
                  <w:r>
                    <w:rPr>
                      <w:rFonts w:hint="eastAsia"/>
                    </w:rPr>
                    <w:sym w:font="Wingdings" w:char="00A8"/>
                  </w:r>
                  <w:r>
                    <w:rPr>
                      <w:rFonts w:hint="eastAsia"/>
                      <w:lang w:val="en-US" w:eastAsia="zh-CN"/>
                    </w:rPr>
                    <w:t>近一年以来，未发生变化</w:t>
                  </w:r>
                </w:p>
              </w:tc>
              <w:tc>
                <w:tcPr>
                  <w:tcW w:w="137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不适用ISO9001的条款</w:t>
                  </w:r>
                </w:p>
              </w:tc>
              <w:tc>
                <w:tcPr>
                  <w:tcW w:w="575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8.3产品和服务的设计和开发</w:t>
                  </w:r>
                </w:p>
              </w:tc>
              <w:tc>
                <w:tcPr>
                  <w:tcW w:w="1376" w:type="dxa"/>
                </w:tcPr>
                <w:p>
                  <w:pPr>
                    <w:rPr>
                      <w:rFonts w:hint="default" w:eastAsia="宋体"/>
                      <w:lang w:val="en-US" w:eastAsia="zh-CN"/>
                    </w:rPr>
                  </w:pPr>
                  <w:r>
                    <w:rPr>
                      <w:rFonts w:hint="eastAsia"/>
                    </w:rPr>
                    <w:sym w:font="Wingdings" w:char="00FE"/>
                  </w:r>
                  <w:r>
                    <w:rPr>
                      <w:rFonts w:hint="eastAsia"/>
                    </w:rPr>
                    <w:t>其他</w:t>
                  </w:r>
                  <w:r>
                    <w:rPr>
                      <w:rFonts w:hint="eastAsia"/>
                      <w:lang w:eastAsia="zh-CN"/>
                    </w:rPr>
                    <w:t>——</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trike/>
                      <w:dstrike w:val="0"/>
                      <w:szCs w:val="24"/>
                    </w:rPr>
                  </w:pPr>
                  <w:r>
                    <w:rPr>
                      <w:rFonts w:hint="eastAsia"/>
                      <w:strike/>
                      <w:dstrike w:val="0"/>
                    </w:rPr>
                    <w:t>不适用的理由（可多选）</w:t>
                  </w:r>
                </w:p>
              </w:tc>
              <w:tc>
                <w:tcPr>
                  <w:tcW w:w="5756" w:type="dxa"/>
                  <w:vAlign w:val="center"/>
                </w:tcPr>
                <w:p>
                  <w:pPr>
                    <w:rPr>
                      <w:strike/>
                      <w:dstrike w:val="0"/>
                    </w:rPr>
                  </w:pPr>
                  <w:r>
                    <w:rPr>
                      <w:rFonts w:hint="eastAsia"/>
                      <w:strike/>
                      <w:dstrike w:val="0"/>
                    </w:rPr>
                    <w:t xml:space="preserve">□受审核组织没有设计开发的责任    </w:t>
                  </w:r>
                </w:p>
                <w:p>
                  <w:pPr>
                    <w:rPr>
                      <w:strike/>
                      <w:dstrike w:val="0"/>
                    </w:rPr>
                  </w:pPr>
                  <w:r>
                    <w:rPr>
                      <w:rFonts w:hint="eastAsia"/>
                      <w:strike/>
                      <w:dstrike w:val="0"/>
                    </w:rPr>
                    <w:t xml:space="preserve">□受审核组织没有设计开发的能力   </w:t>
                  </w:r>
                </w:p>
                <w:p>
                  <w:pPr>
                    <w:rPr>
                      <w:strike/>
                      <w:dstrike w:val="0"/>
                    </w:rPr>
                  </w:pPr>
                  <w:r>
                    <w:rPr>
                      <w:rFonts w:hint="eastAsia"/>
                      <w:strike/>
                      <w:dstrike w:val="0"/>
                    </w:rPr>
                    <w:t>□受审核组织没有设计开发修改的权力</w:t>
                  </w:r>
                </w:p>
                <w:p>
                  <w:pPr>
                    <w:rPr>
                      <w:strike/>
                      <w:dstrike w:val="0"/>
                    </w:rPr>
                  </w:pPr>
                  <w:r>
                    <w:rPr>
                      <w:rFonts w:hint="eastAsia"/>
                      <w:strike/>
                      <w:dstrike w:val="0"/>
                    </w:rPr>
                    <w:t>□受审核组织按照顾客图纸和合同要求提供生产和服务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ascii="宋体" w:hAnsi="宋体"/>
                      <w:strike/>
                      <w:dstrike w:val="0"/>
                    </w:rPr>
                    <w:fldChar w:fldCharType="begin"/>
                  </w:r>
                  <w:r>
                    <w:rPr>
                      <w:rFonts w:ascii="宋体" w:hAnsi="宋体"/>
                      <w:strike/>
                      <w:dstrike w:val="0"/>
                    </w:rPr>
                    <w:instrText xml:space="preserve"> </w:instrText>
                  </w:r>
                  <w:r>
                    <w:rPr>
                      <w:rFonts w:hint="eastAsia" w:ascii="宋体" w:hAnsi="宋体"/>
                      <w:strike/>
                      <w:dstrike w:val="0"/>
                    </w:rPr>
                    <w:instrText xml:space="preserve">eq \o\ac(□,√)</w:instrText>
                  </w:r>
                  <w:r>
                    <w:rPr>
                      <w:rFonts w:ascii="宋体" w:hAnsi="宋体"/>
                      <w:strike/>
                      <w:dstrike w:val="0"/>
                    </w:rPr>
                    <w:fldChar w:fldCharType="end"/>
                  </w:r>
                  <w:r>
                    <w:rPr>
                      <w:rFonts w:hint="eastAsia"/>
                      <w:strike/>
                      <w:dstrike w:val="0"/>
                    </w:rPr>
                    <w:t>受审核组织按照传统工艺提供生产和服务</w:t>
                  </w:r>
                </w:p>
                <w:p>
                  <w:pPr>
                    <w:rPr>
                      <w:strike/>
                      <w:dstrike w:val="0"/>
                    </w:rPr>
                  </w:pPr>
                  <w:r>
                    <w:rPr>
                      <w:rFonts w:hint="eastAsia"/>
                      <w:strike/>
                      <w:dstrike w:val="0"/>
                    </w:rPr>
                    <w:t>□其他：</w:t>
                  </w:r>
                  <w:r>
                    <w:rPr>
                      <w:strike/>
                      <w:dstrike w:val="0"/>
                    </w:rPr>
                    <w:t xml:space="preserve"> </w:t>
                  </w:r>
                </w:p>
              </w:tc>
              <w:tc>
                <w:tcPr>
                  <w:tcW w:w="1376" w:type="dxa"/>
                </w:tcPr>
                <w:p/>
              </w:tc>
            </w:tr>
          </w:tbl>
          <w:p/>
          <w:p>
            <w:pPr>
              <w:rPr>
                <w:color w:val="000000"/>
                <w:szCs w:val="21"/>
              </w:rPr>
            </w:pPr>
            <w:r>
              <w:rPr>
                <w:rFonts w:hint="eastAsia"/>
                <w:color w:val="000000"/>
                <w:szCs w:val="21"/>
              </w:rPr>
              <w:t>在企业的管理手册中有描述。</w:t>
            </w:r>
          </w:p>
        </w:tc>
        <w:tc>
          <w:tcPr>
            <w:tcW w:w="1589" w:type="dxa"/>
            <w:gridSpan w:val="3"/>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pPr>
              <w:jc w:val="left"/>
            </w:pPr>
            <w:r>
              <w:rPr>
                <w:rFonts w:hint="eastAsia"/>
              </w:rPr>
              <w:t>食品安全管理体系及其过程</w:t>
            </w:r>
          </w:p>
        </w:tc>
        <w:tc>
          <w:tcPr>
            <w:tcW w:w="960" w:type="dxa"/>
            <w:vMerge w:val="restart"/>
            <w:shd w:val="clear" w:color="auto" w:fill="auto"/>
          </w:tcPr>
          <w:p>
            <w:pPr>
              <w:rPr>
                <w:rFonts w:hint="default" w:eastAsia="宋体"/>
                <w:lang w:val="en-US" w:eastAsia="zh-CN"/>
              </w:rPr>
            </w:pPr>
            <w:r>
              <w:rPr>
                <w:rFonts w:hint="eastAsia"/>
                <w:lang w:val="en-US" w:eastAsia="zh-CN"/>
              </w:rPr>
              <w:t>Q4.4</w:t>
            </w:r>
          </w:p>
          <w:p>
            <w:r>
              <w:rPr>
                <w:rFonts w:hint="eastAsia"/>
              </w:rPr>
              <w:t xml:space="preserve">F4.4 </w:t>
            </w:r>
          </w:p>
        </w:tc>
        <w:tc>
          <w:tcPr>
            <w:tcW w:w="745" w:type="dxa"/>
            <w:shd w:val="clear" w:color="auto" w:fill="auto"/>
          </w:tcPr>
          <w:p>
            <w:r>
              <w:rPr>
                <w:rFonts w:hint="eastAsia"/>
              </w:rPr>
              <w:t>文件名称</w:t>
            </w:r>
          </w:p>
        </w:tc>
        <w:tc>
          <w:tcPr>
            <w:tcW w:w="9256" w:type="dxa"/>
            <w:shd w:val="clear" w:color="auto" w:fill="auto"/>
          </w:tcPr>
          <w:p>
            <w:r>
              <w:rPr>
                <w:rFonts w:hint="eastAsia"/>
              </w:rPr>
              <w:t>如：</w:t>
            </w:r>
            <w:r>
              <w:rPr/>
              <w:sym w:font="Wingdings" w:char="00FE"/>
            </w:r>
            <w:r>
              <w:rPr>
                <w:rFonts w:hint="eastAsia"/>
                <w:lang w:eastAsia="zh-CN"/>
              </w:rPr>
              <w:t>《</w:t>
            </w:r>
            <w:r>
              <w:rPr>
                <w:rFonts w:hint="eastAsia"/>
                <w:lang w:val="en-US" w:eastAsia="zh-CN"/>
              </w:rPr>
              <w:t>质量与食品</w:t>
            </w:r>
            <w:r>
              <w:rPr>
                <w:rFonts w:hint="eastAsia"/>
              </w:rPr>
              <w:t>管理手册</w:t>
            </w:r>
            <w:r>
              <w:rPr>
                <w:rFonts w:hint="eastAsia"/>
                <w:lang w:eastAsia="zh-CN"/>
              </w:rPr>
              <w:t>》</w:t>
            </w:r>
            <w:r>
              <w:rPr>
                <w:rFonts w:hint="eastAsia"/>
                <w:lang w:val="en-US" w:eastAsia="zh-CN"/>
              </w:rPr>
              <w:t>4.3条款</w:t>
            </w:r>
            <w:r>
              <w:rPr>
                <w:rFonts w:hint="eastAsia"/>
              </w:rPr>
              <w:t>、</w:t>
            </w:r>
            <w:r>
              <w:rPr/>
              <w:sym w:font="Wingdings" w:char="00A8"/>
            </w:r>
            <w:r>
              <w:rPr>
                <w:rFonts w:hint="eastAsia"/>
              </w:rPr>
              <w:t>《过程清单》</w:t>
            </w:r>
          </w:p>
        </w:tc>
        <w:tc>
          <w:tcPr>
            <w:tcW w:w="1589" w:type="dxa"/>
            <w:gridSpan w:val="3"/>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gridSpan w:val="2"/>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pPr>
              <w:spacing w:before="40" w:after="40"/>
              <w:rPr>
                <w:rFonts w:hint="eastAsia"/>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pPr>
            <w:r>
              <w:rPr>
                <w:rFonts w:hint="eastAsia"/>
              </w:rPr>
              <w:t>QMS</w:t>
            </w:r>
            <w:r>
              <w:rPr>
                <w:rFonts w:hint="eastAsia"/>
                <w:lang w:eastAsia="zh-CN"/>
              </w:rPr>
              <w:t>：</w:t>
            </w:r>
            <w:r>
              <w:rPr>
                <w:rFonts w:hint="eastAsia"/>
              </w:rPr>
              <w:t xml:space="preserve"> </w:t>
            </w:r>
          </w:p>
          <w:p>
            <w:pPr>
              <w:spacing w:before="40" w:after="40"/>
              <w:rPr>
                <w:rFonts w:hint="eastAsia"/>
                <w:b/>
                <w:bCs/>
                <w:lang w:val="en-GB"/>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市场拓展 </w:t>
            </w:r>
            <w:r>
              <w:rPr>
                <w:rFonts w:hint="eastAsia"/>
              </w:rPr>
              <w:sym w:font="Wingdings 2" w:char="0052"/>
            </w:r>
            <w:r>
              <w:rPr>
                <w:rFonts w:hint="eastAsia"/>
              </w:rPr>
              <w:t xml:space="preserve">设备能力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w:t>
            </w:r>
            <w:r>
              <w:rPr>
                <w:rFonts w:hint="eastAsia"/>
              </w:rPr>
              <w:sym w:font="Wingdings 2" w:char="0052"/>
            </w:r>
            <w:r>
              <w:rPr>
                <w:rFonts w:hint="eastAsia"/>
              </w:rPr>
              <w:t xml:space="preserve">检测水平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合同评审 </w:t>
            </w:r>
            <w:r>
              <w:rPr>
                <w:rFonts w:hint="eastAsia"/>
              </w:rPr>
              <w:sym w:font="Wingdings 2" w:char="0052"/>
            </w:r>
            <w:r>
              <w:rPr>
                <w:rFonts w:hint="eastAsia"/>
              </w:rPr>
              <w:t xml:space="preserve">知识保密 </w:t>
            </w:r>
          </w:p>
          <w:p>
            <w:pPr>
              <w:spacing w:before="40" w:after="40"/>
            </w:pPr>
            <w:r>
              <w:rPr>
                <w:rFonts w:hint="eastAsia"/>
              </w:rPr>
              <w:sym w:font="Wingdings 2" w:char="0052"/>
            </w:r>
            <w:r>
              <w:rPr>
                <w:rFonts w:hint="eastAsia"/>
              </w:rPr>
              <w:t xml:space="preserve">新产品设计开发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原材料采购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外部供方控制 </w:t>
            </w:r>
            <w:r>
              <w:rPr>
                <w:rFonts w:hint="eastAsia"/>
              </w:rPr>
              <w:sym w:font="Wingdings 2" w:char="0052"/>
            </w:r>
            <w:r>
              <w:rPr>
                <w:rFonts w:hint="eastAsia"/>
              </w:rPr>
              <w:t xml:space="preserve">生产/服务控制 </w:t>
            </w:r>
            <w:r>
              <w:rPr>
                <w:rFonts w:hint="eastAsia"/>
              </w:rPr>
              <w:sym w:font="Wingdings 2" w:char="00A3"/>
            </w:r>
            <w:r>
              <w:rPr>
                <w:rFonts w:hint="eastAsia"/>
              </w:rPr>
              <w:t>其他</w:t>
            </w:r>
          </w:p>
          <w:p>
            <w:pPr>
              <w:spacing w:before="40" w:after="40"/>
              <w:rPr>
                <w:rFonts w:hint="eastAsia"/>
                <w:b/>
                <w:bCs/>
              </w:rPr>
            </w:pP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□新产品设计开发 □原材料订制 □生产/服务过程 □检验检测 □产品运输 □设备维修</w:t>
            </w:r>
          </w:p>
          <w:p>
            <w:pPr>
              <w:spacing w:before="40" w:after="40"/>
              <w:jc w:val="left"/>
              <w:rPr>
                <w:rFonts w:hint="default"/>
                <w:lang w:val="en-US" w:eastAsia="zh-CN"/>
              </w:rPr>
            </w:pPr>
            <w:r>
              <w:rPr>
                <w:rFonts w:hint="eastAsia"/>
              </w:rPr>
              <w:t xml:space="preserve">□人员培训 </w:t>
            </w:r>
            <w:r>
              <w:rPr>
                <w:rFonts w:hint="eastAsia"/>
                <w:color w:val="0000FF"/>
              </w:rPr>
              <w:sym w:font="Wingdings 2" w:char="0052"/>
            </w:r>
            <w:r>
              <w:rPr>
                <w:rFonts w:hint="eastAsia"/>
                <w:color w:val="0000FF"/>
              </w:rPr>
              <w:t>其他</w:t>
            </w:r>
            <w:r>
              <w:rPr>
                <w:rFonts w:hint="eastAsia"/>
                <w:color w:val="0000FF"/>
                <w:lang w:eastAsia="zh-CN"/>
              </w:rPr>
              <w:t>——</w:t>
            </w:r>
            <w:r>
              <w:rPr>
                <w:rFonts w:hint="eastAsia"/>
                <w:color w:val="0000FF"/>
                <w:lang w:val="en-US" w:eastAsia="zh-CN"/>
              </w:rPr>
              <w:t>运输过程【按照手册8.2.4 控制类型和程度的要求进行控制】</w:t>
            </w:r>
            <w:r>
              <w:rPr>
                <w:color w:val="0000FF"/>
              </w:rPr>
              <w:t xml:space="preserve"> </w:t>
            </w:r>
          </w:p>
          <w:p>
            <w:pPr>
              <w:pStyle w:val="8"/>
              <w:rPr>
                <w:lang w:val="en-GB"/>
              </w:rPr>
            </w:pPr>
          </w:p>
          <w:p>
            <w:pPr>
              <w:spacing w:before="40" w:after="40"/>
              <w:jc w:val="left"/>
              <w:rPr>
                <w:rFonts w:hint="eastAsia" w:eastAsia="宋体"/>
                <w:lang w:eastAsia="zh-CN"/>
              </w:rPr>
            </w:pPr>
            <w:r>
              <w:rPr>
                <w:rFonts w:hint="eastAsia"/>
              </w:rPr>
              <w:t>FSMS</w:t>
            </w:r>
            <w:r>
              <w:rPr>
                <w:rFonts w:hint="eastAsia"/>
                <w:lang w:eastAsia="zh-CN"/>
              </w:rPr>
              <w:t>：</w:t>
            </w:r>
          </w:p>
          <w:p>
            <w:pPr>
              <w:spacing w:before="40" w:after="40"/>
              <w:rPr>
                <w:b/>
                <w:bCs/>
                <w:u w:val="single"/>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rPr>
                <w:rFonts w:hint="eastAsia"/>
              </w:rPr>
            </w:pPr>
            <w:r>
              <w:rPr>
                <w:rFonts w:hint="eastAsia"/>
              </w:rPr>
              <w:sym w:font="Wingdings 2" w:char="0052"/>
            </w:r>
            <w:r>
              <w:rPr>
                <w:rFonts w:hint="eastAsia"/>
              </w:rPr>
              <w:t>特种设备管理 ☑控制措施组合确认  ☑PRP和危害控制措施的效果验证  □其他</w:t>
            </w:r>
          </w:p>
          <w:p>
            <w:pPr>
              <w:pStyle w:val="2"/>
              <w:rPr>
                <w:rFonts w:hint="eastAsia"/>
              </w:rPr>
            </w:pP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□建立FSMS</w:t>
            </w:r>
            <w:r>
              <w:rPr>
                <w:rFonts w:hint="eastAsia"/>
                <w:lang w:val="en-US" w:eastAsia="zh-CN"/>
              </w:rPr>
              <w:t xml:space="preserve"> </w:t>
            </w:r>
            <w:r>
              <w:rPr>
                <w:rFonts w:hint="eastAsia"/>
              </w:rPr>
              <w:t xml:space="preserve"> □危害分析 □制订PRP和OPRP、HACCP计划 □生产/服务过程  □产品运输 </w:t>
            </w:r>
          </w:p>
          <w:p>
            <w:pPr>
              <w:spacing w:before="40" w:after="40"/>
              <w:jc w:val="left"/>
              <w:rPr>
                <w:rFonts w:hint="default"/>
                <w:color w:val="0000FF"/>
                <w:lang w:val="en-US" w:eastAsia="zh-CN"/>
              </w:rPr>
            </w:pPr>
            <w:r>
              <w:rPr>
                <w:rFonts w:hint="eastAsia"/>
              </w:rPr>
              <w:t>□设备维修 □人员培训 □PRP和OPRP、HACCP验证</w:t>
            </w:r>
            <w:r>
              <w:rPr>
                <w:rFonts w:hint="eastAsia"/>
                <w:lang w:val="en-US" w:eastAsia="zh-CN"/>
              </w:rPr>
              <w:t xml:space="preserve">  </w:t>
            </w:r>
            <w:r>
              <w:rPr>
                <w:rFonts w:hint="eastAsia"/>
                <w:color w:val="0000FF"/>
              </w:rPr>
              <w:t>☑其他</w:t>
            </w:r>
            <w:r>
              <w:rPr>
                <w:rFonts w:hint="eastAsia"/>
                <w:color w:val="0000FF"/>
                <w:lang w:eastAsia="zh-CN"/>
              </w:rPr>
              <w:t>——</w:t>
            </w:r>
            <w:r>
              <w:rPr>
                <w:rFonts w:hint="eastAsia"/>
                <w:color w:val="0000FF"/>
                <w:lang w:val="en-US" w:eastAsia="zh-CN"/>
              </w:rPr>
              <w:t>运输过程【按照手册8.2.4 控制类型和程度的要求进行控制】</w:t>
            </w:r>
            <w:r>
              <w:rPr>
                <w:color w:val="0000FF"/>
              </w:rPr>
              <w:t xml:space="preserve"> </w:t>
            </w:r>
          </w:p>
          <w:p>
            <w:pPr>
              <w:spacing w:before="40" w:after="40"/>
            </w:pPr>
            <w:r>
              <w:rPr>
                <w:rFonts w:hint="eastAsia"/>
              </w:rPr>
              <w:t xml:space="preserve"> </w:t>
            </w:r>
          </w:p>
          <w:p>
            <w:pPr>
              <w:spacing w:before="40" w:after="40"/>
              <w:rPr>
                <w:highlight w:val="cyan"/>
              </w:rPr>
            </w:pPr>
            <w:r>
              <w:rPr>
                <w:rFonts w:hint="eastAsia"/>
                <w:lang w:val="en-GB"/>
              </w:rPr>
              <w:t>组织通过</w:t>
            </w:r>
            <w:r>
              <w:rPr>
                <w:rFonts w:hint="eastAsia"/>
                <w:lang w:val="en-US" w:eastAsia="zh-CN"/>
              </w:rPr>
              <w:t>质量/</w:t>
            </w:r>
            <w:r>
              <w:rPr>
                <w:rFonts w:hint="eastAsia"/>
              </w:rPr>
              <w:t>食品安全</w:t>
            </w:r>
            <w:r>
              <w:rPr>
                <w:rFonts w:hint="eastAsia"/>
                <w:lang w:val="en-GB"/>
              </w:rPr>
              <w:t>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89" w:type="dxa"/>
            <w:gridSpan w:val="3"/>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r>
              <w:rPr>
                <w:rFonts w:hint="eastAsia"/>
              </w:rPr>
              <w:t>领导作用与承诺</w:t>
            </w:r>
          </w:p>
        </w:tc>
        <w:tc>
          <w:tcPr>
            <w:tcW w:w="960" w:type="dxa"/>
            <w:vMerge w:val="restart"/>
            <w:shd w:val="clear" w:color="auto" w:fill="auto"/>
          </w:tcPr>
          <w:p>
            <w:r>
              <w:rPr>
                <w:rFonts w:hint="eastAsia"/>
              </w:rPr>
              <w:t>Q5.1</w:t>
            </w:r>
          </w:p>
        </w:tc>
        <w:tc>
          <w:tcPr>
            <w:tcW w:w="745" w:type="dxa"/>
            <w:shd w:val="clear" w:color="auto" w:fill="auto"/>
          </w:tcPr>
          <w:p>
            <w:r>
              <w:rPr>
                <w:rFonts w:hint="eastAsia"/>
              </w:rPr>
              <w:t>文件名称</w:t>
            </w:r>
          </w:p>
        </w:tc>
        <w:tc>
          <w:tcPr>
            <w:tcW w:w="9256" w:type="dxa"/>
            <w:shd w:val="clear" w:color="auto" w:fill="auto"/>
          </w:tcPr>
          <w:p>
            <w:r>
              <w:rPr>
                <w:rFonts w:hint="eastAsia"/>
              </w:rPr>
              <w:t>如：</w:t>
            </w:r>
            <w:r>
              <w:rPr/>
              <w:sym w:font="Wingdings" w:char="00FE"/>
            </w:r>
            <w:r>
              <w:rPr>
                <w:rFonts w:hint="eastAsia"/>
                <w:lang w:eastAsia="zh-CN"/>
              </w:rPr>
              <w:t>《</w:t>
            </w:r>
            <w:r>
              <w:rPr>
                <w:rFonts w:hint="eastAsia"/>
                <w:lang w:val="en-US" w:eastAsia="zh-CN"/>
              </w:rPr>
              <w:t>质量与食品</w:t>
            </w:r>
            <w:r>
              <w:rPr>
                <w:rFonts w:hint="eastAsia"/>
              </w:rPr>
              <w:t>管理手册</w:t>
            </w:r>
            <w:r>
              <w:rPr>
                <w:rFonts w:hint="eastAsia"/>
                <w:lang w:eastAsia="zh-CN"/>
              </w:rPr>
              <w:t>》</w:t>
            </w:r>
            <w:r>
              <w:rPr>
                <w:rFonts w:hint="eastAsia"/>
                <w:lang w:val="en-US" w:eastAsia="zh-CN"/>
              </w:rPr>
              <w:t>5.1条款</w:t>
            </w:r>
            <w:r>
              <w:rPr>
                <w:rFonts w:hint="eastAsia"/>
              </w:rPr>
              <w:t>和“总经理岗位职责”</w:t>
            </w:r>
          </w:p>
        </w:tc>
        <w:tc>
          <w:tcPr>
            <w:tcW w:w="1589" w:type="dxa"/>
            <w:gridSpan w:val="3"/>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gridSpan w:val="2"/>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pPr>
              <w:rPr>
                <w:color w:val="000000"/>
                <w:szCs w:val="21"/>
              </w:rPr>
            </w:pPr>
            <w:r>
              <w:rPr>
                <w:rFonts w:hint="eastAsia"/>
                <w:color w:val="000000"/>
                <w:szCs w:val="21"/>
              </w:rPr>
              <w:t xml:space="preserve"> 与最高管理者沟通其领导作用与承诺：</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对质量管理体系的有效性承担责任； </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确保制定质量管理体系的质量方针和质量目标，并与组织的环境和战略方向相一致； </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确保质量管理体系要求融入组织的业务过程；  </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促进使用过程方法和基于风险的思维； </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确保质量管理体系所需的资源是可用的； </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沟通有效的质量管理和符合质量管理体系要求的重要性；</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确保质量管理体系实现其预期结果；</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促使员工积极参与、指导和支持他们为质量管理体系的有效性作出贡献；</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推动改进；</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支持其他相关管理者在其职责范围内发挥领导作用。</w:t>
            </w:r>
          </w:p>
          <w:p>
            <w:pPr>
              <w:rPr>
                <w:color w:val="000000"/>
                <w:szCs w:val="21"/>
              </w:rPr>
            </w:pP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9" w:type="dxa"/>
            <w:gridSpan w:val="3"/>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r>
              <w:rPr>
                <w:rFonts w:hint="eastAsia"/>
              </w:rPr>
              <w:t>领导作用与承诺</w:t>
            </w:r>
          </w:p>
        </w:tc>
        <w:tc>
          <w:tcPr>
            <w:tcW w:w="960" w:type="dxa"/>
            <w:vMerge w:val="restart"/>
            <w:shd w:val="clear" w:color="auto" w:fill="auto"/>
          </w:tcPr>
          <w:p>
            <w:r>
              <w:rPr>
                <w:rFonts w:hint="eastAsia"/>
              </w:rPr>
              <w:t>F5.1</w:t>
            </w:r>
          </w:p>
        </w:tc>
        <w:tc>
          <w:tcPr>
            <w:tcW w:w="745" w:type="dxa"/>
            <w:shd w:val="clear" w:color="auto" w:fill="auto"/>
          </w:tcPr>
          <w:p>
            <w:r>
              <w:rPr>
                <w:rFonts w:hint="eastAsia"/>
              </w:rPr>
              <w:t>文件名称</w:t>
            </w:r>
          </w:p>
        </w:tc>
        <w:tc>
          <w:tcPr>
            <w:tcW w:w="9256" w:type="dxa"/>
            <w:shd w:val="clear" w:color="auto" w:fill="auto"/>
          </w:tcPr>
          <w:p>
            <w:r>
              <w:rPr>
                <w:rFonts w:hint="eastAsia"/>
              </w:rPr>
              <w:t>如：</w:t>
            </w:r>
            <w:r>
              <w:rPr/>
              <w:sym w:font="Wingdings" w:char="00FE"/>
            </w:r>
            <w:r>
              <w:rPr>
                <w:rFonts w:hint="eastAsia"/>
                <w:lang w:eastAsia="zh-CN"/>
              </w:rPr>
              <w:t>《</w:t>
            </w:r>
            <w:r>
              <w:rPr>
                <w:rFonts w:hint="eastAsia"/>
                <w:lang w:val="en-US" w:eastAsia="zh-CN"/>
              </w:rPr>
              <w:t>质量与食品</w:t>
            </w:r>
            <w:r>
              <w:rPr>
                <w:rFonts w:hint="eastAsia"/>
              </w:rPr>
              <w:t>管理手册</w:t>
            </w:r>
            <w:r>
              <w:rPr>
                <w:rFonts w:hint="eastAsia"/>
                <w:lang w:eastAsia="zh-CN"/>
              </w:rPr>
              <w:t>》</w:t>
            </w:r>
            <w:r>
              <w:rPr>
                <w:rFonts w:hint="eastAsia"/>
                <w:lang w:val="en-US" w:eastAsia="zh-CN"/>
              </w:rPr>
              <w:t>5.1条款</w:t>
            </w:r>
            <w:r>
              <w:rPr>
                <w:rFonts w:hint="eastAsia"/>
              </w:rPr>
              <w:t>和“总经理岗位职责”</w:t>
            </w:r>
          </w:p>
        </w:tc>
        <w:tc>
          <w:tcPr>
            <w:tcW w:w="1589" w:type="dxa"/>
            <w:gridSpan w:val="3"/>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gridSpan w:val="2"/>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pPr>
              <w:rPr>
                <w:rFonts w:hint="eastAsia"/>
                <w:color w:val="000000"/>
                <w:szCs w:val="21"/>
              </w:rPr>
            </w:pPr>
            <w:r>
              <w:rPr>
                <w:rFonts w:hint="eastAsia"/>
                <w:color w:val="000000"/>
                <w:szCs w:val="21"/>
              </w:rPr>
              <w:t xml:space="preserve"> 与最高管理者沟通其领导作用与承诺：</w:t>
            </w:r>
          </w:p>
          <w:p>
            <w:pP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snapToGrid w:val="0"/>
              <w:spacing w:line="240" w:lineRule="atLeast"/>
              <w:rPr>
                <w:rFonts w:ascii="黑体" w:eastAsia="黑体"/>
                <w:szCs w:val="21"/>
              </w:rPr>
            </w:pP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9" w:type="dxa"/>
            <w:gridSpan w:val="3"/>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r>
              <w:rPr>
                <w:rFonts w:hint="eastAsia"/>
              </w:rPr>
              <w:t>以顾客为关注焦点</w:t>
            </w:r>
          </w:p>
          <w:p/>
        </w:tc>
        <w:tc>
          <w:tcPr>
            <w:tcW w:w="960" w:type="dxa"/>
            <w:vMerge w:val="restart"/>
            <w:shd w:val="clear" w:color="auto" w:fill="auto"/>
          </w:tcPr>
          <w:p>
            <w:r>
              <w:rPr>
                <w:rFonts w:hint="eastAsia"/>
              </w:rPr>
              <w:t>Q5.1.2  </w:t>
            </w:r>
          </w:p>
        </w:tc>
        <w:tc>
          <w:tcPr>
            <w:tcW w:w="745" w:type="dxa"/>
            <w:shd w:val="clear" w:color="auto" w:fill="auto"/>
          </w:tcPr>
          <w:p>
            <w:r>
              <w:rPr>
                <w:rFonts w:hint="eastAsia"/>
              </w:rPr>
              <w:t>文件名称</w:t>
            </w:r>
          </w:p>
        </w:tc>
        <w:tc>
          <w:tcPr>
            <w:tcW w:w="9256" w:type="dxa"/>
            <w:shd w:val="clear" w:color="auto" w:fill="auto"/>
          </w:tcPr>
          <w:p>
            <w:r>
              <w:rPr>
                <w:rFonts w:hint="eastAsia"/>
              </w:rPr>
              <w:t>如：</w:t>
            </w:r>
            <w:r>
              <w:rPr/>
              <w:sym w:font="Wingdings" w:char="00FE"/>
            </w:r>
            <w:r>
              <w:rPr>
                <w:rFonts w:hint="eastAsia"/>
                <w:lang w:eastAsia="zh-CN"/>
              </w:rPr>
              <w:t>《</w:t>
            </w:r>
            <w:r>
              <w:rPr>
                <w:rFonts w:hint="eastAsia"/>
                <w:lang w:val="en-US" w:eastAsia="zh-CN"/>
              </w:rPr>
              <w:t>质量与食品</w:t>
            </w:r>
            <w:r>
              <w:rPr>
                <w:rFonts w:hint="eastAsia"/>
              </w:rPr>
              <w:t>管理手册</w:t>
            </w:r>
            <w:r>
              <w:rPr>
                <w:rFonts w:hint="eastAsia"/>
                <w:lang w:eastAsia="zh-CN"/>
              </w:rPr>
              <w:t>》</w:t>
            </w:r>
            <w:r>
              <w:rPr>
                <w:rFonts w:hint="eastAsia"/>
                <w:lang w:val="en-US" w:eastAsia="zh-CN"/>
              </w:rPr>
              <w:t>5.1.2条款</w:t>
            </w:r>
          </w:p>
        </w:tc>
        <w:tc>
          <w:tcPr>
            <w:tcW w:w="1589" w:type="dxa"/>
            <w:gridSpan w:val="3"/>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gridSpan w:val="2"/>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pPr>
              <w:rPr>
                <w:color w:val="000000"/>
                <w:szCs w:val="21"/>
              </w:rPr>
            </w:pPr>
            <w:r>
              <w:rPr>
                <w:rFonts w:hint="eastAsia"/>
                <w:color w:val="000000"/>
                <w:szCs w:val="21"/>
              </w:rPr>
              <w:t xml:space="preserve"> 最高管理者应证实其以顾客为关注焦点的领导作用和承诺：</w:t>
            </w:r>
          </w:p>
          <w:p>
            <w:pPr>
              <w:rPr>
                <w:color w:val="000000"/>
                <w:szCs w:val="21"/>
              </w:rPr>
            </w:pPr>
            <w:r>
              <w:rPr>
                <w:rFonts w:hint="eastAsia"/>
                <w:color w:val="000000"/>
                <w:szCs w:val="21"/>
              </w:rPr>
              <w:t xml:space="preserve">a）确定、理解并持续地满足顾客要求以及适用的法律法规要求； </w:t>
            </w:r>
          </w:p>
          <w:p>
            <w:pPr>
              <w:rPr>
                <w:color w:val="000000"/>
                <w:szCs w:val="21"/>
              </w:rPr>
            </w:pPr>
            <w:r>
              <w:rPr>
                <w:rFonts w:hint="eastAsia"/>
                <w:color w:val="000000"/>
                <w:szCs w:val="21"/>
              </w:rPr>
              <w:t xml:space="preserve">b）确定和应对能够影响产品和服务的符合性以及增强顾客满意能力的风险和机遇； </w:t>
            </w:r>
          </w:p>
          <w:p>
            <w:pPr>
              <w:rPr>
                <w:color w:val="000000"/>
                <w:szCs w:val="21"/>
              </w:rPr>
            </w:pPr>
            <w:r>
              <w:rPr>
                <w:rFonts w:hint="eastAsia"/>
                <w:color w:val="000000"/>
                <w:szCs w:val="21"/>
              </w:rPr>
              <w:t xml:space="preserve">c）始终致力于增强顾客满意。 </w:t>
            </w:r>
          </w:p>
          <w:p>
            <w:pPr>
              <w:rPr>
                <w:color w:val="000000"/>
                <w:szCs w:val="21"/>
              </w:rPr>
            </w:pPr>
            <w:r>
              <w:rPr>
                <w:rFonts w:hint="eastAsia"/>
              </w:rPr>
              <w:t>通过的方式——</w:t>
            </w:r>
          </w:p>
          <w:p>
            <w:pPr>
              <w:rPr>
                <w:rFonts w:hint="default" w:eastAsia="宋体"/>
                <w:color w:val="0000FF"/>
                <w:szCs w:val="21"/>
                <w:u w:val="single"/>
                <w:lang w:val="en-US" w:eastAsia="zh-CN"/>
              </w:rPr>
            </w:pPr>
            <w:r>
              <w:rPr>
                <w:rFonts w:hint="eastAsia"/>
                <w:color w:val="000000"/>
                <w:szCs w:val="21"/>
              </w:rPr>
              <w:t xml:space="preserve"> </w:t>
            </w:r>
            <w:r>
              <w:rPr>
                <w:rFonts w:hint="eastAsia"/>
              </w:rPr>
              <w:sym w:font="Wingdings 2" w:char="0052"/>
            </w:r>
            <w:r>
              <w:rPr>
                <w:rFonts w:hint="eastAsia"/>
              </w:rPr>
              <w:t xml:space="preserve">以身作则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建立机制 </w:t>
            </w:r>
            <w:r>
              <w:rPr>
                <w:rFonts w:hint="eastAsia"/>
              </w:rPr>
              <w:sym w:font="Wingdings 2" w:char="0052"/>
            </w:r>
            <w:r>
              <w:rPr>
                <w:rFonts w:hint="eastAsia"/>
              </w:rPr>
              <w:t xml:space="preserve">法规宣传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风险机遇的应对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重视顾客反馈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目标考核 </w:t>
            </w:r>
            <w:r>
              <w:rPr>
                <w:rFonts w:hint="eastAsia"/>
                <w:color w:val="0000FF"/>
                <w:u w:val="single"/>
              </w:rPr>
              <w:sym w:font="Wingdings 2" w:char="0052"/>
            </w:r>
            <w:r>
              <w:rPr>
                <w:rFonts w:hint="eastAsia"/>
                <w:color w:val="0000FF"/>
                <w:u w:val="single"/>
              </w:rPr>
              <w:t>其他</w:t>
            </w:r>
            <w:r>
              <w:rPr>
                <w:rFonts w:hint="eastAsia"/>
                <w:color w:val="0000FF"/>
                <w:u w:val="single"/>
                <w:lang w:eastAsia="zh-CN"/>
              </w:rPr>
              <w:t>——</w:t>
            </w:r>
            <w:r>
              <w:rPr>
                <w:rFonts w:hint="eastAsia"/>
                <w:color w:val="0000FF"/>
                <w:u w:val="single"/>
                <w:lang w:val="en-US" w:eastAsia="zh-CN"/>
              </w:rPr>
              <w:t>运行管理</w:t>
            </w:r>
          </w:p>
          <w:p/>
        </w:tc>
        <w:tc>
          <w:tcPr>
            <w:tcW w:w="1589" w:type="dxa"/>
            <w:gridSpan w:val="3"/>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r>
              <w:rPr>
                <w:rFonts w:hint="eastAsia"/>
                <w:lang w:val="en-US" w:eastAsia="zh-CN"/>
              </w:rPr>
              <w:t>质量/</w:t>
            </w:r>
            <w:r>
              <w:rPr>
                <w:rFonts w:hint="eastAsia"/>
              </w:rPr>
              <w:t>食品安全方针</w:t>
            </w:r>
          </w:p>
        </w:tc>
        <w:tc>
          <w:tcPr>
            <w:tcW w:w="960" w:type="dxa"/>
            <w:vMerge w:val="restart"/>
            <w:shd w:val="clear" w:color="auto" w:fill="auto"/>
          </w:tcPr>
          <w:p>
            <w:pPr>
              <w:rPr>
                <w:rFonts w:hint="default" w:eastAsia="宋体"/>
                <w:lang w:val="en-US" w:eastAsia="zh-CN"/>
              </w:rPr>
            </w:pPr>
            <w:r>
              <w:rPr>
                <w:rFonts w:hint="eastAsia"/>
                <w:lang w:val="en-US" w:eastAsia="zh-CN"/>
              </w:rPr>
              <w:t>Q5.2</w:t>
            </w:r>
          </w:p>
          <w:p>
            <w:r>
              <w:rPr>
                <w:rFonts w:hint="eastAsia"/>
              </w:rPr>
              <w:t>F5.2 </w:t>
            </w:r>
          </w:p>
        </w:tc>
        <w:tc>
          <w:tcPr>
            <w:tcW w:w="745" w:type="dxa"/>
            <w:shd w:val="clear" w:color="auto" w:fill="auto"/>
          </w:tcPr>
          <w:p>
            <w:r>
              <w:rPr>
                <w:rFonts w:hint="eastAsia"/>
              </w:rPr>
              <w:t>文件名称</w:t>
            </w:r>
          </w:p>
        </w:tc>
        <w:tc>
          <w:tcPr>
            <w:tcW w:w="9256"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eastAsia="zh-CN"/>
              </w:rPr>
              <w:t>《</w:t>
            </w:r>
            <w:r>
              <w:rPr>
                <w:rFonts w:hint="eastAsia"/>
                <w:lang w:val="en-US" w:eastAsia="zh-CN"/>
              </w:rPr>
              <w:t>质量与食品</w:t>
            </w:r>
            <w:r>
              <w:rPr>
                <w:rFonts w:hint="eastAsia"/>
              </w:rPr>
              <w:t>管理手册</w:t>
            </w:r>
            <w:r>
              <w:rPr>
                <w:rFonts w:hint="eastAsia"/>
                <w:lang w:eastAsia="zh-CN"/>
              </w:rPr>
              <w:t>》</w:t>
            </w:r>
            <w:r>
              <w:rPr>
                <w:rFonts w:hint="eastAsia"/>
                <w:lang w:val="en-US" w:eastAsia="zh-CN"/>
              </w:rPr>
              <w:t>5.2条款</w:t>
            </w:r>
            <w:r>
              <w:rPr>
                <w:rFonts w:hint="eastAsia"/>
              </w:rPr>
              <w:t>和“0.4 管理方针发布令”</w:t>
            </w:r>
          </w:p>
        </w:tc>
        <w:tc>
          <w:tcPr>
            <w:tcW w:w="1589" w:type="dxa"/>
            <w:gridSpan w:val="3"/>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4" w:hRule="atLeast"/>
        </w:trPr>
        <w:tc>
          <w:tcPr>
            <w:tcW w:w="2164" w:type="dxa"/>
            <w:gridSpan w:val="2"/>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pPr>
              <w:rPr>
                <w:rFonts w:hint="default" w:eastAsia="宋体"/>
                <w:color w:val="0000FF"/>
                <w:u w:val="single"/>
                <w:lang w:val="en-US" w:eastAsia="zh-CN"/>
              </w:rPr>
            </w:pPr>
            <w:r>
              <w:rPr>
                <w:rFonts w:hint="eastAsia"/>
              </w:rPr>
              <w:t xml:space="preserve"> 最高管理者制定了文件化的管理体系方针：</w:t>
            </w:r>
          </w:p>
          <w:p>
            <w:pPr>
              <w:pStyle w:val="2"/>
            </w:pPr>
          </w:p>
          <w:p>
            <w:pPr>
              <w:keepNext w:val="0"/>
              <w:keepLines w:val="0"/>
              <w:widowControl/>
              <w:suppressLineNumbers w:val="0"/>
              <w:jc w:val="left"/>
              <w:rPr>
                <w:color w:val="0000FF"/>
                <w:u w:val="single"/>
              </w:rPr>
            </w:pPr>
            <w:r>
              <w:rPr>
                <w:rFonts w:hint="eastAsia" w:ascii="宋体" w:hAnsi="宋体" w:eastAsia="宋体" w:cs="宋体"/>
                <w:b/>
                <w:bCs/>
                <w:color w:val="0000FF"/>
                <w:kern w:val="0"/>
                <w:sz w:val="24"/>
                <w:szCs w:val="24"/>
                <w:u w:val="single"/>
                <w:lang w:val="en-US" w:eastAsia="zh-CN" w:bidi="ar"/>
              </w:rPr>
              <w:t xml:space="preserve">质量方针: 美森，国际优质香精的制造者； </w:t>
            </w:r>
          </w:p>
          <w:p>
            <w:pPr>
              <w:keepNext w:val="0"/>
              <w:keepLines w:val="0"/>
              <w:widowControl/>
              <w:suppressLineNumbers w:val="0"/>
              <w:jc w:val="left"/>
            </w:pPr>
            <w:r>
              <w:rPr>
                <w:rFonts w:hint="eastAsia" w:ascii="宋体" w:hAnsi="宋体" w:eastAsia="宋体" w:cs="宋体"/>
                <w:b/>
                <w:bCs/>
                <w:color w:val="0000FF"/>
                <w:kern w:val="0"/>
                <w:sz w:val="24"/>
                <w:szCs w:val="24"/>
                <w:u w:val="single"/>
                <w:lang w:val="en-US" w:eastAsia="zh-CN" w:bidi="ar"/>
              </w:rPr>
              <w:t>食品安全方针: 源头控制，确保产品安全。</w:t>
            </w:r>
            <w:r>
              <w:rPr>
                <w:rFonts w:hint="eastAsia" w:ascii="宋体" w:hAnsi="宋体" w:eastAsia="宋体" w:cs="宋体"/>
                <w:b/>
                <w:bCs/>
                <w:color w:val="000000"/>
                <w:kern w:val="0"/>
                <w:sz w:val="24"/>
                <w:szCs w:val="24"/>
                <w:lang w:val="en-US" w:eastAsia="zh-CN" w:bidi="ar"/>
              </w:rPr>
              <w:t xml:space="preserve"> </w:t>
            </w:r>
          </w:p>
          <w:p>
            <w:r>
              <w:rPr>
                <w:rFonts w:hint="eastAsia"/>
              </w:rPr>
              <w:t xml:space="preserve">                                                                                   </w:t>
            </w:r>
          </w:p>
          <w:p>
            <w:r>
              <w:fldChar w:fldCharType="begin"/>
            </w:r>
            <w:r>
              <w:instrText xml:space="preserve"> </w:instrText>
            </w:r>
            <w:r>
              <w:rPr>
                <w:rFonts w:hint="eastAsia"/>
              </w:rPr>
              <w:instrText xml:space="preserve">eq \o\ac(□,√)</w:instrText>
            </w:r>
            <w:r>
              <w:fldChar w:fldCharType="end"/>
            </w:r>
            <w:r>
              <w:rPr>
                <w:rFonts w:hint="eastAsia"/>
              </w:rPr>
              <w:t>适应组织的宗旨和环境并支持其战略方向</w:t>
            </w:r>
          </w:p>
          <w:p>
            <w:pPr>
              <w:rPr>
                <w:lang w:val="en-GB"/>
              </w:rPr>
            </w:pPr>
            <w:r>
              <w:fldChar w:fldCharType="begin"/>
            </w:r>
            <w:r>
              <w:instrText xml:space="preserve"> </w:instrText>
            </w:r>
            <w:r>
              <w:rPr>
                <w:rFonts w:hint="eastAsia"/>
              </w:rPr>
              <w:instrText xml:space="preserve">eq \o\ac(□,√)</w:instrText>
            </w:r>
            <w:r>
              <w:fldChar w:fldCharType="end"/>
            </w: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p>
          <w:p>
            <w:r>
              <w:fldChar w:fldCharType="begin"/>
            </w:r>
            <w:r>
              <w:instrText xml:space="preserve"> </w:instrText>
            </w:r>
            <w:r>
              <w:rPr>
                <w:rFonts w:hint="eastAsia"/>
              </w:rPr>
              <w:instrText xml:space="preserve">eq \o\ac(□,√)</w:instrText>
            </w:r>
            <w:r>
              <w:fldChar w:fldCharType="end"/>
            </w:r>
            <w:r>
              <w:rPr>
                <w:rFonts w:hint="eastAsia"/>
              </w:rPr>
              <w:t xml:space="preserve">包括满足适用要求的承诺； </w:t>
            </w:r>
          </w:p>
          <w:p>
            <w:r>
              <w:rPr>
                <w:rFonts w:hint="eastAsia"/>
              </w:rPr>
              <w:t>☑包括满足适用食品安全要求的承诺，包括立法/执法要求和顾客的相互同意的食品安全要求（FSMS）</w:t>
            </w:r>
          </w:p>
          <w:p>
            <w:pPr>
              <w:rPr>
                <w:lang w:val="en-GB"/>
              </w:rPr>
            </w:pPr>
            <w:r>
              <w:fldChar w:fldCharType="begin"/>
            </w:r>
            <w:r>
              <w:instrText xml:space="preserve"> </w:instrText>
            </w:r>
            <w:r>
              <w:rPr>
                <w:rFonts w:hint="eastAsia"/>
              </w:rPr>
              <w:instrText xml:space="preserve">eq \o\ac(□,√)</w:instrText>
            </w:r>
            <w:r>
              <w:fldChar w:fldCharType="end"/>
            </w:r>
            <w:r>
              <w:rPr>
                <w:rFonts w:hint="eastAsia"/>
              </w:rPr>
              <w:t>包括持续改进质量管理体系的承诺</w:t>
            </w:r>
          </w:p>
          <w:p>
            <w:r>
              <w:rPr>
                <w:rFonts w:hint="eastAsia"/>
              </w:rPr>
              <w:t>☑应对内部和外部沟通（FSMS）</w:t>
            </w:r>
          </w:p>
          <w:p>
            <w:r>
              <w:rPr>
                <w:rFonts w:hint="eastAsia"/>
              </w:rPr>
              <w:t>☑解决需求确保食品安全相关的能力（FSMS）</w:t>
            </w:r>
          </w:p>
          <w:p/>
          <w:p>
            <w:r>
              <w:fldChar w:fldCharType="begin"/>
            </w:r>
            <w:r>
              <w:instrText xml:space="preserve"> </w:instrText>
            </w:r>
            <w:r>
              <w:rPr>
                <w:rFonts w:hint="eastAsia"/>
              </w:rPr>
              <w:instrText xml:space="preserve">eq \o\ac(□,√)</w:instrText>
            </w:r>
            <w:r>
              <w:fldChar w:fldCharType="end"/>
            </w:r>
            <w:r>
              <w:rPr>
                <w:rFonts w:hint="eastAsia"/>
              </w:rPr>
              <w:t>在组织内得到沟通、理解和应用，通过：</w:t>
            </w:r>
            <w:r>
              <w:fldChar w:fldCharType="begin"/>
            </w:r>
            <w:r>
              <w:instrText xml:space="preserve"> </w:instrText>
            </w:r>
            <w:r>
              <w:rPr>
                <w:rFonts w:hint="eastAsia"/>
              </w:rPr>
              <w:instrText xml:space="preserve">eq \o\ac(□,√)</w:instrText>
            </w:r>
            <w:r>
              <w:fldChar w:fldCharType="end"/>
            </w:r>
            <w:r>
              <w:rPr>
                <w:rFonts w:hint="eastAsia"/>
              </w:rPr>
              <w:t xml:space="preserve">展板  </w:t>
            </w:r>
            <w:r>
              <w:rPr>
                <w:rFonts w:hint="eastAsia"/>
              </w:rPr>
              <w:sym w:font="Wingdings" w:char="00FE"/>
            </w:r>
            <w:r>
              <w:rPr>
                <w:rFonts w:hint="eastAsia"/>
              </w:rPr>
              <w:t xml:space="preserve">标语  </w:t>
            </w:r>
            <w:r>
              <w:fldChar w:fldCharType="begin"/>
            </w:r>
            <w:r>
              <w:instrText xml:space="preserve"> </w:instrText>
            </w:r>
            <w:r>
              <w:rPr>
                <w:rFonts w:hint="eastAsia"/>
              </w:rPr>
              <w:instrText xml:space="preserve">eq \o\ac(□,√)</w:instrText>
            </w:r>
            <w:r>
              <w:fldChar w:fldCharType="end"/>
            </w:r>
            <w:r>
              <w:rPr>
                <w:rFonts w:hint="eastAsia"/>
              </w:rPr>
              <w:t xml:space="preserve">会议  </w:t>
            </w:r>
            <w:r>
              <w:fldChar w:fldCharType="begin"/>
            </w:r>
            <w:r>
              <w:instrText xml:space="preserve"> </w:instrText>
            </w:r>
            <w:r>
              <w:rPr>
                <w:rFonts w:hint="eastAsia"/>
              </w:rPr>
              <w:instrText xml:space="preserve">eq \o\ac(□,√)</w:instrText>
            </w:r>
            <w:r>
              <w:fldChar w:fldCharType="end"/>
            </w:r>
            <w:r>
              <w:rPr>
                <w:rFonts w:hint="eastAsia"/>
              </w:rPr>
              <w:t xml:space="preserve">文件发放   </w:t>
            </w:r>
            <w:r>
              <w:rPr>
                <w:rFonts w:hint="eastAsia"/>
              </w:rPr>
              <w:sym w:font="Wingdings" w:char="00A8"/>
            </w:r>
            <w:r>
              <w:rPr>
                <w:rFonts w:hint="eastAsia"/>
              </w:rPr>
              <w:t xml:space="preserve">其他  </w:t>
            </w:r>
          </w:p>
          <w:p>
            <w:pPr>
              <w:rPr>
                <w:rFonts w:hint="eastAsia"/>
              </w:rPr>
            </w:pPr>
            <w:r>
              <w:fldChar w:fldCharType="begin"/>
            </w:r>
            <w:r>
              <w:instrText xml:space="preserve"> </w:instrText>
            </w:r>
            <w:r>
              <w:rPr>
                <w:rFonts w:hint="eastAsia"/>
              </w:rPr>
              <w:instrText xml:space="preserve">eq \o\ac(□,√)</w:instrText>
            </w:r>
            <w:r>
              <w:fldChar w:fldCharType="end"/>
            </w:r>
            <w:r>
              <w:rPr>
                <w:rFonts w:hint="eastAsia"/>
              </w:rPr>
              <w:t>在相关方有需要时提供。通过：</w:t>
            </w:r>
            <w:r>
              <w:rPr>
                <w:rFonts w:hint="eastAsia"/>
              </w:rPr>
              <w:sym w:font="Wingdings" w:char="00FE"/>
            </w:r>
            <w:r>
              <w:rPr>
                <w:rFonts w:hint="eastAsia"/>
              </w:rPr>
              <w:t xml:space="preserve">网站 </w:t>
            </w:r>
            <w:r>
              <w:fldChar w:fldCharType="begin"/>
            </w:r>
            <w:r>
              <w:instrText xml:space="preserve"> </w:instrText>
            </w:r>
            <w:r>
              <w:rPr>
                <w:rFonts w:hint="eastAsia"/>
              </w:rPr>
              <w:instrText xml:space="preserve">eq \o\ac(□,√)</w:instrText>
            </w:r>
            <w:r>
              <w:fldChar w:fldCharType="end"/>
            </w:r>
            <w:r>
              <w:rPr>
                <w:rFonts w:hint="eastAsia"/>
              </w:rPr>
              <w:t xml:space="preserve">宣传册 </w:t>
            </w:r>
            <w:r>
              <w:rPr>
                <w:rFonts w:hint="eastAsia"/>
              </w:rPr>
              <w:sym w:font="Wingdings" w:char="00A8"/>
            </w:r>
            <w:r>
              <w:rPr>
                <w:rFonts w:hint="eastAsia"/>
              </w:rPr>
              <w:t>其他</w:t>
            </w:r>
          </w:p>
          <w:p>
            <w:pPr>
              <w:pStyle w:val="2"/>
              <w:rPr>
                <w:rFonts w:hint="default" w:eastAsia="宋体"/>
                <w:lang w:val="en-US" w:eastAsia="zh-CN"/>
              </w:rPr>
            </w:pPr>
          </w:p>
        </w:tc>
        <w:tc>
          <w:tcPr>
            <w:tcW w:w="1589" w:type="dxa"/>
            <w:gridSpan w:val="3"/>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r>
              <w:rPr>
                <w:rFonts w:hint="eastAsia"/>
              </w:rPr>
              <w:t>组织的岗位、职责和权限</w:t>
            </w:r>
          </w:p>
          <w:p/>
        </w:tc>
        <w:tc>
          <w:tcPr>
            <w:tcW w:w="960" w:type="dxa"/>
            <w:vMerge w:val="restart"/>
            <w:shd w:val="clear" w:color="auto" w:fill="auto"/>
          </w:tcPr>
          <w:p>
            <w:pPr>
              <w:rPr>
                <w:rFonts w:hint="default" w:eastAsia="宋体"/>
                <w:lang w:val="en-US" w:eastAsia="zh-CN"/>
              </w:rPr>
            </w:pPr>
            <w:r>
              <w:rPr>
                <w:rFonts w:hint="eastAsia"/>
                <w:lang w:val="en-US" w:eastAsia="zh-CN"/>
              </w:rPr>
              <w:t>Q5.3</w:t>
            </w:r>
          </w:p>
          <w:p>
            <w:r>
              <w:rPr>
                <w:rFonts w:hint="eastAsia"/>
              </w:rPr>
              <w:t>F5.3</w:t>
            </w:r>
          </w:p>
        </w:tc>
        <w:tc>
          <w:tcPr>
            <w:tcW w:w="745" w:type="dxa"/>
            <w:shd w:val="clear" w:color="auto" w:fill="auto"/>
          </w:tcPr>
          <w:p>
            <w:r>
              <w:rPr>
                <w:rFonts w:hint="eastAsia"/>
              </w:rPr>
              <w:t>文件名称</w:t>
            </w:r>
          </w:p>
        </w:tc>
        <w:tc>
          <w:tcPr>
            <w:tcW w:w="9256" w:type="dxa"/>
            <w:shd w:val="clear" w:color="auto" w:fill="auto"/>
          </w:tcPr>
          <w:p>
            <w:pPr>
              <w:rPr>
                <w:rFonts w:hint="default" w:eastAsia="宋体"/>
                <w:lang w:val="en-US" w:eastAsia="zh-CN"/>
              </w:rP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lang w:eastAsia="zh-CN"/>
              </w:rPr>
              <w:t>《</w:t>
            </w:r>
            <w:r>
              <w:rPr>
                <w:rFonts w:hint="eastAsia" w:ascii="宋体" w:hAnsi="宋体"/>
                <w:lang w:val="en-US" w:eastAsia="zh-CN"/>
              </w:rPr>
              <w:t>质量与食品安全管理手册</w:t>
            </w:r>
            <w:r>
              <w:rPr>
                <w:rFonts w:hint="eastAsia" w:ascii="宋体" w:hAnsi="宋体"/>
                <w:lang w:eastAsia="zh-CN"/>
              </w:rPr>
              <w:t>》</w:t>
            </w:r>
            <w:r>
              <w:rPr>
                <w:rFonts w:hint="eastAsia"/>
                <w:lang w:val="en-US" w:eastAsia="zh-CN"/>
              </w:rPr>
              <w:t>第5.5条款</w:t>
            </w:r>
          </w:p>
        </w:tc>
        <w:tc>
          <w:tcPr>
            <w:tcW w:w="1589" w:type="dxa"/>
            <w:gridSpan w:val="3"/>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164" w:type="dxa"/>
            <w:gridSpan w:val="2"/>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如：</w:t>
            </w:r>
            <w:r>
              <w:rPr>
                <w:rFonts w:hint="eastAsia"/>
                <w:lang w:val="en-US" w:eastAsia="zh-CN"/>
              </w:rPr>
              <w:t>QMS</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0" w:type="dxa"/>
                </w:tcPr>
                <w:p>
                  <w:r>
                    <w:rPr>
                      <w:rFonts w:hint="eastAsia"/>
                    </w:rPr>
                    <w:t>过程名称</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质量管理体系策划和推动</w:t>
                  </w:r>
                </w:p>
              </w:tc>
              <w:tc>
                <w:tcPr>
                  <w:tcW w:w="2261" w:type="dxa"/>
                </w:tcPr>
                <w:p>
                  <w:pPr>
                    <w:rPr>
                      <w:rFonts w:hint="eastAsia" w:eastAsia="宋体"/>
                      <w:lang w:eastAsia="zh-CN"/>
                    </w:rPr>
                  </w:pPr>
                  <w:r>
                    <w:rPr>
                      <w:rFonts w:hint="eastAsia"/>
                      <w:lang w:val="en-US" w:eastAsia="zh-CN"/>
                    </w:rPr>
                    <w:t>质检部</w:t>
                  </w:r>
                </w:p>
              </w:tc>
              <w:tc>
                <w:tcPr>
                  <w:tcW w:w="2261" w:type="dxa"/>
                </w:tcPr>
                <w:p>
                  <w:r>
                    <w:rPr>
                      <w:rFonts w:hint="eastAsia"/>
                    </w:rPr>
                    <w:t>生产/服务设计开发过程</w:t>
                  </w:r>
                </w:p>
              </w:tc>
              <w:tc>
                <w:tcPr>
                  <w:tcW w:w="2261" w:type="dxa"/>
                </w:tcPr>
                <w:p>
                  <w:pPr>
                    <w:rPr>
                      <w:rFonts w:hint="default" w:eastAsia="宋体"/>
                      <w:lang w:val="en-US" w:eastAsia="zh-CN"/>
                    </w:rPr>
                  </w:pPr>
                  <w:r>
                    <w:rPr>
                      <w:rFonts w:hint="eastAsia"/>
                      <w:lang w:val="en-US" w:eastAsia="zh-CN"/>
                    </w:rPr>
                    <w:t>质检部、生产部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顾客满意调查分析</w:t>
                  </w:r>
                </w:p>
              </w:tc>
              <w:tc>
                <w:tcPr>
                  <w:tcW w:w="2261" w:type="dxa"/>
                </w:tcPr>
                <w:p>
                  <w:pPr>
                    <w:rPr>
                      <w:rFonts w:hint="default" w:eastAsia="宋体"/>
                      <w:lang w:val="en-US" w:eastAsia="zh-CN"/>
                    </w:rPr>
                  </w:pPr>
                  <w:r>
                    <w:rPr>
                      <w:rFonts w:hint="eastAsia"/>
                      <w:lang w:val="en-US" w:eastAsia="zh-CN"/>
                    </w:rPr>
                    <w:t>供销部</w:t>
                  </w:r>
                </w:p>
              </w:tc>
              <w:tc>
                <w:tcPr>
                  <w:tcW w:w="2261" w:type="dxa"/>
                </w:tcPr>
                <w:p>
                  <w:r>
                    <w:rPr>
                      <w:rFonts w:hint="eastAsia"/>
                    </w:rPr>
                    <w:t>生产/服务提供过程</w:t>
                  </w:r>
                </w:p>
              </w:tc>
              <w:tc>
                <w:tcPr>
                  <w:tcW w:w="2261" w:type="dxa"/>
                </w:tcPr>
                <w:p>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外部供方控制</w:t>
                  </w:r>
                </w:p>
              </w:tc>
              <w:tc>
                <w:tcPr>
                  <w:tcW w:w="2261" w:type="dxa"/>
                </w:tcPr>
                <w:p>
                  <w:r>
                    <w:rPr>
                      <w:rFonts w:hint="eastAsia"/>
                      <w:lang w:val="en-US" w:eastAsia="zh-CN"/>
                    </w:rPr>
                    <w:t>供销部</w:t>
                  </w:r>
                </w:p>
              </w:tc>
              <w:tc>
                <w:tcPr>
                  <w:tcW w:w="2261" w:type="dxa"/>
                </w:tcPr>
                <w:p>
                  <w:r>
                    <w:rPr>
                      <w:rFonts w:hint="eastAsia"/>
                    </w:rPr>
                    <w:t>生产/服务放行过程</w:t>
                  </w:r>
                </w:p>
              </w:tc>
              <w:tc>
                <w:tcPr>
                  <w:tcW w:w="2261" w:type="dxa"/>
                </w:tcPr>
                <w:p>
                  <w:pPr>
                    <w:rPr>
                      <w:rFonts w:hint="default" w:eastAsia="宋体"/>
                      <w:lang w:val="en-US" w:eastAsia="zh-CN"/>
                    </w:rPr>
                  </w:pPr>
                  <w:r>
                    <w:rPr>
                      <w:rFonts w:hint="eastAsia"/>
                      <w:lang w:val="en-US" w:eastAsia="zh-CN"/>
                    </w:rPr>
                    <w:t>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pPr>
              <w:pStyle w:val="8"/>
            </w:pPr>
          </w:p>
          <w:p>
            <w:pPr>
              <w:rPr>
                <w:rFonts w:hint="default" w:eastAsia="宋体"/>
                <w:lang w:val="en-US" w:eastAsia="zh-CN"/>
              </w:rPr>
            </w:pPr>
            <w:r>
              <w:rPr>
                <w:rFonts w:hint="eastAsia"/>
                <w:lang w:val="en-US" w:eastAsia="zh-CN"/>
              </w:rPr>
              <w:t>FSMS：</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过程名称</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食品安全管理体系策划和推动</w:t>
                  </w:r>
                </w:p>
              </w:tc>
              <w:tc>
                <w:tcPr>
                  <w:tcW w:w="2261" w:type="dxa"/>
                </w:tcPr>
                <w:p>
                  <w:r>
                    <w:rPr>
                      <w:rFonts w:hint="eastAsia"/>
                    </w:rPr>
                    <w:t>食品安全小组</w:t>
                  </w:r>
                </w:p>
              </w:tc>
              <w:tc>
                <w:tcPr>
                  <w:tcW w:w="2261" w:type="dxa"/>
                </w:tcPr>
                <w:p>
                  <w:r>
                    <w:rPr>
                      <w:rFonts w:hint="eastAsia"/>
                    </w:rPr>
                    <w:t>OPRP和HACCP的实施</w:t>
                  </w:r>
                </w:p>
              </w:tc>
              <w:tc>
                <w:tcPr>
                  <w:tcW w:w="2261" w:type="dxa"/>
                </w:tcPr>
                <w:p>
                  <w:pPr>
                    <w:rPr>
                      <w:rFonts w:hint="default" w:eastAsia="宋体"/>
                      <w:lang w:val="en-US" w:eastAsia="zh-CN"/>
                    </w:rPr>
                  </w:pPr>
                  <w:r>
                    <w:rPr>
                      <w:rFonts w:hint="eastAsia"/>
                      <w:lang w:val="en-US" w:eastAsia="zh-CN"/>
                    </w:rPr>
                    <w:t>生产部、质检部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采购控制</w:t>
                  </w:r>
                </w:p>
              </w:tc>
              <w:tc>
                <w:tcPr>
                  <w:tcW w:w="2261" w:type="dxa"/>
                </w:tcPr>
                <w:p>
                  <w:pPr>
                    <w:rPr>
                      <w:rFonts w:hint="default" w:eastAsia="宋体"/>
                      <w:highlight w:val="none"/>
                      <w:lang w:val="en-US" w:eastAsia="zh-CN"/>
                    </w:rPr>
                  </w:pPr>
                  <w:r>
                    <w:rPr>
                      <w:rFonts w:hint="eastAsia"/>
                      <w:highlight w:val="none"/>
                      <w:lang w:val="en-US" w:eastAsia="zh-CN"/>
                    </w:rPr>
                    <w:t>供销部</w:t>
                  </w:r>
                </w:p>
              </w:tc>
              <w:tc>
                <w:tcPr>
                  <w:tcW w:w="2261" w:type="dxa"/>
                </w:tcPr>
                <w:p>
                  <w:r>
                    <w:rPr>
                      <w:rFonts w:hint="eastAsia"/>
                    </w:rPr>
                    <w:t>FSMS验证和确认</w:t>
                  </w:r>
                </w:p>
              </w:tc>
              <w:tc>
                <w:tcPr>
                  <w:tcW w:w="2261"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人员健康</w:t>
                  </w:r>
                </w:p>
              </w:tc>
              <w:tc>
                <w:tcPr>
                  <w:tcW w:w="2261" w:type="dxa"/>
                </w:tcPr>
                <w:p>
                  <w:pPr>
                    <w:rPr>
                      <w:rFonts w:hint="eastAsia" w:eastAsia="宋体"/>
                      <w:lang w:eastAsia="zh-CN"/>
                    </w:rPr>
                  </w:pPr>
                  <w:r>
                    <w:rPr>
                      <w:rFonts w:hint="eastAsia"/>
                      <w:lang w:eastAsia="zh-CN"/>
                    </w:rPr>
                    <w:t>综合部</w:t>
                  </w:r>
                </w:p>
              </w:tc>
              <w:tc>
                <w:tcPr>
                  <w:tcW w:w="2261" w:type="dxa"/>
                </w:tcPr>
                <w:p>
                  <w:r>
                    <w:rPr>
                      <w:rFonts w:hint="eastAsia"/>
                    </w:rPr>
                    <w:t>基础设施</w:t>
                  </w:r>
                </w:p>
              </w:tc>
              <w:tc>
                <w:tcPr>
                  <w:tcW w:w="2261" w:type="dxa"/>
                </w:tcPr>
                <w:p>
                  <w:pPr>
                    <w:rPr>
                      <w:rFonts w:hint="default" w:eastAsia="宋体"/>
                      <w:lang w:val="en-US" w:eastAsia="zh-CN"/>
                    </w:rPr>
                  </w:pP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pPr>
              <w:rPr>
                <w:rFonts w:hint="default" w:eastAsia="宋体"/>
                <w:lang w:val="en-US" w:eastAsia="zh-CN"/>
              </w:rPr>
            </w:pPr>
            <w:r>
              <w:rPr>
                <w:rFonts w:hint="eastAsia"/>
                <w:lang w:val="en-US" w:eastAsia="zh-CN"/>
              </w:rPr>
              <w:t>经沟通确认了解近一年组织架构及相关岗位职责未发生变化</w:t>
            </w:r>
          </w:p>
          <w:p/>
        </w:tc>
        <w:tc>
          <w:tcPr>
            <w:tcW w:w="1589" w:type="dxa"/>
            <w:gridSpan w:val="3"/>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3" w:hRule="atLeast"/>
        </w:trPr>
        <w:tc>
          <w:tcPr>
            <w:tcW w:w="2164" w:type="dxa"/>
            <w:gridSpan w:val="2"/>
            <w:vMerge w:val="continue"/>
            <w:shd w:val="clear" w:color="auto" w:fill="auto"/>
          </w:tcPr>
          <w:p/>
        </w:tc>
        <w:tc>
          <w:tcPr>
            <w:tcW w:w="960" w:type="dxa"/>
            <w:vMerge w:val="continue"/>
            <w:shd w:val="clear" w:color="auto" w:fill="auto"/>
          </w:tcPr>
          <w:p/>
        </w:tc>
        <w:tc>
          <w:tcPr>
            <w:tcW w:w="745" w:type="dxa"/>
            <w:shd w:val="clear" w:color="auto" w:fill="auto"/>
          </w:tcPr>
          <w:p/>
        </w:tc>
        <w:tc>
          <w:tcPr>
            <w:tcW w:w="9256" w:type="dxa"/>
            <w:shd w:val="clear" w:color="auto" w:fill="auto"/>
          </w:tcPr>
          <w:p>
            <w:pPr>
              <w:rPr>
                <w:rFonts w:hint="default" w:eastAsia="宋体"/>
                <w:lang w:val="en-US" w:eastAsia="zh-CN"/>
              </w:rPr>
            </w:pPr>
            <w:r>
              <w:rPr>
                <w:rFonts w:hint="eastAsia"/>
              </w:rPr>
              <w:sym w:font="Wingdings" w:char="00FE"/>
            </w:r>
            <w:r>
              <w:rPr>
                <w:rFonts w:hint="eastAsia"/>
              </w:rPr>
              <w:t>食品安全小组组长：</w:t>
            </w:r>
            <w:r>
              <w:rPr>
                <w:rFonts w:hint="eastAsia"/>
                <w:u w:val="single"/>
                <w:lang w:val="en-US" w:eastAsia="zh-CN"/>
              </w:rPr>
              <w:t xml:space="preserve">胡平 女士 </w:t>
            </w:r>
          </w:p>
          <w:p>
            <w:r>
              <w:t>食品安全组长负责：</w:t>
            </w:r>
          </w:p>
          <w:p>
            <w:r>
              <w:rPr>
                <w:rFonts w:hint="eastAsia"/>
              </w:rPr>
              <w:sym w:font="Wingdings" w:char="00FE"/>
            </w:r>
            <w:r>
              <w:rPr>
                <w:rFonts w:hint="eastAsia"/>
              </w:rPr>
              <w:t xml:space="preserve">  </w:t>
            </w:r>
            <w:r>
              <w:t>确保FSMS的建立、实施、维护和更新；</w:t>
            </w:r>
          </w:p>
          <w:p>
            <w:r>
              <w:rPr>
                <w:rFonts w:hint="eastAsia"/>
              </w:rPr>
              <w:sym w:font="Wingdings" w:char="00FE"/>
            </w:r>
            <w:r>
              <w:rPr>
                <w:rFonts w:hint="eastAsia"/>
              </w:rPr>
              <w:t xml:space="preserve">  </w:t>
            </w:r>
            <w:r>
              <w:t>管理和组织食品安全小组的工作；</w:t>
            </w:r>
          </w:p>
          <w:p>
            <w:r>
              <w:rPr>
                <w:rFonts w:hint="eastAsia"/>
              </w:rPr>
              <w:sym w:font="Wingdings" w:char="00FE"/>
            </w:r>
            <w:r>
              <w:rPr>
                <w:rFonts w:hint="eastAsia"/>
              </w:rPr>
              <w:t xml:space="preserve">  </w:t>
            </w:r>
            <w:r>
              <w:t>确保食品安全团队的相关培训和能力；</w:t>
            </w:r>
          </w:p>
          <w:p>
            <w:r>
              <w:rPr>
                <w:rFonts w:hint="eastAsia"/>
              </w:rPr>
              <w:sym w:font="Wingdings" w:char="00FE"/>
            </w:r>
            <w:r>
              <w:rPr>
                <w:rFonts w:hint="eastAsia"/>
              </w:rPr>
              <w:t xml:space="preserve">  </w:t>
            </w:r>
            <w:r>
              <w:t>向最高管理层报告FSMS的有效性和适宜性。</w:t>
            </w:r>
          </w:p>
          <w:p>
            <w:r>
              <w:t>所有人员有责任向</w:t>
            </w:r>
            <w:r>
              <w:rPr>
                <w:rFonts w:hint="eastAsia"/>
              </w:rPr>
              <w:sym w:font="Wingdings" w:char="00FE"/>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89" w:type="dxa"/>
            <w:gridSpan w:val="3"/>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pPr>
              <w:rPr>
                <w:color w:val="000000"/>
                <w:szCs w:val="21"/>
              </w:rPr>
            </w:pPr>
            <w:r>
              <w:rPr>
                <w:rFonts w:hint="eastAsia"/>
                <w:color w:val="000000"/>
                <w:szCs w:val="21"/>
              </w:rPr>
              <w:t>应对风险和机遇的措施</w:t>
            </w:r>
          </w:p>
          <w:p/>
        </w:tc>
        <w:tc>
          <w:tcPr>
            <w:tcW w:w="960" w:type="dxa"/>
            <w:vMerge w:val="restart"/>
            <w:shd w:val="clear" w:color="auto" w:fill="auto"/>
          </w:tcPr>
          <w:p>
            <w:pPr>
              <w:rPr>
                <w:rFonts w:hint="default" w:eastAsia="宋体"/>
                <w:color w:val="000000"/>
                <w:szCs w:val="21"/>
                <w:lang w:val="en-US" w:eastAsia="zh-CN"/>
              </w:rPr>
            </w:pPr>
            <w:r>
              <w:rPr>
                <w:rFonts w:hint="eastAsia"/>
                <w:color w:val="000000"/>
                <w:szCs w:val="21"/>
                <w:lang w:val="en-US" w:eastAsia="zh-CN"/>
              </w:rPr>
              <w:t>Q6.1</w:t>
            </w:r>
          </w:p>
          <w:p>
            <w:r>
              <w:rPr>
                <w:rFonts w:hint="eastAsia"/>
                <w:color w:val="000000"/>
                <w:szCs w:val="21"/>
              </w:rPr>
              <w:t>F6.1.1</w:t>
            </w:r>
          </w:p>
        </w:tc>
        <w:tc>
          <w:tcPr>
            <w:tcW w:w="745" w:type="dxa"/>
            <w:shd w:val="clear" w:color="auto" w:fill="auto"/>
          </w:tcPr>
          <w:p>
            <w:r>
              <w:rPr>
                <w:rFonts w:hint="eastAsia"/>
              </w:rPr>
              <w:t>文件名称</w:t>
            </w:r>
          </w:p>
        </w:tc>
        <w:tc>
          <w:tcPr>
            <w:tcW w:w="9256" w:type="dxa"/>
            <w:shd w:val="clear" w:color="auto" w:fill="auto"/>
          </w:tcPr>
          <w:p>
            <w:pPr>
              <w:rPr>
                <w:rFonts w:hint="default"/>
                <w:lang w:val="en-US"/>
              </w:rPr>
            </w:pPr>
            <w:r>
              <w:rPr>
                <w:rFonts w:hint="eastAsia"/>
              </w:rPr>
              <w:t>如：</w:t>
            </w:r>
            <w:r>
              <w:rPr>
                <w:rFonts w:hint="eastAsia"/>
              </w:rPr>
              <w:sym w:font="Wingdings" w:char="00FE"/>
            </w:r>
            <w:r>
              <w:rPr>
                <w:rFonts w:hint="eastAsia"/>
              </w:rPr>
              <w:t>《</w:t>
            </w:r>
            <w:r>
              <w:rPr>
                <w:rFonts w:hint="eastAsia"/>
                <w:lang w:val="en-US" w:eastAsia="zh-CN"/>
              </w:rPr>
              <w:t>应对</w:t>
            </w:r>
            <w:r>
              <w:rPr>
                <w:rFonts w:hint="eastAsia"/>
              </w:rPr>
              <w:t>风险和机遇</w:t>
            </w:r>
            <w:r>
              <w:rPr>
                <w:rFonts w:hint="eastAsia"/>
                <w:lang w:val="en-US" w:eastAsia="zh-CN"/>
              </w:rPr>
              <w:t>的措施控程序</w:t>
            </w:r>
            <w:r>
              <w:rPr>
                <w:rFonts w:hint="eastAsia"/>
              </w:rPr>
              <w:t>》、</w:t>
            </w:r>
            <w:r>
              <w:rPr>
                <w:rFonts w:hint="eastAsia"/>
              </w:rPr>
              <w:sym w:font="Wingdings" w:char="00FE"/>
            </w:r>
            <w:r>
              <w:rPr>
                <w:rFonts w:hint="eastAsia"/>
                <w:lang w:eastAsia="zh-CN"/>
              </w:rPr>
              <w:t>《</w:t>
            </w:r>
            <w:r>
              <w:rPr>
                <w:rFonts w:hint="eastAsia"/>
                <w:lang w:val="en-US" w:eastAsia="zh-CN"/>
              </w:rPr>
              <w:t>质量与食品安全</w:t>
            </w:r>
            <w:r>
              <w:rPr>
                <w:rFonts w:hint="eastAsia"/>
              </w:rPr>
              <w:t>管理手册</w:t>
            </w:r>
            <w:r>
              <w:rPr>
                <w:rFonts w:hint="eastAsia"/>
                <w:lang w:eastAsia="zh-CN"/>
              </w:rPr>
              <w:t>》</w:t>
            </w:r>
            <w:r>
              <w:rPr>
                <w:rFonts w:hint="eastAsia"/>
              </w:rPr>
              <w:t>第</w:t>
            </w:r>
            <w:r>
              <w:rPr>
                <w:rFonts w:hint="eastAsia"/>
                <w:lang w:val="en-US" w:eastAsia="zh-CN"/>
              </w:rPr>
              <w:t>6.1条款</w:t>
            </w:r>
          </w:p>
        </w:tc>
        <w:tc>
          <w:tcPr>
            <w:tcW w:w="1589" w:type="dxa"/>
            <w:gridSpan w:val="3"/>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3" w:hRule="atLeast"/>
        </w:trPr>
        <w:tc>
          <w:tcPr>
            <w:tcW w:w="2164" w:type="dxa"/>
            <w:gridSpan w:val="2"/>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r>
              <w:rPr>
                <w:rFonts w:hint="eastAsia"/>
              </w:rPr>
              <w:t>分析风险的方法：</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
            <w:r>
              <w:rPr>
                <w:rFonts w:hint="eastAsia"/>
              </w:rPr>
              <w:t xml:space="preserve">应对风险的措施类型包括：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规避风险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为寻求机遇承担风险、</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消除风险源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改变风险的可能性和后果、</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分担风险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通过信息充分的决策而保留风险 </w:t>
            </w:r>
            <w:r>
              <w:rPr>
                <w:rFonts w:hint="eastAsia"/>
              </w:rPr>
              <w:sym w:font="Wingdings" w:char="00A8"/>
            </w:r>
            <w:r>
              <w:rPr>
                <w:rFonts w:hint="eastAsia"/>
              </w:rPr>
              <w:t>其他</w:t>
            </w:r>
          </w:p>
          <w:p/>
          <w:p>
            <w:r>
              <w:rPr>
                <w:rFonts w:hint="eastAsia"/>
              </w:rPr>
              <w:t xml:space="preserve">列举2~3项应对主要风险的描述：         </w:t>
            </w:r>
          </w:p>
          <w:tbl>
            <w:tblPr>
              <w:tblStyle w:val="10"/>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1"/>
              <w:gridCol w:w="390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1" w:type="dxa"/>
                </w:tcPr>
                <w:p>
                  <w:r>
                    <w:rPr>
                      <w:rFonts w:hint="eastAsia"/>
                    </w:rPr>
                    <w:t>主要的风险描述</w:t>
                  </w:r>
                </w:p>
              </w:tc>
              <w:tc>
                <w:tcPr>
                  <w:tcW w:w="3904" w:type="dxa"/>
                </w:tcPr>
                <w:p>
                  <w:pPr>
                    <w:rPr>
                      <w:szCs w:val="24"/>
                    </w:rPr>
                  </w:pPr>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01" w:type="dxa"/>
                  <w:vAlign w:val="center"/>
                </w:tcPr>
                <w:p>
                  <w:pPr>
                    <w:widowControl/>
                    <w:spacing w:line="360" w:lineRule="exact"/>
                    <w:jc w:val="left"/>
                    <w:textAlignment w:val="center"/>
                    <w:rPr>
                      <w:rFonts w:hint="default" w:ascii="宋体" w:hAnsi="宋体" w:eastAsia="宋体" w:cs="宋体"/>
                      <w:color w:val="000000"/>
                      <w:kern w:val="0"/>
                      <w:szCs w:val="21"/>
                      <w:highlight w:val="yellow"/>
                      <w:lang w:val="en-US" w:eastAsia="zh-CN" w:bidi="ar"/>
                    </w:rPr>
                  </w:pPr>
                  <w:r>
                    <w:rPr>
                      <w:rFonts w:hint="eastAsia" w:ascii="宋体" w:hAnsi="宋体" w:cs="宋体"/>
                      <w:color w:val="000000"/>
                      <w:kern w:val="0"/>
                      <w:szCs w:val="21"/>
                      <w:highlight w:val="none"/>
                      <w:lang w:val="en-US" w:eastAsia="zh-CN" w:bidi="ar"/>
                    </w:rPr>
                    <w:t>食品安全经营风险</w:t>
                  </w:r>
                </w:p>
              </w:tc>
              <w:tc>
                <w:tcPr>
                  <w:tcW w:w="3904" w:type="dxa"/>
                </w:tcPr>
                <w:p>
                  <w:pPr>
                    <w:pStyle w:val="2"/>
                    <w:numPr>
                      <w:ilvl w:val="0"/>
                      <w:numId w:val="1"/>
                    </w:numPr>
                    <w:ind w:leftChars="0"/>
                    <w:rPr>
                      <w:rFonts w:hint="eastAsia"/>
                      <w:lang w:val="en-US" w:eastAsia="zh-CN"/>
                    </w:rPr>
                  </w:pPr>
                  <w:r>
                    <w:rPr>
                      <w:rFonts w:hint="eastAsia"/>
                      <w:lang w:val="en-US" w:eastAsia="zh-CN"/>
                    </w:rPr>
                    <w:t>严格按照配方进行配料管理；</w:t>
                  </w:r>
                </w:p>
                <w:p>
                  <w:pPr>
                    <w:pStyle w:val="2"/>
                    <w:numPr>
                      <w:ilvl w:val="0"/>
                      <w:numId w:val="1"/>
                    </w:numPr>
                    <w:ind w:leftChars="0"/>
                    <w:rPr>
                      <w:rFonts w:hint="eastAsia"/>
                      <w:lang w:val="en-US" w:eastAsia="zh-CN"/>
                    </w:rPr>
                  </w:pPr>
                  <w:r>
                    <w:rPr>
                      <w:rFonts w:hint="eastAsia"/>
                      <w:lang w:val="en-US" w:eastAsia="zh-CN"/>
                    </w:rPr>
                    <w:t>发货前确认，避免发错货</w:t>
                  </w:r>
                </w:p>
                <w:p>
                  <w:pPr>
                    <w:pStyle w:val="2"/>
                    <w:numPr>
                      <w:ilvl w:val="0"/>
                      <w:numId w:val="1"/>
                    </w:numPr>
                    <w:ind w:leftChars="0"/>
                    <w:rPr>
                      <w:rFonts w:hint="default"/>
                      <w:lang w:val="en-US" w:eastAsia="zh-CN"/>
                    </w:rPr>
                  </w:pPr>
                  <w:r>
                    <w:rPr>
                      <w:rFonts w:hint="eastAsia"/>
                      <w:lang w:val="en-US" w:eastAsia="zh-CN"/>
                    </w:rPr>
                    <w:t>定期对员工进行质量和食品安全培训</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1" w:type="dxa"/>
                </w:tcPr>
                <w:p>
                  <w:pPr>
                    <w:rPr>
                      <w:rFonts w:hint="default" w:eastAsia="宋体"/>
                      <w:szCs w:val="24"/>
                      <w:highlight w:val="none"/>
                      <w:lang w:val="en-US" w:eastAsia="zh-CN"/>
                    </w:rPr>
                  </w:pPr>
                  <w:r>
                    <w:rPr>
                      <w:rFonts w:hint="eastAsia"/>
                      <w:lang w:val="en-US" w:eastAsia="zh-CN"/>
                    </w:rPr>
                    <w:t>食品添加剂生产加工过程中使用化学品较多，安全生产风险较大</w:t>
                  </w:r>
                </w:p>
              </w:tc>
              <w:tc>
                <w:tcPr>
                  <w:tcW w:w="3904" w:type="dxa"/>
                </w:tcPr>
                <w:p>
                  <w:pPr>
                    <w:pStyle w:val="6"/>
                    <w:numPr>
                      <w:ilvl w:val="0"/>
                      <w:numId w:val="2"/>
                    </w:numPr>
                    <w:rPr>
                      <w:rFonts w:hint="default"/>
                      <w:sz w:val="21"/>
                      <w:szCs w:val="21"/>
                      <w:lang w:val="en-US" w:eastAsia="zh-CN"/>
                    </w:rPr>
                  </w:pPr>
                  <w:r>
                    <w:rPr>
                      <w:rFonts w:hint="eastAsia"/>
                      <w:sz w:val="21"/>
                      <w:szCs w:val="21"/>
                      <w:lang w:val="en-US" w:eastAsia="zh-CN"/>
                    </w:rPr>
                    <w:t>安全应急预案；</w:t>
                  </w:r>
                </w:p>
                <w:p>
                  <w:pPr>
                    <w:pStyle w:val="6"/>
                    <w:numPr>
                      <w:ilvl w:val="0"/>
                      <w:numId w:val="2"/>
                    </w:numPr>
                    <w:rPr>
                      <w:rFonts w:hint="default"/>
                      <w:sz w:val="21"/>
                      <w:szCs w:val="21"/>
                      <w:lang w:val="en-US" w:eastAsia="zh-CN"/>
                    </w:rPr>
                  </w:pPr>
                  <w:r>
                    <w:rPr>
                      <w:rFonts w:hint="eastAsia"/>
                      <w:sz w:val="21"/>
                      <w:szCs w:val="21"/>
                      <w:lang w:val="en-US" w:eastAsia="zh-CN"/>
                    </w:rPr>
                    <w:t>企业风险责任体系；</w:t>
                  </w:r>
                </w:p>
                <w:p>
                  <w:pPr>
                    <w:pStyle w:val="6"/>
                    <w:numPr>
                      <w:ilvl w:val="0"/>
                      <w:numId w:val="2"/>
                    </w:numPr>
                    <w:rPr>
                      <w:rFonts w:hint="default"/>
                      <w:lang w:val="en-US" w:eastAsia="zh-CN"/>
                    </w:rPr>
                  </w:pPr>
                  <w:r>
                    <w:rPr>
                      <w:rFonts w:hint="eastAsia"/>
                      <w:sz w:val="21"/>
                      <w:szCs w:val="21"/>
                      <w:lang w:val="en-US" w:eastAsia="zh-CN"/>
                    </w:rPr>
                    <w:t>生产加工过程的前提方案等规章制度落实及定期考核</w:t>
                  </w:r>
                </w:p>
              </w:tc>
              <w:tc>
                <w:tcPr>
                  <w:tcW w:w="1717" w:type="dxa"/>
                </w:tcPr>
                <w:p>
                  <w:pPr>
                    <w:rPr>
                      <w:highlight w:val="yellow"/>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1" w:type="dxa"/>
                </w:tcPr>
                <w:p>
                  <w:pPr>
                    <w:rPr>
                      <w:szCs w:val="24"/>
                      <w:highlight w:val="yellow"/>
                    </w:rPr>
                  </w:pPr>
                </w:p>
              </w:tc>
              <w:tc>
                <w:tcPr>
                  <w:tcW w:w="3904" w:type="dxa"/>
                </w:tcPr>
                <w:p>
                  <w:pPr>
                    <w:rPr>
                      <w:highlight w:val="yellow"/>
                    </w:rPr>
                  </w:pPr>
                </w:p>
              </w:tc>
              <w:tc>
                <w:tcPr>
                  <w:tcW w:w="1717" w:type="dxa"/>
                </w:tcPr>
                <w:p>
                  <w:pPr>
                    <w:rPr>
                      <w:highlight w:val="yellow"/>
                    </w:rPr>
                  </w:pPr>
                </w:p>
              </w:tc>
            </w:tr>
          </w:tbl>
          <w:p/>
          <w:p>
            <w:r>
              <w:rPr>
                <w:rFonts w:hint="eastAsia"/>
              </w:rPr>
              <w:t xml:space="preserve">应对机遇的措施类型包括：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采用新实践 </w:t>
            </w:r>
            <w:r>
              <w:rPr>
                <w:rFonts w:hint="eastAsia"/>
              </w:rPr>
              <w:sym w:font="Wingdings" w:char="00A8"/>
            </w:r>
            <w:r>
              <w:rPr>
                <w:rFonts w:hint="eastAsia"/>
              </w:rPr>
              <w:t xml:space="preserve">推出新产品  </w:t>
            </w:r>
            <w:r>
              <w:rPr>
                <w:rFonts w:hint="eastAsia"/>
              </w:rPr>
              <w:sym w:font="Wingdings" w:char="00FE"/>
            </w:r>
            <w:r>
              <w:rPr>
                <w:rFonts w:hint="eastAsia"/>
              </w:rPr>
              <w:t xml:space="preserve">开辟新市场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赢得新顾客  </w:t>
            </w:r>
            <w:r>
              <w:rPr>
                <w:rFonts w:hint="eastAsia"/>
              </w:rPr>
              <w:sym w:font="Wingdings" w:char="00FE"/>
            </w:r>
            <w:r>
              <w:rPr>
                <w:rFonts w:hint="eastAsia"/>
              </w:rPr>
              <w:t xml:space="preserve">建立合作伙伴关系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利用新技术  </w:t>
            </w:r>
            <w:r>
              <w:rPr>
                <w:rFonts w:hint="eastAsia"/>
              </w:rPr>
              <w:sym w:font="Wingdings" w:char="00A8"/>
            </w:r>
            <w:r>
              <w:rPr>
                <w:rFonts w:hint="eastAsia"/>
              </w:rPr>
              <w:t>其他</w:t>
            </w:r>
          </w:p>
          <w:p>
            <w:r>
              <w:rPr>
                <w:rFonts w:hint="eastAsia"/>
              </w:rPr>
              <w:t>列举2~3项应对重要机遇的描述：</w:t>
            </w:r>
          </w:p>
          <w:tbl>
            <w:tblPr>
              <w:tblStyle w:val="10"/>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383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highlight w:val="none"/>
                    </w:rPr>
                  </w:pPr>
                  <w:bookmarkStart w:id="3" w:name="_GoBack" w:colFirst="0" w:colLast="2"/>
                  <w:r>
                    <w:rPr>
                      <w:rFonts w:hint="eastAsia"/>
                      <w:highlight w:val="none"/>
                    </w:rPr>
                    <w:t>主要的机遇描述</w:t>
                  </w:r>
                </w:p>
              </w:tc>
              <w:tc>
                <w:tcPr>
                  <w:tcW w:w="3833" w:type="dxa"/>
                </w:tcPr>
                <w:p>
                  <w:pPr>
                    <w:rPr>
                      <w:szCs w:val="24"/>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rFonts w:hint="default" w:eastAsia="宋体"/>
                      <w:highlight w:val="none"/>
                      <w:lang w:val="en-US" w:eastAsia="zh-CN"/>
                    </w:rPr>
                  </w:pPr>
                  <w:r>
                    <w:rPr>
                      <w:rFonts w:hint="eastAsia"/>
                      <w:highlight w:val="none"/>
                      <w:lang w:val="en-US" w:eastAsia="zh-CN"/>
                    </w:rPr>
                    <w:t>管理体系，便于开拓市场客户</w:t>
                  </w:r>
                </w:p>
              </w:tc>
              <w:tc>
                <w:tcPr>
                  <w:tcW w:w="3833" w:type="dxa"/>
                </w:tcPr>
                <w:p>
                  <w:pPr>
                    <w:pStyle w:val="8"/>
                    <w:numPr>
                      <w:ilvl w:val="0"/>
                      <w:numId w:val="0"/>
                    </w:numPr>
                    <w:ind w:leftChars="0"/>
                    <w:jc w:val="left"/>
                    <w:rPr>
                      <w:rFonts w:hint="eastAsia"/>
                      <w:highlight w:val="none"/>
                      <w:lang w:val="en-US" w:eastAsia="zh-CN"/>
                    </w:rPr>
                  </w:pPr>
                  <w:r>
                    <w:rPr>
                      <w:rFonts w:hint="eastAsia"/>
                      <w:highlight w:val="none"/>
                      <w:lang w:val="en-US" w:eastAsia="zh-CN"/>
                    </w:rPr>
                    <w:t>通过第三方认证，获得第三方的符合性证明；</w:t>
                  </w:r>
                </w:p>
                <w:p>
                  <w:pPr>
                    <w:pStyle w:val="8"/>
                    <w:numPr>
                      <w:ilvl w:val="0"/>
                      <w:numId w:val="0"/>
                    </w:numPr>
                    <w:ind w:leftChars="0"/>
                    <w:jc w:val="left"/>
                    <w:rPr>
                      <w:rFonts w:hint="default"/>
                      <w:highlight w:val="none"/>
                      <w:lang w:val="en-US" w:eastAsia="zh-CN"/>
                    </w:rPr>
                  </w:pPr>
                  <w:r>
                    <w:rPr>
                      <w:rFonts w:hint="eastAsia"/>
                      <w:highlight w:val="none"/>
                      <w:lang w:val="en-US" w:eastAsia="zh-CN"/>
                    </w:rPr>
                    <w:t>强化内部管理，降低产品质量和食品安全风险，提升开拓市场的基础能力</w:t>
                  </w:r>
                </w:p>
              </w:tc>
              <w:tc>
                <w:tcPr>
                  <w:tcW w:w="1717" w:type="dxa"/>
                </w:tcPr>
                <w:p>
                  <w:pPr>
                    <w:rPr>
                      <w:highlight w:val="none"/>
                    </w:rPr>
                  </w:pPr>
                  <w:r>
                    <w:rPr>
                      <w:rFonts w:hint="eastAsia"/>
                      <w:highlight w:val="none"/>
                    </w:rPr>
                    <w:t>基本有效</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szCs w:val="24"/>
                      <w:highlight w:val="none"/>
                    </w:rPr>
                  </w:pPr>
                </w:p>
              </w:tc>
              <w:tc>
                <w:tcPr>
                  <w:tcW w:w="3833" w:type="dxa"/>
                </w:tcPr>
                <w:p>
                  <w:pPr>
                    <w:rPr>
                      <w:highlight w:val="none"/>
                    </w:rPr>
                  </w:pPr>
                </w:p>
              </w:tc>
              <w:tc>
                <w:tcPr>
                  <w:tcW w:w="1717"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szCs w:val="24"/>
                      <w:highlight w:val="yellow"/>
                    </w:rPr>
                  </w:pPr>
                </w:p>
              </w:tc>
              <w:tc>
                <w:tcPr>
                  <w:tcW w:w="3833" w:type="dxa"/>
                </w:tcPr>
                <w:p>
                  <w:pPr>
                    <w:rPr>
                      <w:highlight w:val="yellow"/>
                    </w:rPr>
                  </w:pPr>
                </w:p>
              </w:tc>
              <w:tc>
                <w:tcPr>
                  <w:tcW w:w="1717" w:type="dxa"/>
                </w:tcPr>
                <w:p>
                  <w:pPr>
                    <w:rPr>
                      <w:highlight w:val="yellow"/>
                    </w:rPr>
                  </w:pPr>
                </w:p>
              </w:tc>
            </w:tr>
          </w:tbl>
          <w:p/>
          <w:p>
            <w:pPr>
              <w:rPr>
                <w:rFonts w:hint="eastAsia"/>
              </w:rPr>
            </w:pPr>
            <w:r>
              <w:rPr>
                <w:rFonts w:hint="eastAsia"/>
              </w:rPr>
              <w:t>FSMS</w:t>
            </w:r>
          </w:p>
          <w:p>
            <w:pPr>
              <w:jc w:val="left"/>
              <w:rPr>
                <w:highlight w:val="none"/>
              </w:rPr>
            </w:pPr>
            <w:r>
              <w:rPr>
                <w:rFonts w:hint="eastAsia"/>
                <w:highlight w:val="none"/>
              </w:rPr>
              <w:t>组织食品安全管理体系范围内的潜在紧急情况，如</w:t>
            </w: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法规未识别  </w:t>
            </w:r>
            <w:r>
              <w:rPr>
                <w:rFonts w:hint="eastAsia"/>
                <w:highlight w:val="none"/>
                <w:u w:val="single"/>
              </w:rPr>
              <w:sym w:font="Wingdings" w:char="00FE"/>
            </w:r>
            <w:r>
              <w:rPr>
                <w:rFonts w:hint="eastAsia"/>
                <w:highlight w:val="none"/>
                <w:u w:val="single"/>
              </w:rPr>
              <w:t xml:space="preserve">违规操作  </w:t>
            </w:r>
            <w:r>
              <w:rPr>
                <w:rFonts w:hint="eastAsia"/>
                <w:highlight w:val="none"/>
                <w:u w:val="single"/>
              </w:rPr>
              <w:sym w:font="Wingdings" w:char="00A8"/>
            </w:r>
            <w:r>
              <w:rPr>
                <w:rFonts w:hint="eastAsia"/>
                <w:highlight w:val="none"/>
                <w:u w:val="single"/>
              </w:rPr>
              <w:t xml:space="preserve">其他                      </w:t>
            </w:r>
          </w:p>
          <w:p>
            <w:pPr>
              <w:rPr>
                <w:highlight w:val="none"/>
              </w:rPr>
            </w:pPr>
          </w:p>
          <w:p>
            <w:pPr>
              <w:rPr>
                <w:highlight w:val="none"/>
              </w:rPr>
            </w:pPr>
            <w:r>
              <w:rPr>
                <w:rFonts w:hint="eastAsia"/>
                <w:highlight w:val="none"/>
              </w:rPr>
              <w:t>可能具有食品安全危害的潜在紧急情况，如</w:t>
            </w:r>
            <w:r>
              <w:rPr>
                <w:rFonts w:hint="eastAsia"/>
                <w:highlight w:val="none"/>
                <w:u w:val="single"/>
              </w:rPr>
              <w:t xml:space="preserve">  </w:t>
            </w:r>
            <w:r>
              <w:rPr>
                <w:rFonts w:hint="eastAsia"/>
                <w:highlight w:val="none"/>
                <w:u w:val="single"/>
              </w:rPr>
              <w:sym w:font="Wingdings" w:char="00A8"/>
            </w:r>
            <w:r>
              <w:rPr>
                <w:rFonts w:hint="eastAsia"/>
                <w:highlight w:val="none"/>
                <w:u w:val="single"/>
              </w:rPr>
              <w:t xml:space="preserve">食物中毒 </w:t>
            </w:r>
            <w:r>
              <w:rPr>
                <w:rFonts w:hint="eastAsia"/>
                <w:highlight w:val="none"/>
                <w:u w:val="single"/>
              </w:rPr>
              <w:sym w:font="Wingdings" w:char="00A8"/>
            </w:r>
            <w:r>
              <w:rPr>
                <w:rFonts w:hint="eastAsia"/>
                <w:highlight w:val="none"/>
                <w:u w:val="single"/>
              </w:rPr>
              <w:t xml:space="preserve">停水  </w:t>
            </w:r>
            <w:r>
              <w:rPr>
                <w:rFonts w:hint="eastAsia"/>
                <w:highlight w:val="none"/>
                <w:u w:val="single"/>
              </w:rPr>
              <w:sym w:font="Wingdings" w:char="00FE"/>
            </w:r>
            <w:r>
              <w:rPr>
                <w:rFonts w:hint="eastAsia"/>
                <w:highlight w:val="none"/>
                <w:u w:val="single"/>
              </w:rPr>
              <w:t xml:space="preserve">停电  </w:t>
            </w:r>
            <w:r>
              <w:rPr>
                <w:rFonts w:hint="eastAsia"/>
                <w:highlight w:val="none"/>
                <w:u w:val="single"/>
              </w:rPr>
              <w:sym w:font="Wingdings" w:char="00A8"/>
            </w:r>
            <w:r>
              <w:rPr>
                <w:rFonts w:hint="eastAsia"/>
                <w:highlight w:val="none"/>
                <w:u w:val="single"/>
              </w:rPr>
              <w:t xml:space="preserve"> 停蒸汽   </w:t>
            </w:r>
            <w:r>
              <w:rPr>
                <w:rFonts w:hint="eastAsia"/>
                <w:highlight w:val="none"/>
                <w:u w:val="single"/>
              </w:rPr>
              <w:sym w:font="Wingdings" w:char="00FE"/>
            </w:r>
            <w:r>
              <w:rPr>
                <w:rFonts w:hint="eastAsia"/>
                <w:highlight w:val="none"/>
                <w:u w:val="single"/>
                <w:lang w:val="en-US" w:eastAsia="zh-CN"/>
              </w:rPr>
              <w:t xml:space="preserve">直接环境的突然污染  </w:t>
            </w:r>
            <w:r>
              <w:rPr>
                <w:rFonts w:hint="eastAsia"/>
                <w:highlight w:val="none"/>
                <w:u w:val="single"/>
              </w:rPr>
              <w:t xml:space="preserve"> </w:t>
            </w:r>
            <w:r>
              <w:rPr>
                <w:rFonts w:hint="eastAsia"/>
                <w:highlight w:val="none"/>
                <w:u w:val="single"/>
              </w:rPr>
              <w:sym w:font="Wingdings" w:char="00A8"/>
            </w:r>
            <w:r>
              <w:rPr>
                <w:rFonts w:hint="eastAsia"/>
                <w:highlight w:val="none"/>
                <w:u w:val="single"/>
                <w:lang w:val="en-US" w:eastAsia="zh-CN"/>
              </w:rPr>
              <w:t>疫情/疫病的爆发</w:t>
            </w: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 制冷设备故障  </w:t>
            </w:r>
            <w:r>
              <w:rPr>
                <w:rFonts w:hint="eastAsia"/>
                <w:highlight w:val="none"/>
                <w:u w:val="single"/>
              </w:rPr>
              <w:sym w:font="Wingdings" w:char="00FE"/>
            </w:r>
            <w:r>
              <w:rPr>
                <w:rFonts w:hint="eastAsia"/>
                <w:highlight w:val="none"/>
                <w:u w:val="single"/>
              </w:rPr>
              <w:t xml:space="preserve">车辆故障   </w:t>
            </w:r>
            <w:r>
              <w:rPr>
                <w:rFonts w:hint="eastAsia"/>
                <w:highlight w:val="none"/>
                <w:u w:val="single"/>
              </w:rPr>
              <w:sym w:font="Wingdings" w:char="00A8"/>
            </w:r>
            <w:r>
              <w:rPr>
                <w:rFonts w:hint="eastAsia"/>
                <w:highlight w:val="none"/>
                <w:u w:val="single"/>
              </w:rPr>
              <w:t xml:space="preserve">其他            </w:t>
            </w:r>
          </w:p>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确保FSMS 能够达到其预期结果;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提高理想效果;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防止或减少不良后果;</w:t>
            </w:r>
          </w:p>
          <w:p>
            <w:r>
              <w:rPr>
                <w:rFonts w:hint="eastAsia"/>
              </w:rPr>
              <w:sym w:font="Wingdings" w:char="00FE"/>
            </w:r>
            <w:r>
              <w:rPr>
                <w:rFonts w:hint="eastAsia"/>
              </w:rPr>
              <w:t xml:space="preserve"> </w:t>
            </w:r>
            <w:r>
              <w:rPr>
                <w:rFonts w:hint="eastAsia" w:ascii="CIDFont+F5" w:hAnsi="CIDFont+F5" w:eastAsia="CIDFont+F5"/>
              </w:rPr>
              <w:t xml:space="preserve"> 实现持续改进。</w:t>
            </w:r>
          </w:p>
        </w:tc>
        <w:tc>
          <w:tcPr>
            <w:tcW w:w="1589" w:type="dxa"/>
            <w:gridSpan w:val="3"/>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4" w:hRule="atLeast"/>
        </w:trPr>
        <w:tc>
          <w:tcPr>
            <w:tcW w:w="2164" w:type="dxa"/>
            <w:gridSpan w:val="2"/>
            <w:vMerge w:val="restart"/>
            <w:shd w:val="clear" w:color="auto" w:fill="auto"/>
          </w:tcPr>
          <w:p/>
        </w:tc>
        <w:tc>
          <w:tcPr>
            <w:tcW w:w="960" w:type="dxa"/>
            <w:shd w:val="clear" w:color="auto" w:fill="auto"/>
          </w:tcPr>
          <w:p>
            <w:r>
              <w:rPr>
                <w:rFonts w:hint="eastAsia"/>
                <w:color w:val="000000"/>
                <w:szCs w:val="21"/>
              </w:rPr>
              <w:t>F6.1.2</w:t>
            </w:r>
          </w:p>
        </w:tc>
        <w:tc>
          <w:tcPr>
            <w:tcW w:w="745" w:type="dxa"/>
            <w:shd w:val="clear" w:color="auto" w:fill="auto"/>
          </w:tcPr>
          <w:p>
            <w:r>
              <w:rPr>
                <w:rFonts w:hint="eastAsia"/>
              </w:rPr>
              <w:t>运行证据</w:t>
            </w:r>
          </w:p>
        </w:tc>
        <w:tc>
          <w:tcPr>
            <w:tcW w:w="9256" w:type="dxa"/>
            <w:shd w:val="clear" w:color="auto" w:fill="auto"/>
          </w:tcPr>
          <w:p>
            <w:pPr>
              <w:rPr>
                <w:rFonts w:ascii="CIDFont+F5" w:hAnsi="CIDFont+F5" w:eastAsia="CIDFont+F5"/>
              </w:rPr>
            </w:pPr>
            <w:r>
              <w:rPr>
                <w:rFonts w:hint="eastAsia" w:ascii="CIDFont+F5" w:hAnsi="CIDFont+F5" w:eastAsia="CIDFont+F5"/>
              </w:rPr>
              <w:t>该组织策划了：</w:t>
            </w:r>
          </w:p>
          <w:p>
            <w:pPr>
              <w:numPr>
                <w:ilvl w:val="0"/>
                <w:numId w:val="3"/>
              </w:numPr>
              <w:jc w:val="left"/>
              <w:rPr>
                <w:rFonts w:hint="eastAsia" w:ascii="CIDFont+F5" w:hAnsi="CIDFont+F5" w:eastAsia="CIDFont+F5"/>
                <w:color w:val="0000FF"/>
                <w:u w:val="single"/>
              </w:rPr>
            </w:pPr>
            <w:r>
              <w:rPr>
                <w:rFonts w:hint="eastAsia" w:ascii="CIDFont+F5" w:hAnsi="CIDFont+F5" w:eastAsia="CIDFont+F5"/>
              </w:rPr>
              <w:t>解决这些风险和机遇的行动;——企业提供了</w:t>
            </w:r>
            <w:r>
              <w:rPr>
                <w:rFonts w:hint="eastAsia" w:ascii="CIDFont+F5" w:hAnsi="CIDFont+F5" w:eastAsia="CIDFont+F5"/>
                <w:color w:val="0000FF"/>
                <w:u w:val="single"/>
              </w:rPr>
              <w:t>《</w:t>
            </w:r>
            <w:r>
              <w:rPr>
                <w:rFonts w:hint="eastAsia" w:ascii="CIDFont+F5" w:hAnsi="CIDFont+F5" w:eastAsia="CIDFont+F5"/>
                <w:color w:val="0000FF"/>
                <w:u w:val="single"/>
                <w:lang w:val="en-US" w:eastAsia="zh-CN"/>
              </w:rPr>
              <w:t>风险与机遇识别、评价、对策表</w:t>
            </w:r>
            <w:r>
              <w:rPr>
                <w:rFonts w:hint="eastAsia" w:ascii="CIDFont+F5" w:hAnsi="CIDFont+F5" w:eastAsia="CIDFont+F5"/>
                <w:color w:val="0000FF"/>
                <w:u w:val="single"/>
              </w:rPr>
              <w:t>》</w:t>
            </w:r>
          </w:p>
          <w:p>
            <w:pPr>
              <w:numPr>
                <w:ilvl w:val="0"/>
                <w:numId w:val="3"/>
              </w:numPr>
              <w:jc w:val="left"/>
              <w:rPr>
                <w:rFonts w:ascii="CIDFont+F5" w:hAnsi="CIDFont+F5" w:eastAsia="CIDFont+F5"/>
              </w:rPr>
            </w:pPr>
            <w:r>
              <w:rPr>
                <w:rFonts w:hint="eastAsia" w:ascii="CIDFont+F5" w:hAnsi="CIDFont+F5" w:eastAsia="CIDFont+F5"/>
              </w:rPr>
              <w:t>b) 并进行了:</w:t>
            </w:r>
          </w:p>
          <w:p>
            <w:pPr>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9" w:type="dxa"/>
            <w:gridSpan w:val="3"/>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0" w:hRule="atLeast"/>
        </w:trPr>
        <w:tc>
          <w:tcPr>
            <w:tcW w:w="2164" w:type="dxa"/>
            <w:gridSpan w:val="2"/>
            <w:vMerge w:val="continue"/>
            <w:shd w:val="clear" w:color="auto" w:fill="auto"/>
          </w:tcPr>
          <w:p/>
        </w:tc>
        <w:tc>
          <w:tcPr>
            <w:tcW w:w="960" w:type="dxa"/>
            <w:shd w:val="clear" w:color="auto" w:fill="auto"/>
          </w:tcPr>
          <w:p>
            <w:r>
              <w:rPr>
                <w:rFonts w:hint="eastAsia"/>
                <w:color w:val="000000"/>
                <w:szCs w:val="21"/>
              </w:rPr>
              <w:t>F6.1.3 </w:t>
            </w:r>
          </w:p>
        </w:tc>
        <w:tc>
          <w:tcPr>
            <w:tcW w:w="745" w:type="dxa"/>
            <w:shd w:val="clear" w:color="auto" w:fill="auto"/>
          </w:tcPr>
          <w:p>
            <w:r>
              <w:rPr>
                <w:rFonts w:hint="eastAsia"/>
              </w:rPr>
              <w:t>运行证据</w:t>
            </w:r>
          </w:p>
        </w:tc>
        <w:tc>
          <w:tcPr>
            <w:tcW w:w="9256" w:type="dxa"/>
            <w:shd w:val="clear" w:color="auto" w:fill="auto"/>
          </w:tcPr>
          <w:p>
            <w:pPr>
              <w:jc w:val="left"/>
              <w:rPr>
                <w:rFonts w:ascii="CIDFont+F5" w:hAnsi="CIDFont+F5" w:eastAsia="CIDFont+F5"/>
              </w:rPr>
            </w:pPr>
            <w:r>
              <w:rPr>
                <w:rFonts w:hint="eastAsia" w:ascii="CIDFont+F5" w:hAnsi="CIDFont+F5" w:eastAsia="CIDFont+F5"/>
              </w:rPr>
              <w:t>该组织为应对风险和机遇而采取的行动与以下方面相称：</w:t>
            </w:r>
          </w:p>
          <w:p>
            <w:pP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9" w:type="dxa"/>
            <w:gridSpan w:val="3"/>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pPr>
              <w:rPr>
                <w:color w:val="000000"/>
                <w:szCs w:val="21"/>
              </w:rPr>
            </w:pPr>
            <w:r>
              <w:rPr>
                <w:rFonts w:hint="eastAsia"/>
                <w:color w:val="000000"/>
                <w:szCs w:val="21"/>
                <w:lang w:val="en-US" w:eastAsia="zh-CN"/>
              </w:rPr>
              <w:t>质量/</w:t>
            </w:r>
            <w:r>
              <w:rPr>
                <w:rFonts w:hint="eastAsia"/>
                <w:color w:val="000000"/>
                <w:szCs w:val="21"/>
              </w:rPr>
              <w:t>食品安全目标及其实现的策划</w:t>
            </w:r>
          </w:p>
          <w:p/>
        </w:tc>
        <w:tc>
          <w:tcPr>
            <w:tcW w:w="960" w:type="dxa"/>
            <w:vMerge w:val="restart"/>
            <w:shd w:val="clear" w:color="auto" w:fill="auto"/>
          </w:tcPr>
          <w:p>
            <w:pPr>
              <w:rPr>
                <w:color w:val="000000"/>
                <w:szCs w:val="21"/>
              </w:rPr>
            </w:pPr>
            <w:r>
              <w:rPr>
                <w:rFonts w:hint="eastAsia"/>
                <w:color w:val="000000"/>
                <w:szCs w:val="21"/>
              </w:rPr>
              <w:t>F6.2</w:t>
            </w:r>
          </w:p>
        </w:tc>
        <w:tc>
          <w:tcPr>
            <w:tcW w:w="745" w:type="dxa"/>
            <w:shd w:val="clear" w:color="auto" w:fill="auto"/>
          </w:tcPr>
          <w:p>
            <w:r>
              <w:rPr>
                <w:rFonts w:hint="eastAsia"/>
              </w:rPr>
              <w:t>文件名称</w:t>
            </w:r>
          </w:p>
        </w:tc>
        <w:tc>
          <w:tcPr>
            <w:tcW w:w="9256" w:type="dxa"/>
            <w:shd w:val="clear" w:color="auto" w:fill="auto"/>
          </w:tcPr>
          <w:p>
            <w:r>
              <w:rPr>
                <w:rFonts w:hint="eastAsia"/>
              </w:rPr>
              <w:t>如：</w:t>
            </w:r>
            <w:r>
              <w:rPr/>
              <w:sym w:font="Wingdings" w:char="00FE"/>
            </w:r>
            <w:r>
              <w:rPr>
                <w:rFonts w:hint="eastAsia"/>
                <w:lang w:eastAsia="zh-CN"/>
              </w:rPr>
              <w:t>《</w:t>
            </w:r>
            <w:r>
              <w:rPr>
                <w:rFonts w:hint="eastAsia"/>
                <w:lang w:val="en-US" w:eastAsia="zh-CN"/>
              </w:rPr>
              <w:t>质量与食品安全管理手册</w:t>
            </w:r>
            <w:r>
              <w:rPr>
                <w:rFonts w:hint="eastAsia"/>
                <w:lang w:eastAsia="zh-CN"/>
              </w:rPr>
              <w:t>》</w:t>
            </w:r>
            <w:r>
              <w:rPr>
                <w:rFonts w:hint="eastAsia"/>
              </w:rPr>
              <w:t>手册第</w:t>
            </w:r>
            <w:r>
              <w:rPr>
                <w:rFonts w:hint="eastAsia"/>
                <w:lang w:val="en-US" w:eastAsia="zh-CN"/>
              </w:rPr>
              <w:t>6.2条款</w:t>
            </w:r>
            <w:r>
              <w:rPr>
                <w:rFonts w:hint="eastAsia"/>
              </w:rPr>
              <w:t>、</w:t>
            </w:r>
            <w:r>
              <w:rPr/>
              <w:sym w:font="Wingdings" w:char="00FE"/>
            </w:r>
            <w:r>
              <w:rPr>
                <w:rFonts w:hint="eastAsia"/>
              </w:rPr>
              <w:t>《杭州美森香料有限公司目标分解及完成情况考核表》</w:t>
            </w:r>
          </w:p>
        </w:tc>
        <w:tc>
          <w:tcPr>
            <w:tcW w:w="1589" w:type="dxa"/>
            <w:gridSpan w:val="3"/>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gridSpan w:val="2"/>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r>
              <w:rPr>
                <w:rFonts w:hint="eastAsia"/>
              </w:rPr>
              <w:t>组织建立了与方针一致的文件化的管理目标。为实现总的</w:t>
            </w:r>
            <w:r>
              <w:rPr>
                <w:rFonts w:hint="eastAsia"/>
                <w:color w:val="000000"/>
                <w:szCs w:val="21"/>
                <w:lang w:val="en-US" w:eastAsia="zh-CN"/>
              </w:rPr>
              <w:t>质量/</w:t>
            </w:r>
            <w:r>
              <w:rPr>
                <w:rFonts w:hint="eastAsia" w:ascii="宋体" w:hAnsi="宋体"/>
                <w:szCs w:val="21"/>
              </w:rPr>
              <w:t>食品安全</w:t>
            </w:r>
            <w:r>
              <w:rPr>
                <w:rFonts w:hint="eastAsia"/>
              </w:rPr>
              <w:t>目标而建立的各层级</w:t>
            </w:r>
            <w:r>
              <w:rPr>
                <w:rFonts w:hint="eastAsia"/>
                <w:color w:val="000000"/>
                <w:szCs w:val="21"/>
                <w:lang w:val="en-US" w:eastAsia="zh-CN"/>
              </w:rPr>
              <w:t>质量/</w:t>
            </w:r>
            <w:r>
              <w:rPr>
                <w:rFonts w:hint="eastAsia" w:ascii="宋体" w:hAnsi="宋体"/>
                <w:szCs w:val="21"/>
              </w:rPr>
              <w:t>食品安全</w:t>
            </w:r>
            <w:r>
              <w:rPr>
                <w:rFonts w:hint="eastAsia"/>
              </w:rPr>
              <w:t>目标具体、有针对性、可测量并且可实现。</w:t>
            </w:r>
          </w:p>
          <w:p>
            <w:r>
              <w:rPr>
                <w:rFonts w:hint="eastAsia"/>
              </w:rPr>
              <w:t>总</w:t>
            </w:r>
            <w:r>
              <w:rPr>
                <w:rFonts w:hint="eastAsia"/>
                <w:color w:val="000000"/>
                <w:szCs w:val="21"/>
                <w:lang w:val="en-US" w:eastAsia="zh-CN"/>
              </w:rPr>
              <w:t>质量/</w:t>
            </w:r>
            <w:r>
              <w:rPr>
                <w:rFonts w:hint="eastAsia" w:ascii="宋体" w:hAnsi="宋体"/>
                <w:szCs w:val="21"/>
              </w:rPr>
              <w:t>食品安全</w:t>
            </w:r>
            <w:r>
              <w:rPr>
                <w:rFonts w:hint="eastAsia"/>
              </w:rPr>
              <w:t>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2700"/>
              <w:gridCol w:w="1542"/>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18"/>
                      <w:lang w:val="en-US" w:eastAsia="zh-CN" w:bidi="ar-SA"/>
                    </w:rPr>
                  </w:pPr>
                  <w:r>
                    <w:rPr>
                      <w:rFonts w:hint="eastAsia"/>
                      <w:color w:val="000000"/>
                      <w:szCs w:val="18"/>
                    </w:rPr>
                    <w:t>目标</w:t>
                  </w:r>
                </w:p>
              </w:tc>
              <w:tc>
                <w:tcPr>
                  <w:tcW w:w="2700" w:type="dxa"/>
                  <w:shd w:val="clear" w:color="auto" w:fill="auto"/>
                  <w:vAlign w:val="top"/>
                </w:tcPr>
                <w:p>
                  <w:pPr>
                    <w:widowControl/>
                    <w:spacing w:before="40"/>
                    <w:jc w:val="left"/>
                    <w:rPr>
                      <w:rFonts w:ascii="Times New Roman" w:hAnsi="Times New Roman" w:eastAsia="宋体" w:cs="Times New Roman"/>
                      <w:color w:val="000000"/>
                      <w:kern w:val="2"/>
                      <w:sz w:val="21"/>
                      <w:szCs w:val="18"/>
                      <w:lang w:val="en-US" w:eastAsia="zh-CN" w:bidi="ar-SA"/>
                    </w:rPr>
                  </w:pPr>
                  <w:r>
                    <w:rPr>
                      <w:rFonts w:hint="eastAsia"/>
                      <w:color w:val="000000"/>
                      <w:szCs w:val="18"/>
                    </w:rPr>
                    <w:t>计算方法</w:t>
                  </w:r>
                </w:p>
              </w:tc>
              <w:tc>
                <w:tcPr>
                  <w:tcW w:w="1542" w:type="dxa"/>
                  <w:shd w:val="clear" w:color="auto" w:fill="auto"/>
                </w:tcPr>
                <w:p>
                  <w:pPr>
                    <w:rPr>
                      <w:rFonts w:ascii="宋体" w:hAnsi="宋体"/>
                      <w:szCs w:val="21"/>
                      <w:highlight w:val="none"/>
                    </w:rPr>
                  </w:pPr>
                  <w:r>
                    <w:rPr>
                      <w:rFonts w:hint="eastAsia" w:ascii="宋体" w:hAnsi="宋体"/>
                      <w:szCs w:val="21"/>
                      <w:highlight w:val="none"/>
                    </w:rPr>
                    <w:t>责任部门</w:t>
                  </w:r>
                </w:p>
              </w:tc>
              <w:tc>
                <w:tcPr>
                  <w:tcW w:w="2337" w:type="dxa"/>
                  <w:shd w:val="clear" w:color="auto" w:fill="auto"/>
                </w:tcPr>
                <w:p>
                  <w:pPr>
                    <w:rPr>
                      <w:rFonts w:ascii="宋体" w:hAnsi="宋体"/>
                      <w:szCs w:val="21"/>
                      <w:highlight w:val="none"/>
                    </w:rPr>
                  </w:pPr>
                  <w:r>
                    <w:rPr>
                      <w:rFonts w:hint="eastAsia" w:ascii="宋体" w:hAnsi="宋体"/>
                      <w:szCs w:val="21"/>
                      <w:highlight w:val="none"/>
                    </w:rPr>
                    <w:t>目标实际完成</w:t>
                  </w:r>
                </w:p>
                <w:p>
                  <w:pPr>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2022.01-2022.12</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widowControl/>
                    <w:suppressLineNumbers w:val="0"/>
                    <w:jc w:val="left"/>
                    <w:rPr>
                      <w:rFonts w:hint="eastAsia" w:ascii="Times New Roman" w:hAnsi="Times New Roman" w:eastAsia="宋体" w:cs="Times New Roman"/>
                      <w:color w:val="000000"/>
                      <w:kern w:val="2"/>
                      <w:sz w:val="21"/>
                      <w:szCs w:val="18"/>
                      <w:highlight w:val="cyan"/>
                      <w:lang w:val="en-US" w:eastAsia="zh-CN" w:bidi="ar-SA"/>
                    </w:rPr>
                  </w:pPr>
                  <w:r>
                    <w:rPr>
                      <w:rFonts w:hint="eastAsia" w:ascii="宋体" w:hAnsi="宋体" w:eastAsia="宋体" w:cs="宋体"/>
                      <w:color w:val="000000"/>
                      <w:kern w:val="0"/>
                      <w:sz w:val="21"/>
                      <w:szCs w:val="21"/>
                      <w:lang w:val="en-US" w:eastAsia="zh-CN" w:bidi="ar"/>
                    </w:rPr>
                    <w:t xml:space="preserve">产品一次批检验合格率达到 </w:t>
                  </w:r>
                  <w:r>
                    <w:rPr>
                      <w:rFonts w:hint="default" w:ascii="Times New Roman" w:hAnsi="Times New Roman" w:eastAsia="宋体" w:cs="Times New Roman"/>
                      <w:color w:val="000000"/>
                      <w:kern w:val="0"/>
                      <w:sz w:val="21"/>
                      <w:szCs w:val="21"/>
                      <w:lang w:val="en-US" w:eastAsia="zh-CN" w:bidi="ar"/>
                    </w:rPr>
                    <w:t>99.5%</w:t>
                  </w:r>
                  <w:r>
                    <w:rPr>
                      <w:rFonts w:hint="eastAsia" w:ascii="宋体" w:hAnsi="宋体" w:eastAsia="宋体" w:cs="宋体"/>
                      <w:color w:val="000000"/>
                      <w:kern w:val="0"/>
                      <w:sz w:val="21"/>
                      <w:szCs w:val="21"/>
                      <w:lang w:val="en-US" w:eastAsia="zh-CN" w:bidi="ar"/>
                    </w:rPr>
                    <w:t xml:space="preserve">； </w:t>
                  </w:r>
                </w:p>
              </w:tc>
              <w:tc>
                <w:tcPr>
                  <w:tcW w:w="2700" w:type="dxa"/>
                  <w:shd w:val="clear" w:color="auto" w:fill="auto"/>
                  <w:vAlign w:val="top"/>
                </w:tcPr>
                <w:p>
                  <w:pPr>
                    <w:keepNext w:val="0"/>
                    <w:keepLines w:val="0"/>
                    <w:widowControl/>
                    <w:suppressLineNumbers w:val="0"/>
                    <w:jc w:val="left"/>
                    <w:rPr>
                      <w:rFonts w:hint="default" w:ascii="Times New Roman" w:hAnsi="Times New Roman" w:eastAsia="宋体" w:cs="Times New Roman"/>
                      <w:color w:val="000000"/>
                      <w:kern w:val="2"/>
                      <w:sz w:val="21"/>
                      <w:szCs w:val="18"/>
                      <w:highlight w:val="none"/>
                      <w:lang w:val="en-GB" w:eastAsia="zh-CN" w:bidi="ar-SA"/>
                    </w:rPr>
                  </w:pPr>
                  <w:r>
                    <w:rPr>
                      <w:rFonts w:hint="eastAsia" w:ascii="宋体" w:hAnsi="宋体" w:eastAsia="宋体" w:cs="宋体"/>
                      <w:color w:val="000000"/>
                      <w:kern w:val="0"/>
                      <w:sz w:val="18"/>
                      <w:szCs w:val="18"/>
                      <w:highlight w:val="none"/>
                      <w:lang w:val="en-US" w:eastAsia="zh-CN" w:bidi="ar"/>
                    </w:rPr>
                    <w:t xml:space="preserve">实际发生次数 </w:t>
                  </w:r>
                </w:p>
              </w:tc>
              <w:tc>
                <w:tcPr>
                  <w:tcW w:w="1542" w:type="dxa"/>
                  <w:shd w:val="clear" w:color="auto" w:fill="auto"/>
                  <w:vAlign w:val="top"/>
                </w:tcPr>
                <w:p>
                  <w:pP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质检部</w:t>
                  </w:r>
                </w:p>
              </w:tc>
              <w:tc>
                <w:tcPr>
                  <w:tcW w:w="2337" w:type="dxa"/>
                  <w:shd w:val="clear" w:color="auto" w:fill="auto"/>
                  <w:vAlign w:val="top"/>
                </w:tcPr>
                <w:p>
                  <w:pPr>
                    <w:keepNext w:val="0"/>
                    <w:keepLines w:val="0"/>
                    <w:widowControl/>
                    <w:suppressLineNumbers w:val="0"/>
                    <w:jc w:val="left"/>
                    <w:rPr>
                      <w:rFonts w:hint="default" w:ascii="Times New Roman" w:hAnsi="Times New Roman" w:eastAsia="宋体" w:cs="Times New Roman"/>
                      <w:color w:val="000000"/>
                      <w:kern w:val="2"/>
                      <w:sz w:val="21"/>
                      <w:szCs w:val="18"/>
                      <w:highlight w:val="none"/>
                      <w:lang w:val="en-GB" w:eastAsia="zh-CN" w:bidi="ar-SA"/>
                    </w:rPr>
                  </w:pPr>
                  <w:r>
                    <w:rPr>
                      <w:rFonts w:hint="eastAsia" w:ascii="宋体" w:hAnsi="宋体" w:eastAsia="宋体" w:cs="宋体"/>
                      <w:color w:val="000000"/>
                      <w:kern w:val="0"/>
                      <w:sz w:val="18"/>
                      <w:szCs w:val="18"/>
                      <w:highlight w:val="none"/>
                      <w:lang w:val="en-US" w:eastAsia="zh-CN" w:bidi="ar"/>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widowControl/>
                    <w:suppressLineNumbers w:val="0"/>
                    <w:jc w:val="left"/>
                    <w:rPr>
                      <w:rFonts w:hint="eastAsia" w:ascii="Times New Roman" w:hAnsi="Times New Roman" w:eastAsia="宋体" w:cs="Times New Roman"/>
                      <w:color w:val="000000"/>
                      <w:kern w:val="2"/>
                      <w:sz w:val="21"/>
                      <w:szCs w:val="18"/>
                      <w:highlight w:val="cyan"/>
                      <w:lang w:val="en-US" w:eastAsia="zh-CN" w:bidi="ar-SA"/>
                    </w:rPr>
                  </w:pPr>
                  <w:r>
                    <w:rPr>
                      <w:rFonts w:hint="eastAsia" w:ascii="宋体" w:hAnsi="宋体" w:eastAsia="宋体" w:cs="宋体"/>
                      <w:color w:val="000000"/>
                      <w:kern w:val="0"/>
                      <w:sz w:val="21"/>
                      <w:szCs w:val="21"/>
                      <w:lang w:val="en-US" w:eastAsia="zh-CN" w:bidi="ar"/>
                    </w:rPr>
                    <w:t xml:space="preserve">产品及时交付率达到 </w:t>
                  </w:r>
                  <w:r>
                    <w:rPr>
                      <w:rFonts w:hint="default" w:ascii="Times New Roman" w:hAnsi="Times New Roman" w:eastAsia="宋体" w:cs="Times New Roman"/>
                      <w:color w:val="000000"/>
                      <w:kern w:val="0"/>
                      <w:sz w:val="21"/>
                      <w:szCs w:val="21"/>
                      <w:lang w:val="en-US" w:eastAsia="zh-CN" w:bidi="ar"/>
                    </w:rPr>
                    <w:t>100%</w:t>
                  </w:r>
                  <w:r>
                    <w:rPr>
                      <w:rFonts w:hint="eastAsia" w:ascii="宋体" w:hAnsi="宋体" w:eastAsia="宋体" w:cs="宋体"/>
                      <w:color w:val="000000"/>
                      <w:kern w:val="0"/>
                      <w:sz w:val="21"/>
                      <w:szCs w:val="21"/>
                      <w:lang w:val="en-US" w:eastAsia="zh-CN" w:bidi="ar"/>
                    </w:rPr>
                    <w:t xml:space="preserve">； </w:t>
                  </w:r>
                </w:p>
              </w:tc>
              <w:tc>
                <w:tcPr>
                  <w:tcW w:w="2700"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顾客满意度调查统计</w:t>
                  </w:r>
                </w:p>
              </w:tc>
              <w:tc>
                <w:tcPr>
                  <w:tcW w:w="1542" w:type="dxa"/>
                  <w:shd w:val="clear" w:color="auto" w:fill="auto"/>
                  <w:vAlign w:val="top"/>
                </w:tcPr>
                <w:p>
                  <w:pP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生技</w:t>
                  </w:r>
                  <w:r>
                    <w:rPr>
                      <w:rFonts w:hint="default" w:ascii="Times New Roman" w:hAnsi="Times New Roman" w:eastAsia="宋体" w:cs="Times New Roman"/>
                      <w:color w:val="auto"/>
                      <w:kern w:val="2"/>
                      <w:sz w:val="21"/>
                      <w:szCs w:val="21"/>
                      <w:lang w:val="en-US" w:eastAsia="zh-CN" w:bidi="ar-SA"/>
                    </w:rPr>
                    <w:t>部</w:t>
                  </w:r>
                </w:p>
              </w:tc>
              <w:tc>
                <w:tcPr>
                  <w:tcW w:w="2337" w:type="dxa"/>
                  <w:shd w:val="clear" w:color="auto" w:fill="auto"/>
                  <w:vAlign w:val="top"/>
                </w:tcPr>
                <w:p>
                  <w:pPr>
                    <w:keepNext w:val="0"/>
                    <w:keepLines w:val="0"/>
                    <w:widowControl/>
                    <w:suppressLineNumbers w:val="0"/>
                    <w:jc w:val="left"/>
                    <w:rPr>
                      <w:rFonts w:hint="default" w:ascii="Times New Roman" w:hAnsi="Times New Roman" w:eastAsia="宋体" w:cs="Times New Roman"/>
                      <w:color w:val="000000"/>
                      <w:kern w:val="2"/>
                      <w:sz w:val="21"/>
                      <w:szCs w:val="18"/>
                      <w:highlight w:val="none"/>
                      <w:lang w:val="en-US" w:eastAsia="zh-CN" w:bidi="ar-SA"/>
                    </w:rPr>
                  </w:pPr>
                  <w:r>
                    <w:rPr>
                      <w:rFonts w:hint="eastAsia" w:ascii="宋体" w:hAnsi="宋体" w:cs="宋体"/>
                      <w:color w:val="000000"/>
                      <w:kern w:val="0"/>
                      <w:sz w:val="18"/>
                      <w:szCs w:val="18"/>
                      <w:highlight w:val="none"/>
                      <w:lang w:val="en-US" w:eastAsia="zh-CN" w:bidi="ar"/>
                    </w:rPr>
                    <w:t>2022.09至2022.11，</w:t>
                  </w:r>
                  <w:r>
                    <w:rPr>
                      <w:rFonts w:hint="eastAsia" w:ascii="宋体" w:hAnsi="宋体" w:eastAsia="宋体" w:cs="宋体"/>
                      <w:color w:val="000000"/>
                      <w:kern w:val="0"/>
                      <w:sz w:val="18"/>
                      <w:szCs w:val="18"/>
                      <w:highlight w:val="none"/>
                      <w:lang w:val="en-US" w:eastAsia="zh-CN" w:bidi="ar"/>
                    </w:rPr>
                    <w:t xml:space="preserve">100% </w:t>
                  </w:r>
                  <w:r>
                    <w:rPr>
                      <w:rFonts w:hint="eastAsia" w:ascii="宋体" w:hAnsi="宋体" w:cs="宋体"/>
                      <w:color w:val="000000"/>
                      <w:kern w:val="0"/>
                      <w:sz w:val="18"/>
                      <w:szCs w:val="18"/>
                      <w:highlight w:val="none"/>
                      <w:lang w:val="en-US" w:eastAsia="zh-CN" w:bidi="ar"/>
                    </w:rPr>
                    <w:t>；2022.12-2023.01在实施中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widowControl/>
                    <w:suppressLineNumbers w:val="0"/>
                    <w:jc w:val="left"/>
                    <w:rPr>
                      <w:rFonts w:hint="eastAsia" w:ascii="Times New Roman" w:hAnsi="Times New Roman" w:eastAsia="宋体" w:cs="Times New Roman"/>
                      <w:color w:val="000000"/>
                      <w:kern w:val="2"/>
                      <w:sz w:val="21"/>
                      <w:szCs w:val="18"/>
                      <w:highlight w:val="cyan"/>
                      <w:lang w:val="en-US" w:eastAsia="zh-CN" w:bidi="ar-SA"/>
                    </w:rPr>
                  </w:pPr>
                  <w:r>
                    <w:rPr>
                      <w:rFonts w:hint="eastAsia" w:ascii="宋体" w:hAnsi="宋体" w:eastAsia="宋体" w:cs="宋体"/>
                      <w:color w:val="000000"/>
                      <w:kern w:val="0"/>
                      <w:sz w:val="21"/>
                      <w:szCs w:val="21"/>
                      <w:lang w:val="en-US" w:eastAsia="zh-CN" w:bidi="ar"/>
                    </w:rPr>
                    <w:t xml:space="preserve">每月顾客有效投诉不多于 </w:t>
                  </w:r>
                  <w:r>
                    <w:rPr>
                      <w:rFonts w:hint="default" w:ascii="Times New Roman" w:hAnsi="Times New Roman" w:eastAsia="宋体" w:cs="Times New Roman"/>
                      <w:color w:val="000000"/>
                      <w:kern w:val="0"/>
                      <w:sz w:val="21"/>
                      <w:szCs w:val="21"/>
                      <w:lang w:val="en-US" w:eastAsia="zh-CN" w:bidi="ar"/>
                    </w:rPr>
                    <w:t xml:space="preserve">1 </w:t>
                  </w:r>
                  <w:r>
                    <w:rPr>
                      <w:rFonts w:hint="eastAsia" w:ascii="宋体" w:hAnsi="宋体" w:eastAsia="宋体" w:cs="宋体"/>
                      <w:color w:val="000000"/>
                      <w:kern w:val="0"/>
                      <w:sz w:val="21"/>
                      <w:szCs w:val="21"/>
                      <w:lang w:val="en-US" w:eastAsia="zh-CN" w:bidi="ar"/>
                    </w:rPr>
                    <w:t xml:space="preserve">例； </w:t>
                  </w:r>
                </w:p>
              </w:tc>
              <w:tc>
                <w:tcPr>
                  <w:tcW w:w="2700" w:type="dxa"/>
                  <w:shd w:val="clear" w:color="auto" w:fill="auto"/>
                  <w:vAlign w:val="top"/>
                </w:tcPr>
                <w:p>
                  <w:pPr>
                    <w:widowControl/>
                    <w:spacing w:before="40"/>
                    <w:jc w:val="left"/>
                    <w:rPr>
                      <w:rFonts w:hint="eastAsia"/>
                      <w:color w:val="000000"/>
                      <w:szCs w:val="18"/>
                      <w:highlight w:val="none"/>
                    </w:rPr>
                  </w:pPr>
                  <w:r>
                    <w:rPr>
                      <w:rFonts w:hint="eastAsia"/>
                      <w:color w:val="000000"/>
                      <w:szCs w:val="18"/>
                      <w:highlight w:val="none"/>
                    </w:rPr>
                    <w:t>产品交付数/需交付产品总数×</w:t>
                  </w:r>
                </w:p>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100%</w:t>
                  </w:r>
                </w:p>
              </w:tc>
              <w:tc>
                <w:tcPr>
                  <w:tcW w:w="1542" w:type="dxa"/>
                  <w:shd w:val="clear" w:color="auto" w:fill="auto"/>
                  <w:vAlign w:val="top"/>
                </w:tcPr>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供销部 </w:t>
                  </w:r>
                </w:p>
                <w:p>
                  <w:pPr>
                    <w:rPr>
                      <w:rFonts w:hint="default" w:ascii="Times New Roman" w:hAnsi="Times New Roman" w:eastAsia="宋体" w:cs="Times New Roman"/>
                      <w:color w:val="auto"/>
                      <w:kern w:val="2"/>
                      <w:sz w:val="21"/>
                      <w:szCs w:val="21"/>
                      <w:lang w:val="en-US" w:eastAsia="zh-CN" w:bidi="ar-SA"/>
                    </w:rPr>
                  </w:pPr>
                </w:p>
              </w:tc>
              <w:tc>
                <w:tcPr>
                  <w:tcW w:w="2337"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widowControl/>
                    <w:suppressLineNumbers w:val="0"/>
                    <w:jc w:val="left"/>
                    <w:rPr>
                      <w:rFonts w:hint="eastAsia" w:ascii="Times New Roman" w:hAnsi="Times New Roman" w:eastAsia="宋体" w:cs="Times New Roman"/>
                      <w:color w:val="000000"/>
                      <w:kern w:val="2"/>
                      <w:sz w:val="21"/>
                      <w:szCs w:val="18"/>
                      <w:highlight w:val="cyan"/>
                      <w:lang w:val="en-US" w:eastAsia="zh-CN" w:bidi="ar-SA"/>
                    </w:rPr>
                  </w:pPr>
                  <w:r>
                    <w:rPr>
                      <w:rFonts w:hint="eastAsia" w:ascii="宋体" w:hAnsi="宋体" w:eastAsia="宋体" w:cs="宋体"/>
                      <w:color w:val="000000"/>
                      <w:kern w:val="0"/>
                      <w:sz w:val="21"/>
                      <w:szCs w:val="21"/>
                      <w:lang w:val="en-US" w:eastAsia="zh-CN" w:bidi="ar"/>
                    </w:rPr>
                    <w:t xml:space="preserve">顾客满意度达到 </w:t>
                  </w:r>
                  <w:r>
                    <w:rPr>
                      <w:rFonts w:hint="default" w:ascii="Times New Roman" w:hAnsi="Times New Roman" w:eastAsia="宋体" w:cs="Times New Roman"/>
                      <w:color w:val="000000"/>
                      <w:kern w:val="0"/>
                      <w:sz w:val="21"/>
                      <w:szCs w:val="21"/>
                      <w:lang w:val="en-US" w:eastAsia="zh-CN" w:bidi="ar"/>
                    </w:rPr>
                    <w:t xml:space="preserve">85 </w:t>
                  </w:r>
                  <w:r>
                    <w:rPr>
                      <w:rFonts w:hint="eastAsia" w:ascii="宋体" w:hAnsi="宋体" w:eastAsia="宋体" w:cs="宋体"/>
                      <w:color w:val="000000"/>
                      <w:kern w:val="0"/>
                      <w:sz w:val="21"/>
                      <w:szCs w:val="21"/>
                      <w:lang w:val="en-US" w:eastAsia="zh-CN" w:bidi="ar"/>
                    </w:rPr>
                    <w:t xml:space="preserve">分以上。 </w:t>
                  </w:r>
                </w:p>
              </w:tc>
              <w:tc>
                <w:tcPr>
                  <w:tcW w:w="2700" w:type="dxa"/>
                  <w:shd w:val="clear" w:color="auto" w:fill="auto"/>
                  <w:vAlign w:val="top"/>
                </w:tcPr>
                <w:p>
                  <w:pPr>
                    <w:widowControl/>
                    <w:spacing w:before="40"/>
                    <w:jc w:val="left"/>
                    <w:rPr>
                      <w:rFonts w:hint="eastAsia"/>
                      <w:color w:val="000000"/>
                      <w:szCs w:val="18"/>
                      <w:highlight w:val="none"/>
                    </w:rPr>
                  </w:pPr>
                  <w:r>
                    <w:rPr>
                      <w:rFonts w:hint="eastAsia"/>
                      <w:color w:val="000000"/>
                      <w:szCs w:val="18"/>
                      <w:highlight w:val="none"/>
                    </w:rPr>
                    <w:t>产品批检合格数/产品需检总数</w:t>
                  </w:r>
                </w:p>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×100%</w:t>
                  </w:r>
                </w:p>
              </w:tc>
              <w:tc>
                <w:tcPr>
                  <w:tcW w:w="1542" w:type="dxa"/>
                  <w:shd w:val="clear" w:color="auto" w:fill="auto"/>
                  <w:vAlign w:val="top"/>
                </w:tcPr>
                <w:p>
                  <w:pP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供销部</w:t>
                  </w:r>
                </w:p>
              </w:tc>
              <w:tc>
                <w:tcPr>
                  <w:tcW w:w="2337"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宋体" w:hAnsi="宋体" w:cs="宋体"/>
                      <w:color w:val="000000"/>
                      <w:kern w:val="0"/>
                      <w:sz w:val="18"/>
                      <w:szCs w:val="18"/>
                      <w:highlight w:val="none"/>
                      <w:lang w:val="en-US" w:eastAsia="zh-CN" w:bidi="ar"/>
                    </w:rPr>
                    <w:t>2022.09至2022.11，90 分</w:t>
                  </w:r>
                  <w:r>
                    <w:rPr>
                      <w:rFonts w:hint="eastAsia" w:ascii="宋体" w:hAnsi="宋体" w:eastAsia="宋体" w:cs="宋体"/>
                      <w:color w:val="000000"/>
                      <w:kern w:val="0"/>
                      <w:sz w:val="18"/>
                      <w:szCs w:val="18"/>
                      <w:highlight w:val="none"/>
                      <w:lang w:val="en-US" w:eastAsia="zh-CN" w:bidi="ar"/>
                    </w:rPr>
                    <w:t xml:space="preserve"> </w:t>
                  </w:r>
                  <w:r>
                    <w:rPr>
                      <w:rFonts w:hint="eastAsia" w:ascii="宋体" w:hAnsi="宋体" w:cs="宋体"/>
                      <w:color w:val="000000"/>
                      <w:kern w:val="0"/>
                      <w:sz w:val="18"/>
                      <w:szCs w:val="18"/>
                      <w:highlight w:val="none"/>
                      <w:lang w:val="en-US" w:eastAsia="zh-CN" w:bidi="ar"/>
                    </w:rPr>
                    <w:t>；2022.12-2023.01在实施中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18"/>
                      <w:highlight w:val="cyan"/>
                      <w:lang w:val="en-US" w:eastAsia="zh-CN" w:bidi="ar-SA"/>
                    </w:rPr>
                  </w:pPr>
                  <w:r>
                    <w:rPr>
                      <w:rFonts w:hint="eastAsia" w:ascii="宋体" w:hAnsi="宋体" w:eastAsia="宋体" w:cs="宋体"/>
                      <w:color w:val="000000"/>
                      <w:kern w:val="0"/>
                      <w:sz w:val="21"/>
                      <w:szCs w:val="21"/>
                      <w:lang w:val="en-US" w:eastAsia="zh-CN" w:bidi="ar"/>
                    </w:rPr>
                    <w:t>食品安全事故为 0。</w:t>
                  </w:r>
                </w:p>
              </w:tc>
              <w:tc>
                <w:tcPr>
                  <w:tcW w:w="2700"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宋体" w:hAnsi="宋体" w:eastAsia="宋体" w:cs="宋体"/>
                      <w:color w:val="000000"/>
                      <w:kern w:val="0"/>
                      <w:sz w:val="18"/>
                      <w:szCs w:val="18"/>
                      <w:highlight w:val="none"/>
                      <w:lang w:val="en-US" w:eastAsia="zh-CN" w:bidi="ar"/>
                    </w:rPr>
                    <w:t>实际发生次数</w:t>
                  </w:r>
                </w:p>
              </w:tc>
              <w:tc>
                <w:tcPr>
                  <w:tcW w:w="1542" w:type="dxa"/>
                  <w:vAlign w:val="top"/>
                </w:tcPr>
                <w:p>
                  <w:pPr>
                    <w:keepNext w:val="0"/>
                    <w:keepLines w:val="0"/>
                    <w:widowControl/>
                    <w:suppressLineNumbers w:val="0"/>
                    <w:jc w:val="left"/>
                    <w:rPr>
                      <w:rFonts w:hint="default" w:ascii="Times New Roman" w:hAnsi="Times New Roman" w:eastAsia="宋体" w:cs="Times New Roman"/>
                      <w:color w:val="auto"/>
                      <w:kern w:val="2"/>
                      <w:sz w:val="21"/>
                      <w:szCs w:val="21"/>
                      <w:lang w:val="en-US" w:eastAsia="zh-CN" w:bidi="ar-SA"/>
                    </w:rPr>
                  </w:pPr>
                  <w:r>
                    <w:rPr>
                      <w:rFonts w:hint="eastAsia" w:ascii="宋体" w:hAnsi="宋体" w:eastAsia="宋体" w:cs="宋体"/>
                      <w:color w:val="000000"/>
                      <w:kern w:val="0"/>
                      <w:sz w:val="21"/>
                      <w:szCs w:val="21"/>
                      <w:lang w:val="en-US" w:eastAsia="zh-CN" w:bidi="ar"/>
                    </w:rPr>
                    <w:t>各部门</w:t>
                  </w:r>
                </w:p>
              </w:tc>
              <w:tc>
                <w:tcPr>
                  <w:tcW w:w="2337"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宋体" w:hAnsi="宋体" w:eastAsia="宋体" w:cs="宋体"/>
                      <w:color w:val="000000"/>
                      <w:kern w:val="2"/>
                      <w:sz w:val="21"/>
                      <w:szCs w:val="21"/>
                      <w:highlight w:val="cyan"/>
                      <w:lang w:val="en-US" w:eastAsia="zh-CN" w:bidi="ar-SA"/>
                    </w:rPr>
                  </w:pPr>
                </w:p>
              </w:tc>
              <w:tc>
                <w:tcPr>
                  <w:tcW w:w="2700" w:type="dxa"/>
                  <w:vAlign w:val="top"/>
                </w:tcPr>
                <w:p>
                  <w:pPr>
                    <w:rPr>
                      <w:rFonts w:hint="eastAsia" w:ascii="Times New Roman" w:hAnsi="Times New Roman" w:eastAsia="宋体" w:cs="Times New Roman"/>
                      <w:color w:val="auto"/>
                      <w:kern w:val="2"/>
                      <w:sz w:val="21"/>
                      <w:lang w:val="en-US" w:eastAsia="zh-CN" w:bidi="ar-SA"/>
                    </w:rPr>
                  </w:pPr>
                </w:p>
              </w:tc>
              <w:tc>
                <w:tcPr>
                  <w:tcW w:w="1542" w:type="dxa"/>
                  <w:vAlign w:val="top"/>
                </w:tcPr>
                <w:p>
                  <w:pPr>
                    <w:rPr>
                      <w:rFonts w:hint="default" w:ascii="Times New Roman" w:hAnsi="Times New Roman" w:eastAsia="宋体" w:cs="Times New Roman"/>
                      <w:color w:val="auto"/>
                      <w:kern w:val="2"/>
                      <w:sz w:val="21"/>
                      <w:lang w:val="en-US" w:eastAsia="zh-CN" w:bidi="ar-SA"/>
                    </w:rPr>
                  </w:pPr>
                </w:p>
              </w:tc>
              <w:tc>
                <w:tcPr>
                  <w:tcW w:w="2337" w:type="dxa"/>
                  <w:vAlign w:val="top"/>
                </w:tcPr>
                <w:p>
                  <w:pPr>
                    <w:widowControl/>
                    <w:spacing w:before="40"/>
                    <w:jc w:val="center"/>
                    <w:rPr>
                      <w:rFonts w:hint="eastAsia" w:ascii="宋体" w:hAnsi="宋体" w:eastAsia="宋体" w:cs="宋体"/>
                      <w:color w:val="000000"/>
                      <w:kern w:val="2"/>
                      <w:sz w:val="21"/>
                      <w:szCs w:val="18"/>
                      <w:highlight w:val="cyan"/>
                      <w:lang w:val="en-US" w:eastAsia="zh-CN" w:bidi="ar-SA"/>
                    </w:rPr>
                  </w:pPr>
                </w:p>
              </w:tc>
            </w:tr>
          </w:tbl>
          <w:p>
            <w:pPr>
              <w:rPr>
                <w:rFonts w:hint="default"/>
                <w:lang w:val="en-U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r>
              <w:rPr>
                <w:rFonts w:hint="eastAsia"/>
                <w:vertAlign w:val="baseline"/>
                <w:lang w:val="en-US" w:eastAsia="zh-CN"/>
              </w:rPr>
              <w:t>，2023年2月目标在实施中</w:t>
            </w:r>
          </w:p>
          <w:p>
            <w:r>
              <w:rPr>
                <w:rFonts w:hint="eastAsia"/>
              </w:rPr>
              <w:sym w:font="Wingdings" w:char="00A8"/>
            </w:r>
            <w:r>
              <w:rPr>
                <w:rFonts w:hint="eastAsia"/>
              </w:rPr>
              <w:t>目标没有实现的，组织在内部及时进行原因分析并采取了改进措施。</w:t>
            </w:r>
          </w:p>
        </w:tc>
        <w:tc>
          <w:tcPr>
            <w:tcW w:w="1589" w:type="dxa"/>
            <w:gridSpan w:val="3"/>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pPr>
              <w:rPr>
                <w:color w:val="000000"/>
                <w:szCs w:val="21"/>
              </w:rPr>
            </w:pPr>
            <w:r>
              <w:rPr>
                <w:rFonts w:hint="eastAsia"/>
                <w:color w:val="000000"/>
                <w:szCs w:val="21"/>
              </w:rPr>
              <w:t>变更的策划</w:t>
            </w:r>
          </w:p>
          <w:p/>
        </w:tc>
        <w:tc>
          <w:tcPr>
            <w:tcW w:w="960" w:type="dxa"/>
            <w:vMerge w:val="restart"/>
            <w:shd w:val="clear" w:color="auto" w:fill="auto"/>
          </w:tcPr>
          <w:p>
            <w:pPr>
              <w:rPr>
                <w:color w:val="000000"/>
                <w:szCs w:val="21"/>
              </w:rPr>
            </w:pPr>
            <w:r>
              <w:rPr>
                <w:rFonts w:hint="eastAsia"/>
                <w:color w:val="000000"/>
                <w:szCs w:val="21"/>
              </w:rPr>
              <w:t>Q6.3</w:t>
            </w:r>
          </w:p>
          <w:p>
            <w:r>
              <w:rPr>
                <w:rFonts w:hint="eastAsia"/>
                <w:color w:val="000000"/>
                <w:szCs w:val="21"/>
              </w:rPr>
              <w:t>F6.3</w:t>
            </w:r>
          </w:p>
        </w:tc>
        <w:tc>
          <w:tcPr>
            <w:tcW w:w="745" w:type="dxa"/>
            <w:shd w:val="clear" w:color="auto" w:fill="auto"/>
          </w:tcPr>
          <w:p>
            <w:r>
              <w:rPr>
                <w:rFonts w:hint="eastAsia"/>
              </w:rPr>
              <w:t>文件名称</w:t>
            </w:r>
          </w:p>
        </w:tc>
        <w:tc>
          <w:tcPr>
            <w:tcW w:w="9256" w:type="dxa"/>
            <w:shd w:val="clear" w:color="auto" w:fill="auto"/>
          </w:tcPr>
          <w:p>
            <w:pPr>
              <w:rPr>
                <w:rFonts w:hint="default"/>
                <w:lang w:val="en-US"/>
              </w:rP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lang w:eastAsia="zh-CN"/>
              </w:rPr>
              <w:t>《</w:t>
            </w:r>
            <w:r>
              <w:rPr>
                <w:rFonts w:hint="eastAsia" w:ascii="宋体" w:hAnsi="宋体"/>
                <w:lang w:val="en-US" w:eastAsia="zh-CN"/>
              </w:rPr>
              <w:t>质量与食品安全管理</w:t>
            </w:r>
            <w:r>
              <w:rPr>
                <w:rFonts w:hint="eastAsia"/>
              </w:rPr>
              <w:t>手册</w:t>
            </w:r>
            <w:r>
              <w:rPr>
                <w:rFonts w:hint="eastAsia" w:ascii="宋体" w:hAnsi="宋体"/>
                <w:lang w:eastAsia="zh-CN"/>
              </w:rPr>
              <w:t>》</w:t>
            </w:r>
            <w:r>
              <w:rPr>
                <w:rFonts w:hint="eastAsia"/>
              </w:rPr>
              <w:t>第</w:t>
            </w:r>
            <w:r>
              <w:rPr>
                <w:rFonts w:hint="eastAsia"/>
                <w:lang w:val="en-US" w:eastAsia="zh-CN"/>
              </w:rPr>
              <w:t>6.3条款</w:t>
            </w:r>
          </w:p>
        </w:tc>
        <w:tc>
          <w:tcPr>
            <w:tcW w:w="1589" w:type="dxa"/>
            <w:gridSpan w:val="3"/>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gridSpan w:val="2"/>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□关键人员 □生产工艺/服务流程 </w:t>
            </w:r>
          </w:p>
          <w:p>
            <w:pPr>
              <w:spacing w:before="40" w:after="40"/>
              <w:rPr>
                <w:rFonts w:hint="eastAsia" w:eastAsia="宋体"/>
                <w:color w:val="0000FF"/>
                <w:lang w:val="en-US" w:eastAsia="zh-CN"/>
              </w:rPr>
            </w:pPr>
            <w:r>
              <w:rPr>
                <w:rFonts w:hint="eastAsia"/>
              </w:rPr>
              <w:t xml:space="preserve">□主要设备设施 □主要检测设备 </w:t>
            </w:r>
            <w:r>
              <w:rPr/>
              <w:sym w:font="Wingdings" w:char="00FE"/>
            </w:r>
            <w:r>
              <w:rPr>
                <w:rFonts w:hint="eastAsia"/>
              </w:rPr>
              <w:t>其他</w:t>
            </w:r>
            <w:r>
              <w:rPr>
                <w:rFonts w:hint="eastAsia"/>
                <w:color w:val="0000FF"/>
              </w:rPr>
              <w:t>——</w:t>
            </w:r>
            <w:r>
              <w:rPr>
                <w:rFonts w:hint="eastAsia"/>
                <w:color w:val="0000FF"/>
                <w:lang w:val="en-US" w:eastAsia="zh-CN"/>
              </w:rPr>
              <w:t>审核周期内</w:t>
            </w:r>
            <w:r>
              <w:rPr>
                <w:rFonts w:hint="eastAsia"/>
                <w:color w:val="0000FF"/>
              </w:rPr>
              <w:t>未发生</w:t>
            </w:r>
            <w:r>
              <w:rPr>
                <w:rFonts w:hint="eastAsia"/>
                <w:color w:val="0000FF"/>
                <w:lang w:val="en-US" w:eastAsia="zh-CN"/>
              </w:rPr>
              <w:t>变更</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396" w:type="dxa"/>
                </w:tcPr>
                <w:p>
                  <w:r>
                    <w:rPr>
                      <w:rFonts w:hint="eastAsia"/>
                    </w:rPr>
                    <w:t>体系变更的内容说明</w:t>
                  </w:r>
                </w:p>
              </w:tc>
              <w:tc>
                <w:tcPr>
                  <w:tcW w:w="3632"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变更目的</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其潜在后果</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质量管理体系的完整性</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资源的可获得性</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tc>
        <w:tc>
          <w:tcPr>
            <w:tcW w:w="1589" w:type="dxa"/>
            <w:gridSpan w:val="3"/>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pPr>
              <w:rPr>
                <w:highlight w:val="none"/>
              </w:rPr>
            </w:pPr>
            <w:r>
              <w:rPr>
                <w:rFonts w:hint="eastAsia"/>
                <w:highlight w:val="none"/>
              </w:rPr>
              <w:t>资源（总则）</w:t>
            </w:r>
          </w:p>
        </w:tc>
        <w:tc>
          <w:tcPr>
            <w:tcW w:w="960" w:type="dxa"/>
            <w:vMerge w:val="restart"/>
            <w:shd w:val="clear" w:color="auto" w:fill="auto"/>
          </w:tcPr>
          <w:p>
            <w:pPr>
              <w:rPr>
                <w:color w:val="000000"/>
                <w:szCs w:val="21"/>
                <w:highlight w:val="none"/>
              </w:rPr>
            </w:pPr>
            <w:r>
              <w:rPr>
                <w:rFonts w:hint="eastAsia"/>
                <w:color w:val="000000"/>
                <w:szCs w:val="21"/>
                <w:highlight w:val="none"/>
              </w:rPr>
              <w:t>Q7.1</w:t>
            </w:r>
            <w:r>
              <w:rPr>
                <w:rFonts w:hint="eastAsia"/>
                <w:color w:val="000000"/>
                <w:szCs w:val="21"/>
                <w:highlight w:val="none"/>
                <w:lang w:val="en-US" w:eastAsia="zh-CN"/>
              </w:rPr>
              <w:t>.1</w:t>
            </w:r>
          </w:p>
          <w:p>
            <w:pPr>
              <w:rPr>
                <w:rFonts w:hint="eastAsia"/>
                <w:highlight w:val="none"/>
              </w:rPr>
            </w:pPr>
            <w:r>
              <w:rPr>
                <w:rFonts w:hint="eastAsia"/>
                <w:highlight w:val="none"/>
              </w:rPr>
              <w:t>F7.1</w:t>
            </w:r>
            <w:r>
              <w:rPr>
                <w:rFonts w:hint="eastAsia"/>
                <w:highlight w:val="none"/>
                <w:lang w:val="en-US" w:eastAsia="zh-CN"/>
              </w:rPr>
              <w:t>.1</w:t>
            </w:r>
          </w:p>
          <w:p>
            <w:pPr>
              <w:pStyle w:val="8"/>
              <w:rPr>
                <w:highlight w:val="none"/>
              </w:rPr>
            </w:pPr>
          </w:p>
        </w:tc>
        <w:tc>
          <w:tcPr>
            <w:tcW w:w="745" w:type="dxa"/>
            <w:shd w:val="clear" w:color="auto" w:fill="auto"/>
          </w:tcPr>
          <w:p>
            <w:pPr>
              <w:rPr>
                <w:highlight w:val="none"/>
              </w:rPr>
            </w:pPr>
            <w:r>
              <w:rPr>
                <w:rFonts w:hint="eastAsia"/>
                <w:highlight w:val="none"/>
              </w:rPr>
              <w:t>文件名称</w:t>
            </w:r>
          </w:p>
        </w:tc>
        <w:tc>
          <w:tcPr>
            <w:tcW w:w="9256" w:type="dxa"/>
            <w:shd w:val="clear" w:color="auto" w:fill="auto"/>
          </w:tcPr>
          <w:p>
            <w:pPr>
              <w:rPr>
                <w:rFonts w:hint="default"/>
                <w:highlight w:val="none"/>
                <w:lang w:val="en-US"/>
              </w:rPr>
            </w:pPr>
            <w:r>
              <w:rPr>
                <w:rFonts w:hint="eastAsia"/>
                <w:highlight w:val="none"/>
              </w:rPr>
              <w:t>如：</w:t>
            </w:r>
            <w:r>
              <w:rPr/>
              <w:sym w:font="Wingdings" w:char="00FE"/>
            </w:r>
            <w:r>
              <w:rPr>
                <w:rFonts w:hint="eastAsia"/>
                <w:highlight w:val="none"/>
                <w:lang w:eastAsia="zh-CN"/>
              </w:rPr>
              <w:t>《</w:t>
            </w:r>
            <w:r>
              <w:rPr>
                <w:rFonts w:hint="eastAsia"/>
                <w:highlight w:val="none"/>
                <w:lang w:val="en-US" w:eastAsia="zh-CN"/>
              </w:rPr>
              <w:t>质量与食品安全</w:t>
            </w:r>
            <w:r>
              <w:rPr>
                <w:rFonts w:hint="eastAsia"/>
                <w:highlight w:val="none"/>
              </w:rPr>
              <w:t>管理手册</w:t>
            </w:r>
            <w:r>
              <w:rPr>
                <w:rFonts w:hint="eastAsia"/>
                <w:highlight w:val="none"/>
                <w:lang w:eastAsia="zh-CN"/>
              </w:rPr>
              <w:t>》</w:t>
            </w:r>
            <w:r>
              <w:rPr>
                <w:rFonts w:hint="eastAsia"/>
                <w:highlight w:val="none"/>
              </w:rPr>
              <w:t>第</w:t>
            </w:r>
            <w:r>
              <w:rPr>
                <w:rFonts w:hint="eastAsia"/>
                <w:highlight w:val="none"/>
                <w:lang w:val="en-US" w:eastAsia="zh-CN"/>
              </w:rPr>
              <w:t>7.1.1条款</w:t>
            </w:r>
          </w:p>
        </w:tc>
        <w:tc>
          <w:tcPr>
            <w:tcW w:w="1589" w:type="dxa"/>
            <w:gridSpan w:val="3"/>
            <w:vMerge w:val="restart"/>
            <w:shd w:val="clear" w:color="auto" w:fill="auto"/>
          </w:tcPr>
          <w:p>
            <w:r>
              <w:rPr/>
              <w:sym w:font="Wingdings" w:char="00FE"/>
            </w:r>
            <w:r>
              <w:rPr>
                <w:rFonts w:hint="eastAsia"/>
              </w:rPr>
              <w:t>符合</w:t>
            </w:r>
          </w:p>
          <w:p>
            <w:r>
              <w:rPr/>
              <w:sym w:font="Wingdings" w:char="00A8"/>
            </w:r>
            <w:r>
              <w:rPr>
                <w:rFonts w:hint="eastAsia"/>
              </w:rP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gridSpan w:val="2"/>
            <w:vMerge w:val="continue"/>
            <w:shd w:val="clear" w:color="auto" w:fill="auto"/>
          </w:tcPr>
          <w:p>
            <w:pPr>
              <w:rPr>
                <w:highlight w:val="none"/>
              </w:rPr>
            </w:pPr>
          </w:p>
        </w:tc>
        <w:tc>
          <w:tcPr>
            <w:tcW w:w="960" w:type="dxa"/>
            <w:vMerge w:val="continue"/>
            <w:shd w:val="clear" w:color="auto" w:fill="auto"/>
          </w:tcPr>
          <w:p>
            <w:pPr>
              <w:rPr>
                <w:highlight w:val="none"/>
              </w:rPr>
            </w:pPr>
          </w:p>
        </w:tc>
        <w:tc>
          <w:tcPr>
            <w:tcW w:w="745" w:type="dxa"/>
            <w:shd w:val="clear" w:color="auto" w:fill="auto"/>
          </w:tcPr>
          <w:p>
            <w:pPr>
              <w:rPr>
                <w:highlight w:val="none"/>
              </w:rPr>
            </w:pPr>
            <w:r>
              <w:rPr>
                <w:rFonts w:hint="eastAsia"/>
                <w:highlight w:val="none"/>
              </w:rPr>
              <w:t>运行证据</w:t>
            </w:r>
          </w:p>
        </w:tc>
        <w:tc>
          <w:tcPr>
            <w:tcW w:w="9256" w:type="dxa"/>
            <w:shd w:val="clear" w:color="auto" w:fill="auto"/>
          </w:tcPr>
          <w:p>
            <w:pPr>
              <w:rPr>
                <w:color w:val="000000"/>
                <w:szCs w:val="21"/>
                <w:highlight w:val="none"/>
              </w:rPr>
            </w:pPr>
            <w:r>
              <w:rPr>
                <w:rFonts w:hint="eastAsia"/>
                <w:color w:val="000000"/>
                <w:szCs w:val="21"/>
                <w:highlight w:val="none"/>
              </w:rPr>
              <w:t xml:space="preserve">和最高管理层确定并提供所需的资源，以建立、实施、保持和持续改进质量管理体系。 </w:t>
            </w:r>
          </w:p>
          <w:p>
            <w:pPr>
              <w:numPr>
                <w:ilvl w:val="0"/>
                <w:numId w:val="4"/>
              </w:numPr>
              <w:rPr>
                <w:color w:val="000000"/>
                <w:szCs w:val="21"/>
                <w:highlight w:val="none"/>
              </w:rPr>
            </w:pPr>
            <w:r>
              <w:rPr>
                <w:rFonts w:hint="eastAsia"/>
                <w:color w:val="000000"/>
                <w:szCs w:val="21"/>
                <w:highlight w:val="none"/>
              </w:rPr>
              <w:t>现有内部资源的能力；</w:t>
            </w:r>
          </w:p>
          <w:p>
            <w:pPr>
              <w:ind w:firstLine="210" w:firstLineChars="100"/>
              <w:rPr>
                <w:rFonts w:hint="default" w:eastAsia="宋体"/>
                <w:highlight w:val="none"/>
                <w:lang w:val="en-US" w:eastAsia="zh-CN"/>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2000</w:t>
            </w:r>
            <w:r>
              <w:rPr>
                <w:rFonts w:hint="eastAsia"/>
                <w:highlight w:val="none"/>
                <w:u w:val="single"/>
              </w:rPr>
              <w:t xml:space="preserve"> </w:t>
            </w:r>
            <w:r>
              <w:rPr>
                <w:rFonts w:hint="eastAsia"/>
                <w:highlight w:val="none"/>
              </w:rPr>
              <w:t>平方米；生产车间</w:t>
            </w:r>
            <w:r>
              <w:rPr>
                <w:rFonts w:hint="eastAsia"/>
                <w:highlight w:val="none"/>
                <w:u w:val="single"/>
                <w:lang w:val="en-US" w:eastAsia="zh-CN"/>
              </w:rPr>
              <w:t xml:space="preserve"> 1 </w:t>
            </w:r>
            <w:r>
              <w:rPr>
                <w:rFonts w:hint="eastAsia"/>
                <w:highlight w:val="none"/>
              </w:rPr>
              <w:t>个；</w:t>
            </w:r>
            <w:r>
              <w:rPr>
                <w:rFonts w:hint="eastAsia"/>
                <w:highlight w:val="none"/>
                <w:lang w:val="en-US" w:eastAsia="zh-CN"/>
              </w:rPr>
              <w:t>检验室</w:t>
            </w:r>
            <w:r>
              <w:rPr>
                <w:rFonts w:hint="eastAsia"/>
                <w:highlight w:val="none"/>
                <w:u w:val="single"/>
                <w:lang w:val="en-US" w:eastAsia="zh-CN"/>
              </w:rPr>
              <w:t xml:space="preserve"> 4 </w:t>
            </w:r>
            <w:r>
              <w:rPr>
                <w:rFonts w:hint="eastAsia"/>
                <w:highlight w:val="none"/>
              </w:rPr>
              <w:t>个；库房</w:t>
            </w:r>
            <w:r>
              <w:rPr>
                <w:rFonts w:hint="eastAsia"/>
                <w:highlight w:val="none"/>
                <w:u w:val="single"/>
              </w:rPr>
              <w:t xml:space="preserve"> </w:t>
            </w:r>
            <w:r>
              <w:rPr>
                <w:rFonts w:hint="eastAsia"/>
                <w:highlight w:val="none"/>
                <w:u w:val="single"/>
                <w:lang w:val="en-US" w:eastAsia="zh-CN"/>
              </w:rPr>
              <w:t>6</w:t>
            </w:r>
            <w:r>
              <w:rPr>
                <w:rFonts w:hint="eastAsia"/>
                <w:highlight w:val="none"/>
                <w:u w:val="single"/>
              </w:rPr>
              <w:t xml:space="preserve"> </w:t>
            </w:r>
            <w:r>
              <w:rPr>
                <w:rFonts w:hint="eastAsia"/>
                <w:highlight w:val="none"/>
              </w:rPr>
              <w:t>个；</w:t>
            </w:r>
            <w:r>
              <w:rPr>
                <w:rFonts w:hint="eastAsia"/>
                <w:highlight w:val="none"/>
                <w:lang w:val="en-US" w:eastAsia="zh-CN"/>
              </w:rPr>
              <w:t>冷冻库</w:t>
            </w:r>
            <w:r>
              <w:rPr>
                <w:rFonts w:hint="eastAsia"/>
                <w:highlight w:val="none"/>
                <w:u w:val="single"/>
                <w:lang w:val="en-US" w:eastAsia="zh-CN"/>
              </w:rPr>
              <w:t>1个</w:t>
            </w:r>
            <w:r>
              <w:rPr>
                <w:rFonts w:hint="eastAsia"/>
                <w:highlight w:val="none"/>
                <w:lang w:val="en-US" w:eastAsia="zh-CN"/>
              </w:rPr>
              <w:t>；车辆</w:t>
            </w:r>
            <w:r>
              <w:rPr>
                <w:rFonts w:hint="eastAsia"/>
                <w:highlight w:val="none"/>
                <w:u w:val="single"/>
                <w:lang w:val="en-US" w:eastAsia="zh-CN"/>
              </w:rPr>
              <w:t>1 辆；</w:t>
            </w:r>
          </w:p>
          <w:p>
            <w:pPr>
              <w:widowControl/>
              <w:spacing w:before="40"/>
              <w:jc w:val="left"/>
              <w:rPr>
                <w:rFonts w:hint="eastAsia"/>
                <w:highlight w:val="none"/>
                <w:u w:val="single"/>
              </w:rPr>
            </w:pPr>
            <w:r>
              <w:rPr>
                <w:rFonts w:hint="eastAsia"/>
                <w:highlight w:val="none"/>
              </w:rPr>
              <w:t>主要生产设备有：</w:t>
            </w:r>
            <w:r>
              <w:rPr>
                <w:rFonts w:hint="eastAsia"/>
                <w:highlight w:val="none"/>
                <w:u w:val="single"/>
                <w:lang w:val="en-US" w:eastAsia="zh-CN"/>
              </w:rPr>
              <w:t xml:space="preserve"> </w:t>
            </w:r>
            <w:r>
              <w:rPr>
                <w:rFonts w:hint="eastAsia"/>
                <w:color w:val="000000"/>
                <w:highlight w:val="none"/>
                <w:u w:val="single"/>
                <w:lang w:val="en-US" w:eastAsia="zh-CN"/>
              </w:rPr>
              <w:t>搅拌机、搅拌罐、手压式薄膜封口机 等</w:t>
            </w:r>
            <w:r>
              <w:rPr>
                <w:rFonts w:hint="eastAsia"/>
                <w:highlight w:val="none"/>
                <w:u w:val="single"/>
                <w:lang w:val="en-US" w:eastAsia="zh-CN"/>
              </w:rPr>
              <w:t xml:space="preserve"> </w:t>
            </w:r>
            <w:r>
              <w:rPr>
                <w:rFonts w:hint="eastAsia"/>
                <w:highlight w:val="none"/>
                <w:u w:val="single"/>
              </w:rPr>
              <w:t xml:space="preserve"> </w:t>
            </w:r>
            <w:r>
              <w:rPr>
                <w:highlight w:val="none"/>
                <w:u w:val="single"/>
              </w:rPr>
              <w:t xml:space="preserve"> </w:t>
            </w:r>
            <w:r>
              <w:rPr>
                <w:rFonts w:hint="eastAsia"/>
                <w:highlight w:val="none"/>
                <w:u w:val="single"/>
              </w:rPr>
              <w:t>（列举2~4种）</w:t>
            </w:r>
          </w:p>
          <w:p>
            <w:pPr>
              <w:pStyle w:val="2"/>
              <w:rPr>
                <w:rFonts w:hint="default"/>
                <w:lang w:val="en-US" w:eastAsia="zh-CN"/>
              </w:rPr>
            </w:pPr>
          </w:p>
          <w:p>
            <w:pPr>
              <w:widowControl/>
              <w:spacing w:before="40"/>
              <w:jc w:val="left"/>
              <w:rPr>
                <w:color w:val="000000"/>
                <w:highlight w:val="none"/>
              </w:rPr>
            </w:pPr>
            <w:r>
              <w:rPr>
                <w:rFonts w:hint="eastAsia"/>
                <w:color w:val="000000"/>
                <w:highlight w:val="none"/>
              </w:rPr>
              <w:t>动力设施和辅助设施的状况，存在下列的场所：</w:t>
            </w:r>
          </w:p>
          <w:p>
            <w:pPr>
              <w:widowControl/>
              <w:spacing w:before="40"/>
              <w:ind w:firstLine="210" w:firstLineChars="100"/>
              <w:jc w:val="left"/>
              <w:rPr>
                <w:color w:val="000000"/>
                <w:highlight w:val="none"/>
              </w:rPr>
            </w:pPr>
            <w:r>
              <w:rPr>
                <w:color w:val="000000"/>
                <w:highlight w:val="none"/>
              </w:rPr>
              <w:sym w:font="Wingdings" w:char="00A8"/>
            </w:r>
            <w:r>
              <w:rPr>
                <w:rFonts w:hint="eastAsia"/>
                <w:color w:val="000000"/>
                <w:highlight w:val="none"/>
              </w:rPr>
              <w:t xml:space="preserve">污水处理站  </w:t>
            </w:r>
            <w:r>
              <w:rPr>
                <w:color w:val="000000"/>
                <w:highlight w:val="none"/>
              </w:rPr>
              <w:sym w:font="Wingdings" w:char="00A8"/>
            </w:r>
            <w:r>
              <w:rPr>
                <w:rFonts w:hint="eastAsia"/>
                <w:color w:val="000000"/>
                <w:highlight w:val="none"/>
              </w:rPr>
              <w:t xml:space="preserve">锅炉房  </w:t>
            </w:r>
            <w:r>
              <w:rPr>
                <w:color w:val="000000"/>
                <w:highlight w:val="none"/>
              </w:rPr>
              <w:sym w:font="Wingdings" w:char="00A8"/>
            </w:r>
            <w:r>
              <w:rPr>
                <w:rFonts w:hint="eastAsia"/>
                <w:color w:val="000000"/>
                <w:highlight w:val="none"/>
              </w:rPr>
              <w:t xml:space="preserve">高压配电室  </w:t>
            </w:r>
            <w:r>
              <w:rPr>
                <w:rFonts w:hint="eastAsia"/>
                <w:highlight w:val="none"/>
              </w:rPr>
              <w:t>□</w:t>
            </w:r>
            <w:r>
              <w:rPr>
                <w:rFonts w:hint="eastAsia"/>
                <w:color w:val="000000"/>
                <w:highlight w:val="none"/>
              </w:rPr>
              <w:t xml:space="preserve">低压配电室 </w:t>
            </w:r>
            <w:r>
              <w:rPr>
                <w:color w:val="000000"/>
                <w:highlight w:val="none"/>
              </w:rPr>
              <w:sym w:font="Wingdings" w:char="00A8"/>
            </w:r>
            <w:r>
              <w:rPr>
                <w:rFonts w:hint="eastAsia"/>
                <w:color w:val="000000"/>
                <w:highlight w:val="none"/>
              </w:rPr>
              <w:t xml:space="preserve">空压站  </w:t>
            </w:r>
            <w:r>
              <w:rPr>
                <w:color w:val="000000"/>
                <w:highlight w:val="none"/>
              </w:rPr>
              <w:sym w:font="Wingdings" w:char="00A8"/>
            </w:r>
            <w:r>
              <w:rPr>
                <w:rFonts w:hint="eastAsia"/>
                <w:color w:val="000000"/>
                <w:highlight w:val="none"/>
              </w:rPr>
              <w:t xml:space="preserve">制冷站   </w:t>
            </w:r>
            <w:r>
              <w:rPr>
                <w:color w:val="000000"/>
                <w:highlight w:val="none"/>
              </w:rPr>
              <w:sym w:font="Wingdings" w:char="00A8"/>
            </w:r>
            <w:r>
              <w:rPr>
                <w:rFonts w:hint="eastAsia"/>
                <w:color w:val="000000"/>
                <w:highlight w:val="none"/>
              </w:rPr>
              <w:t>消防中控室</w:t>
            </w:r>
          </w:p>
          <w:p>
            <w:pPr>
              <w:widowControl/>
              <w:spacing w:before="40"/>
              <w:ind w:left="210" w:leftChars="100"/>
              <w:jc w:val="left"/>
              <w:rPr>
                <w:color w:val="000000"/>
                <w:highlight w:val="none"/>
              </w:rPr>
            </w:pPr>
            <w:r>
              <w:rPr>
                <w:color w:val="000000"/>
                <w:highlight w:val="none"/>
              </w:rPr>
              <w:sym w:font="Wingdings" w:char="00A8"/>
            </w:r>
            <w:r>
              <w:rPr>
                <w:rFonts w:hint="eastAsia"/>
                <w:color w:val="000000"/>
                <w:highlight w:val="none"/>
              </w:rPr>
              <w:t xml:space="preserve">消防泵房   </w:t>
            </w:r>
            <w:r>
              <w:rPr>
                <w:rFonts w:hint="eastAsia"/>
                <w:highlight w:val="none"/>
              </w:rPr>
              <w:t>□</w:t>
            </w:r>
            <w:r>
              <w:rPr>
                <w:rFonts w:hint="eastAsia"/>
                <w:color w:val="000000"/>
                <w:highlight w:val="none"/>
              </w:rPr>
              <w:t xml:space="preserve">除尘装置 </w:t>
            </w:r>
            <w:r>
              <w:rPr>
                <w:color w:val="000000"/>
                <w:highlight w:val="none"/>
              </w:rPr>
              <w:sym w:font="Wingdings" w:char="00A8"/>
            </w:r>
            <w:r>
              <w:rPr>
                <w:rFonts w:hint="eastAsia"/>
                <w:color w:val="000000"/>
                <w:highlight w:val="none"/>
              </w:rPr>
              <w:t xml:space="preserve">尾气处理  </w:t>
            </w:r>
            <w:r>
              <w:rPr>
                <w:color w:val="000000"/>
                <w:highlight w:val="none"/>
              </w:rPr>
              <w:sym w:font="Wingdings" w:char="00FE"/>
            </w:r>
            <w:r>
              <w:rPr>
                <w:rFonts w:hint="eastAsia"/>
                <w:color w:val="000000"/>
                <w:highlight w:val="none"/>
              </w:rPr>
              <w:t xml:space="preserve">危化品库房   </w:t>
            </w:r>
            <w:r>
              <w:rPr>
                <w:color w:val="000000"/>
                <w:highlight w:val="none"/>
              </w:rPr>
              <w:sym w:font="Wingdings" w:char="00FE"/>
            </w:r>
            <w:r>
              <w:rPr>
                <w:rFonts w:hint="eastAsia"/>
                <w:color w:val="000000"/>
                <w:highlight w:val="none"/>
              </w:rPr>
              <w:t xml:space="preserve">危险废弃物存放处   </w:t>
            </w:r>
            <w:r>
              <w:rPr>
                <w:color w:val="000000"/>
                <w:highlight w:val="none"/>
              </w:rPr>
              <w:sym w:font="Wingdings" w:char="00A8"/>
            </w:r>
            <w:r>
              <w:rPr>
                <w:rFonts w:hint="eastAsia"/>
                <w:color w:val="000000"/>
                <w:highlight w:val="none"/>
              </w:rPr>
              <w:t>改建/扩建施工现场</w:t>
            </w:r>
            <w:r>
              <w:rPr>
                <w:rFonts w:hint="eastAsia"/>
                <w:color w:val="000000"/>
                <w:highlight w:val="none"/>
                <w:lang w:val="en-US" w:eastAsia="zh-CN"/>
              </w:rPr>
              <w:t xml:space="preserve">  </w:t>
            </w:r>
            <w:r>
              <w:rPr>
                <w:rFonts w:hint="eastAsia"/>
                <w:highlight w:val="none"/>
              </w:rPr>
              <w:t>□</w:t>
            </w:r>
            <w:r>
              <w:rPr>
                <w:rFonts w:hint="eastAsia"/>
                <w:color w:val="000000"/>
                <w:highlight w:val="none"/>
              </w:rPr>
              <w:t xml:space="preserve">食堂  </w:t>
            </w:r>
            <w:r>
              <w:rPr>
                <w:color w:val="000000"/>
                <w:highlight w:val="none"/>
              </w:rPr>
              <w:sym w:font="Wingdings" w:char="00A8"/>
            </w:r>
            <w:r>
              <w:rPr>
                <w:rFonts w:hint="eastAsia"/>
                <w:color w:val="000000"/>
                <w:highlight w:val="none"/>
              </w:rPr>
              <w:t xml:space="preserve">宿舍  </w:t>
            </w:r>
            <w:r>
              <w:rPr>
                <w:color w:val="000000"/>
                <w:highlight w:val="none"/>
              </w:rPr>
              <w:sym w:font="Wingdings" w:char="00A8"/>
            </w:r>
            <w:r>
              <w:rPr>
                <w:rFonts w:hint="eastAsia"/>
                <w:color w:val="000000"/>
                <w:highlight w:val="none"/>
              </w:rPr>
              <w:t xml:space="preserve">班车  </w:t>
            </w:r>
            <w:r>
              <w:rPr>
                <w:color w:val="000000"/>
                <w:highlight w:val="none"/>
              </w:rPr>
              <w:sym w:font="Wingdings" w:char="00A8"/>
            </w:r>
            <w:r>
              <w:rPr>
                <w:rFonts w:hint="eastAsia"/>
                <w:color w:val="000000"/>
                <w:highlight w:val="none"/>
              </w:rPr>
              <w:t>其他</w:t>
            </w:r>
          </w:p>
          <w:p>
            <w:pPr>
              <w:rPr>
                <w:highlight w:val="none"/>
              </w:rPr>
            </w:pPr>
          </w:p>
          <w:p>
            <w:pPr>
              <w:rPr>
                <w:highlight w:val="none"/>
              </w:rPr>
            </w:pPr>
            <w:r>
              <w:rPr>
                <w:rFonts w:hint="eastAsia"/>
                <w:highlight w:val="none"/>
              </w:rPr>
              <w:t>特种设备：</w:t>
            </w:r>
            <w:r>
              <w:rPr>
                <w:rFonts w:hint="eastAsia"/>
                <w:highlight w:val="none"/>
              </w:rPr>
              <w:sym w:font="Wingdings" w:char="00A8"/>
            </w:r>
            <w:r>
              <w:rPr>
                <w:rFonts w:hint="eastAsia"/>
                <w:highlight w:val="none"/>
              </w:rPr>
              <w:t xml:space="preserve">叉车 </w:t>
            </w:r>
            <w:r>
              <w:rPr>
                <w:rFonts w:hint="eastAsia"/>
                <w:highlight w:val="none"/>
              </w:rPr>
              <w:sym w:font="Wingdings" w:char="00A8"/>
            </w:r>
            <w:r>
              <w:rPr>
                <w:rFonts w:hint="eastAsia"/>
                <w:highlight w:val="none"/>
              </w:rPr>
              <w:t xml:space="preserve">行车 </w:t>
            </w:r>
            <w:r>
              <w:rPr>
                <w:rFonts w:hint="eastAsia"/>
                <w:highlight w:val="none"/>
              </w:rPr>
              <w:sym w:font="Wingdings" w:char="00A8"/>
            </w:r>
            <w:r>
              <w:rPr>
                <w:rFonts w:hint="eastAsia"/>
                <w:highlight w:val="none"/>
              </w:rPr>
              <w:t xml:space="preserve">锅炉 </w:t>
            </w:r>
            <w:r>
              <w:rPr>
                <w:rFonts w:hint="eastAsia"/>
                <w:highlight w:val="none"/>
              </w:rPr>
              <w:sym w:font="Wingdings" w:char="00FE"/>
            </w:r>
            <w:r>
              <w:rPr>
                <w:rFonts w:hint="eastAsia"/>
                <w:highlight w:val="none"/>
              </w:rPr>
              <w:t>电梯</w:t>
            </w:r>
            <w:r>
              <w:rPr>
                <w:rFonts w:hint="eastAsia"/>
                <w:highlight w:val="none"/>
                <w:lang w:eastAsia="zh-CN"/>
              </w:rPr>
              <w:t>【</w:t>
            </w:r>
            <w:r>
              <w:rPr>
                <w:rFonts w:hint="eastAsia"/>
                <w:highlight w:val="none"/>
                <w:lang w:val="en-US" w:eastAsia="zh-CN"/>
              </w:rPr>
              <w:t>房东负责管理</w:t>
            </w:r>
            <w:r>
              <w:rPr>
                <w:rFonts w:hint="eastAsia"/>
                <w:highlight w:val="none"/>
                <w:lang w:eastAsia="zh-CN"/>
              </w:rPr>
              <w:t>】</w:t>
            </w:r>
            <w:r>
              <w:rPr>
                <w:rFonts w:hint="eastAsia"/>
                <w:highlight w:val="none"/>
              </w:rPr>
              <w:t xml:space="preserve">  </w:t>
            </w:r>
            <w:r>
              <w:rPr>
                <w:rFonts w:hint="eastAsia"/>
                <w:highlight w:val="none"/>
              </w:rPr>
              <w:sym w:font="Wingdings" w:char="00A8"/>
            </w:r>
            <w:r>
              <w:rPr>
                <w:rFonts w:hint="eastAsia"/>
                <w:highlight w:val="none"/>
              </w:rPr>
              <w:t xml:space="preserve">压力容器  </w:t>
            </w:r>
            <w:r>
              <w:rPr>
                <w:rFonts w:hint="eastAsia"/>
                <w:highlight w:val="none"/>
              </w:rPr>
              <w:sym w:font="Wingdings" w:char="00A8"/>
            </w:r>
            <w:r>
              <w:rPr>
                <w:rFonts w:hint="eastAsia"/>
                <w:highlight w:val="none"/>
              </w:rPr>
              <w:t xml:space="preserve">压力管道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不适用  </w:t>
            </w:r>
          </w:p>
          <w:p>
            <w:pPr>
              <w:rPr>
                <w:highlight w:val="none"/>
                <w:u w:val="single"/>
              </w:rPr>
            </w:pPr>
            <w:r>
              <w:rPr>
                <w:rFonts w:hint="eastAsia"/>
                <w:highlight w:val="none"/>
              </w:rPr>
              <w:t>特种设备管理：</w:t>
            </w:r>
            <w:r>
              <w:rPr>
                <w:rFonts w:hint="eastAsia"/>
                <w:highlight w:val="none"/>
              </w:rPr>
              <w:sym w:font="Wingdings" w:char="00FE"/>
            </w:r>
            <w:r>
              <w:rPr>
                <w:rFonts w:hint="eastAsia"/>
                <w:highlight w:val="none"/>
              </w:rPr>
              <w:t xml:space="preserve">进行了定期检验  </w:t>
            </w:r>
            <w:r>
              <w:rPr>
                <w:rFonts w:hint="eastAsia"/>
                <w:highlight w:val="none"/>
              </w:rPr>
              <w:sym w:font="Wingdings" w:char="00A8"/>
            </w:r>
            <w:r>
              <w:rPr>
                <w:rFonts w:hint="eastAsia"/>
                <w:highlight w:val="none"/>
              </w:rPr>
              <w:t xml:space="preserve">未进行定期检验的有：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p>
          <w:p>
            <w:pPr>
              <w:rPr>
                <w:color w:val="000000"/>
                <w:szCs w:val="21"/>
                <w:highlight w:val="none"/>
              </w:rPr>
            </w:pPr>
          </w:p>
          <w:p>
            <w:pPr>
              <w:numPr>
                <w:ilvl w:val="0"/>
                <w:numId w:val="5"/>
              </w:numPr>
              <w:rPr>
                <w:color w:val="000000"/>
                <w:szCs w:val="21"/>
                <w:highlight w:val="none"/>
                <w:u w:val="single"/>
              </w:rPr>
            </w:pPr>
            <w:r>
              <w:rPr>
                <w:rFonts w:hint="eastAsia"/>
                <w:color w:val="000000"/>
                <w:szCs w:val="21"/>
                <w:highlight w:val="none"/>
              </w:rPr>
              <w:t>还存在哪些局限和不足：</w:t>
            </w:r>
            <w:r>
              <w:rPr>
                <w:rFonts w:hint="eastAsia"/>
                <w:color w:val="000000"/>
                <w:szCs w:val="21"/>
                <w:highlight w:val="none"/>
                <w:u w:val="single"/>
              </w:rPr>
              <w:t xml:space="preserve">    </w:t>
            </w:r>
            <w:r>
              <w:rPr>
                <w:rFonts w:hint="eastAsia"/>
                <w:color w:val="000000"/>
                <w:szCs w:val="21"/>
                <w:highlight w:val="none"/>
                <w:u w:val="single"/>
                <w:lang w:val="en-US" w:eastAsia="zh-CN"/>
              </w:rPr>
              <w:t>无</w:t>
            </w:r>
            <w:r>
              <w:rPr>
                <w:rFonts w:hint="eastAsia"/>
                <w:color w:val="000000"/>
                <w:szCs w:val="21"/>
                <w:highlight w:val="none"/>
                <w:u w:val="single"/>
              </w:rPr>
              <w:t xml:space="preserve">                               </w:t>
            </w:r>
          </w:p>
          <w:p>
            <w:pPr>
              <w:widowControl/>
              <w:jc w:val="left"/>
              <w:rPr>
                <w:rFonts w:hint="default"/>
                <w:color w:val="000000"/>
                <w:szCs w:val="18"/>
                <w:highlight w:val="cyan"/>
                <w:lang w:val="en-US"/>
              </w:rPr>
            </w:pPr>
            <w:r>
              <w:rPr>
                <w:rFonts w:hint="eastAsia"/>
                <w:color w:val="000000"/>
                <w:szCs w:val="21"/>
                <w:highlight w:val="none"/>
              </w:rPr>
              <w:t>需要从外部供方获得的资源：</w:t>
            </w:r>
            <w:r>
              <w:rPr>
                <w:rFonts w:hint="eastAsia"/>
                <w:highlight w:val="none"/>
              </w:rPr>
              <w:t xml:space="preserve"> </w:t>
            </w:r>
            <w:r>
              <w:rPr>
                <w:rFonts w:hint="eastAsia"/>
                <w:highlight w:val="none"/>
                <w:u w:val="single"/>
              </w:rPr>
              <w:t xml:space="preserve"> </w:t>
            </w:r>
            <w:r>
              <w:rPr>
                <w:rFonts w:hint="eastAsia"/>
                <w:highlight w:val="none"/>
                <w:u w:val="single"/>
                <w:lang w:val="en-US" w:eastAsia="zh-CN"/>
              </w:rPr>
              <w:t xml:space="preserve"> </w:t>
            </w:r>
            <w:r>
              <w:rPr>
                <w:rFonts w:hint="eastAsia"/>
                <w:color w:val="0000FF"/>
                <w:szCs w:val="18"/>
                <w:u w:val="single"/>
                <w:lang w:eastAsia="zh-CN"/>
              </w:rPr>
              <w:t>——</w:t>
            </w:r>
            <w:r>
              <w:rPr>
                <w:rFonts w:hint="eastAsia"/>
                <w:color w:val="0000FF"/>
                <w:szCs w:val="18"/>
                <w:u w:val="single"/>
                <w:lang w:val="en-US" w:eastAsia="zh-CN"/>
              </w:rPr>
              <w:t>运输过程，按照手册8.2.4控制类型和程度的要求进行控制</w:t>
            </w:r>
          </w:p>
          <w:p>
            <w:pPr>
              <w:numPr>
                <w:ilvl w:val="0"/>
                <w:numId w:val="0"/>
              </w:numPr>
              <w:rPr>
                <w:highlight w:val="none"/>
              </w:rPr>
            </w:pPr>
            <w:r>
              <w:rPr>
                <w:rFonts w:hint="eastAsia"/>
                <w:highlight w:val="none"/>
                <w:u w:val="single"/>
                <w:lang w:val="en-US" w:eastAsia="zh-CN"/>
              </w:rPr>
              <w:t xml:space="preserve">   </w:t>
            </w:r>
            <w:r>
              <w:rPr>
                <w:highlight w:val="none"/>
                <w:u w:val="single"/>
              </w:rPr>
              <w:t xml:space="preserve">      </w:t>
            </w:r>
            <w:r>
              <w:rPr>
                <w:rFonts w:hint="eastAsia"/>
                <w:highlight w:val="none"/>
                <w:u w:val="single"/>
              </w:rPr>
              <w:t xml:space="preserve"> </w:t>
            </w:r>
            <w:r>
              <w:rPr>
                <w:rFonts w:hint="eastAsia"/>
                <w:highlight w:val="none"/>
              </w:rPr>
              <w:t xml:space="preserve">                            </w:t>
            </w:r>
          </w:p>
        </w:tc>
        <w:tc>
          <w:tcPr>
            <w:tcW w:w="1589" w:type="dxa"/>
            <w:gridSpan w:val="3"/>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5" w:type="dxa"/>
          <w:wAfter w:w="2" w:type="dxa"/>
          <w:trHeight w:val="443" w:hRule="atLeast"/>
        </w:trPr>
        <w:tc>
          <w:tcPr>
            <w:tcW w:w="2159" w:type="dxa"/>
            <w:vMerge w:val="restart"/>
            <w:shd w:val="clear" w:color="auto" w:fill="auto"/>
          </w:tcPr>
          <w:p>
            <w:r>
              <w:rPr>
                <w:rFonts w:hint="eastAsia"/>
                <w:color w:val="000000"/>
                <w:szCs w:val="21"/>
              </w:rPr>
              <w:t>人员</w:t>
            </w:r>
          </w:p>
        </w:tc>
        <w:tc>
          <w:tcPr>
            <w:tcW w:w="960" w:type="dxa"/>
            <w:vMerge w:val="restart"/>
            <w:shd w:val="clear" w:color="auto" w:fill="auto"/>
          </w:tcPr>
          <w:p>
            <w:pPr>
              <w:rPr>
                <w:rFonts w:hint="default" w:eastAsia="宋体"/>
                <w:color w:val="000000"/>
                <w:szCs w:val="21"/>
                <w:lang w:val="en-US" w:eastAsia="zh-CN"/>
              </w:rPr>
            </w:pPr>
            <w:r>
              <w:rPr>
                <w:rFonts w:hint="eastAsia"/>
                <w:color w:val="000000"/>
                <w:szCs w:val="21"/>
                <w:lang w:val="en-US" w:eastAsia="zh-CN"/>
              </w:rPr>
              <w:t>Q7.1.2</w:t>
            </w:r>
          </w:p>
          <w:p>
            <w:pPr>
              <w:rPr>
                <w:color w:val="000000"/>
                <w:szCs w:val="21"/>
              </w:rPr>
            </w:pPr>
            <w:r>
              <w:rPr>
                <w:rFonts w:hint="eastAsia"/>
                <w:color w:val="000000"/>
                <w:szCs w:val="21"/>
              </w:rPr>
              <w:t>F7.1.2</w:t>
            </w:r>
          </w:p>
          <w:p>
            <w:pPr>
              <w:rPr>
                <w:color w:val="000000"/>
                <w:szCs w:val="21"/>
              </w:rPr>
            </w:pPr>
          </w:p>
        </w:tc>
        <w:tc>
          <w:tcPr>
            <w:tcW w:w="745" w:type="dxa"/>
            <w:shd w:val="clear" w:color="auto" w:fill="auto"/>
          </w:tcPr>
          <w:p>
            <w:r>
              <w:rPr>
                <w:rFonts w:hint="eastAsia"/>
              </w:rPr>
              <w:t>文件名称</w:t>
            </w:r>
          </w:p>
        </w:tc>
        <w:tc>
          <w:tcPr>
            <w:tcW w:w="9258" w:type="dxa"/>
            <w:gridSpan w:val="2"/>
            <w:shd w:val="clear" w:color="auto" w:fill="auto"/>
          </w:tcPr>
          <w:p>
            <w:r>
              <w:rPr>
                <w:rFonts w:hint="eastAsia"/>
              </w:rPr>
              <w:t>如：</w:t>
            </w:r>
            <w:r>
              <w:rPr/>
              <w:sym w:font="Wingdings" w:char="00FE"/>
            </w:r>
            <w:r>
              <w:rPr>
                <w:rFonts w:hint="eastAsia"/>
              </w:rPr>
              <w:t>手册第</w:t>
            </w:r>
            <w:r>
              <w:rPr>
                <w:rFonts w:hint="eastAsia"/>
                <w:lang w:val="en-US" w:eastAsia="zh-CN"/>
              </w:rPr>
              <w:t>五章内容</w:t>
            </w:r>
            <w:r>
              <w:rPr>
                <w:rFonts w:hint="eastAsia"/>
              </w:rPr>
              <w:t>、</w:t>
            </w:r>
          </w:p>
        </w:tc>
        <w:tc>
          <w:tcPr>
            <w:tcW w:w="1585" w:type="dxa"/>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5" w:type="dxa"/>
          <w:wAfter w:w="2" w:type="dxa"/>
          <w:trHeight w:val="1480" w:hRule="atLeast"/>
        </w:trPr>
        <w:tc>
          <w:tcPr>
            <w:tcW w:w="2159" w:type="dxa"/>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8" w:type="dxa"/>
            <w:gridSpan w:val="2"/>
            <w:shd w:val="clear" w:color="auto" w:fill="auto"/>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highlight w:val="none"/>
                    </w:rPr>
                  </w:pPr>
                  <w:r>
                    <w:rPr>
                      <w:rFonts w:hint="eastAsia"/>
                      <w:highlight w:val="none"/>
                    </w:rPr>
                    <w:t>管理人员数</w:t>
                  </w:r>
                </w:p>
              </w:tc>
              <w:tc>
                <w:tcPr>
                  <w:tcW w:w="1292" w:type="dxa"/>
                </w:tcPr>
                <w:p>
                  <w:pPr>
                    <w:rPr>
                      <w:color w:val="000000"/>
                      <w:szCs w:val="21"/>
                      <w:highlight w:val="none"/>
                    </w:rPr>
                  </w:pPr>
                  <w:r>
                    <w:rPr>
                      <w:rFonts w:hint="eastAsia"/>
                      <w:highlight w:val="none"/>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rFonts w:hint="default" w:eastAsia="宋体"/>
                      <w:color w:val="000000"/>
                      <w:szCs w:val="21"/>
                      <w:highlight w:val="none"/>
                      <w:lang w:val="en-US" w:eastAsia="zh-CN"/>
                    </w:rPr>
                  </w:pPr>
                  <w:r>
                    <w:rPr>
                      <w:rFonts w:hint="eastAsia"/>
                      <w:color w:val="000000"/>
                      <w:szCs w:val="21"/>
                      <w:highlight w:val="none"/>
                      <w:lang w:val="en-US" w:eastAsia="zh-CN"/>
                    </w:rPr>
                    <w:t>7</w:t>
                  </w:r>
                </w:p>
              </w:tc>
              <w:tc>
                <w:tcPr>
                  <w:tcW w:w="1292" w:type="dxa"/>
                </w:tcPr>
                <w:p>
                  <w:pPr>
                    <w:rPr>
                      <w:rFonts w:hint="default" w:eastAsia="宋体"/>
                      <w:color w:val="000000"/>
                      <w:szCs w:val="21"/>
                      <w:highlight w:val="none"/>
                      <w:lang w:val="en-US" w:eastAsia="zh-CN"/>
                    </w:rPr>
                  </w:pPr>
                  <w:r>
                    <w:rPr>
                      <w:rFonts w:hint="eastAsia"/>
                      <w:color w:val="000000"/>
                      <w:szCs w:val="21"/>
                      <w:highlight w:val="none"/>
                      <w:lang w:val="en-US" w:eastAsia="zh-CN"/>
                    </w:rPr>
                    <w:t>——</w:t>
                  </w:r>
                </w:p>
              </w:tc>
              <w:tc>
                <w:tcPr>
                  <w:tcW w:w="1292" w:type="dxa"/>
                </w:tcPr>
                <w:p>
                  <w:pPr>
                    <w:rPr>
                      <w:rFonts w:hint="default" w:eastAsia="宋体"/>
                      <w:color w:val="000000"/>
                      <w:szCs w:val="21"/>
                      <w:lang w:val="en-US" w:eastAsia="zh-CN"/>
                    </w:rPr>
                  </w:pPr>
                  <w:r>
                    <w:rPr>
                      <w:rFonts w:hint="eastAsia"/>
                      <w:color w:val="000000"/>
                      <w:szCs w:val="21"/>
                      <w:lang w:val="en-US" w:eastAsia="zh-CN"/>
                    </w:rPr>
                    <w:t>16</w:t>
                  </w:r>
                </w:p>
              </w:tc>
              <w:tc>
                <w:tcPr>
                  <w:tcW w:w="1292" w:type="dxa"/>
                </w:tcPr>
                <w:p>
                  <w:pPr>
                    <w:rPr>
                      <w:rFonts w:hint="eastAsia" w:eastAsia="宋体"/>
                      <w:color w:val="000000"/>
                      <w:szCs w:val="21"/>
                      <w:lang w:val="en-US" w:eastAsia="zh-CN"/>
                    </w:rPr>
                  </w:pPr>
                  <w:r>
                    <w:rPr>
                      <w:rFonts w:hint="eastAsia"/>
                      <w:color w:val="000000"/>
                      <w:szCs w:val="21"/>
                      <w:lang w:val="en-US" w:eastAsia="zh-CN"/>
                    </w:rPr>
                    <w:t>0</w:t>
                  </w:r>
                </w:p>
              </w:tc>
              <w:tc>
                <w:tcPr>
                  <w:tcW w:w="1292" w:type="dxa"/>
                </w:tcPr>
                <w:p>
                  <w:pPr>
                    <w:rPr>
                      <w:rFonts w:hint="eastAsia" w:eastAsia="宋体"/>
                      <w:color w:val="000000"/>
                      <w:szCs w:val="21"/>
                      <w:lang w:val="en-US" w:eastAsia="zh-CN"/>
                    </w:rPr>
                  </w:pPr>
                  <w:r>
                    <w:rPr>
                      <w:rFonts w:hint="eastAsia"/>
                      <w:color w:val="000000"/>
                      <w:szCs w:val="21"/>
                      <w:lang w:val="en-US" w:eastAsia="zh-CN"/>
                    </w:rPr>
                    <w:t>0</w:t>
                  </w:r>
                </w:p>
              </w:tc>
              <w:tc>
                <w:tcPr>
                  <w:tcW w:w="1292" w:type="dxa"/>
                </w:tcPr>
                <w:p>
                  <w:pPr>
                    <w:rPr>
                      <w:rFonts w:hint="eastAsia" w:eastAsia="宋体"/>
                      <w:color w:val="000000"/>
                      <w:szCs w:val="21"/>
                      <w:lang w:val="en-US" w:eastAsia="zh-CN"/>
                    </w:rPr>
                  </w:pPr>
                  <w:r>
                    <w:rPr>
                      <w:rFonts w:hint="eastAsia"/>
                      <w:color w:val="000000"/>
                      <w:szCs w:val="21"/>
                      <w:lang w:val="en-US" w:eastAsia="zh-CN"/>
                    </w:rPr>
                    <w:t>0</w:t>
                  </w:r>
                </w:p>
              </w:tc>
              <w:tc>
                <w:tcPr>
                  <w:tcW w:w="1292" w:type="dxa"/>
                </w:tcPr>
                <w:p>
                  <w:pPr>
                    <w:rPr>
                      <w:rFonts w:hint="default" w:eastAsia="宋体"/>
                      <w:color w:val="000000"/>
                      <w:szCs w:val="21"/>
                      <w:lang w:val="en-US" w:eastAsia="zh-CN"/>
                    </w:rPr>
                  </w:pPr>
                  <w:r>
                    <w:rPr>
                      <w:rFonts w:hint="eastAsia"/>
                      <w:color w:val="000000"/>
                      <w:szCs w:val="21"/>
                      <w:lang w:val="en-US" w:eastAsia="zh-CN"/>
                    </w:rPr>
                    <w:t>23</w:t>
                  </w:r>
                </w:p>
              </w:tc>
            </w:tr>
          </w:tbl>
          <w:p>
            <w:pPr>
              <w:pStyle w:val="2"/>
              <w:rPr>
                <w:rFonts w:hint="default"/>
                <w:lang w:val="en-US" w:eastAsia="zh-CN"/>
              </w:rPr>
            </w:pPr>
          </w:p>
          <w:p>
            <w:r>
              <w:rPr>
                <w:rFonts w:hint="eastAsia"/>
              </w:rPr>
              <w:t>建立、 实施、 运行或评估食品安全管理体系时是否聘用外部专家：</w:t>
            </w:r>
            <w:r>
              <w:rPr>
                <w:rFonts w:hint="eastAsia"/>
              </w:rPr>
              <w:sym w:font="Wingdings" w:char="00A8"/>
            </w:r>
            <w:r>
              <w:rPr>
                <w:rFonts w:hint="eastAsia"/>
              </w:rPr>
              <w:t xml:space="preserve">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否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最高学历</w:t>
                  </w:r>
                </w:p>
              </w:tc>
              <w:tc>
                <w:tcPr>
                  <w:tcW w:w="4234" w:type="dxa"/>
                  <w:shd w:val="clear" w:color="auto" w:fill="auto"/>
                </w:tcPr>
                <w:p>
                  <w:r>
                    <w:rPr>
                      <w:rFonts w:hint="eastAsia"/>
                    </w:rPr>
                    <w:sym w:font="Wingdings" w:char="00A8"/>
                  </w:r>
                  <w:r>
                    <w:rPr>
                      <w:rFonts w:hint="eastAsia"/>
                    </w:rPr>
                    <w:t>专科</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教育专业</w:t>
                  </w:r>
                </w:p>
              </w:tc>
              <w:tc>
                <w:tcPr>
                  <w:tcW w:w="4234" w:type="dxa"/>
                  <w:shd w:val="clear" w:color="auto" w:fill="auto"/>
                </w:tcPr>
                <w:p>
                  <w:r>
                    <w:rPr>
                      <w:rFonts w:hint="eastAsia"/>
                    </w:rPr>
                    <w:sym w:font="Wingdings" w:char="00A8"/>
                  </w:r>
                  <w:r>
                    <w:rPr>
                      <w:rFonts w:hint="eastAsia"/>
                    </w:rPr>
                    <w:t>食品相应</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职称</w:t>
                  </w:r>
                </w:p>
              </w:tc>
              <w:tc>
                <w:tcPr>
                  <w:tcW w:w="4234" w:type="dxa"/>
                  <w:shd w:val="clear" w:color="auto" w:fill="auto"/>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专业工作经历</w:t>
                  </w:r>
                </w:p>
              </w:tc>
              <w:tc>
                <w:tcPr>
                  <w:tcW w:w="4234" w:type="dxa"/>
                  <w:shd w:val="clear" w:color="auto" w:fill="auto"/>
                </w:tcPr>
                <w:p>
                  <w:r>
                    <w:rPr>
                      <w:rFonts w:hint="eastAsia"/>
                    </w:rPr>
                    <w:t xml:space="preserve">    年</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责任和权限</w:t>
                  </w:r>
                </w:p>
              </w:tc>
              <w:tc>
                <w:tcPr>
                  <w:tcW w:w="4234" w:type="dxa"/>
                  <w:shd w:val="clear" w:color="auto" w:fill="auto"/>
                </w:tcPr>
                <w:p>
                  <w:r>
                    <w:rPr>
                      <w:rFonts w:hint="eastAsia"/>
                    </w:rPr>
                    <w:t>负责建立和保持管理体系</w:t>
                  </w:r>
                </w:p>
              </w:tc>
              <w:tc>
                <w:tcPr>
                  <w:tcW w:w="3015" w:type="dxa"/>
                  <w:shd w:val="clear" w:color="auto" w:fill="auto"/>
                </w:tcPr>
                <w:p/>
              </w:tc>
            </w:tr>
          </w:tbl>
          <w:p>
            <w:r>
              <w:rPr>
                <w:rFonts w:hint="eastAsia"/>
              </w:rPr>
              <w:t xml:space="preserve">        </w:t>
            </w:r>
          </w:p>
          <w:p>
            <w:r>
              <w:rPr>
                <w:rFonts w:hint="eastAsia"/>
              </w:rPr>
              <w:t>保留了外部专家的协议或合同。</w:t>
            </w:r>
            <w:r>
              <w:rPr>
                <w:rFonts w:hint="eastAsia"/>
              </w:rPr>
              <w:sym w:font="Wingdings" w:char="00A8"/>
            </w:r>
            <w:r>
              <w:rPr>
                <w:rFonts w:hint="eastAsia"/>
              </w:rPr>
              <w:t xml:space="preserve">是  </w:t>
            </w:r>
            <w:r>
              <w:rPr>
                <w:rFonts w:hint="eastAsia"/>
              </w:rPr>
              <w:sym w:font="Wingdings" w:char="00A8"/>
            </w:r>
            <w:r>
              <w:rPr>
                <w:rFonts w:hint="eastAsia"/>
              </w:rPr>
              <w:t>否 （不涉及）</w:t>
            </w:r>
          </w:p>
          <w:p>
            <w:r>
              <w:rPr>
                <w:rFonts w:hint="eastAsia"/>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2164" w:type="dxa"/>
            <w:gridSpan w:val="2"/>
            <w:vMerge w:val="restart"/>
            <w:shd w:val="clear" w:color="auto" w:fill="auto"/>
          </w:tcPr>
          <w:p>
            <w:r>
              <w:rPr>
                <w:rFonts w:hint="eastAsia"/>
              </w:rPr>
              <w:t xml:space="preserve">沟通  </w:t>
            </w:r>
          </w:p>
        </w:tc>
        <w:tc>
          <w:tcPr>
            <w:tcW w:w="960" w:type="dxa"/>
            <w:vMerge w:val="restart"/>
            <w:shd w:val="clear" w:color="auto" w:fill="auto"/>
          </w:tcPr>
          <w:p>
            <w:r>
              <w:rPr>
                <w:rFonts w:hint="eastAsia"/>
              </w:rPr>
              <w:t>Q7.4</w:t>
            </w:r>
          </w:p>
          <w:p>
            <w:r>
              <w:rPr>
                <w:rFonts w:hint="eastAsia"/>
              </w:rPr>
              <w:t xml:space="preserve">F7.4  </w:t>
            </w:r>
          </w:p>
        </w:tc>
        <w:tc>
          <w:tcPr>
            <w:tcW w:w="745" w:type="dxa"/>
            <w:shd w:val="clear" w:color="auto" w:fill="auto"/>
          </w:tcPr>
          <w:p>
            <w:r>
              <w:rPr>
                <w:rFonts w:hint="eastAsia"/>
              </w:rPr>
              <w:t>文件名称</w:t>
            </w:r>
          </w:p>
        </w:tc>
        <w:tc>
          <w:tcPr>
            <w:tcW w:w="9256" w:type="dxa"/>
            <w:shd w:val="clear" w:color="auto" w:fill="auto"/>
          </w:tcPr>
          <w:p>
            <w:r>
              <w:rPr>
                <w:rFonts w:hint="eastAsia"/>
              </w:rPr>
              <w:t>如：</w:t>
            </w:r>
            <w:r>
              <w:rPr>
                <w:rFonts w:hint="eastAsia"/>
                <w:color w:val="000000"/>
                <w:szCs w:val="21"/>
              </w:rPr>
              <w:t>☑</w:t>
            </w:r>
            <w:r>
              <w:rPr>
                <w:rFonts w:hint="eastAsia"/>
                <w:color w:val="000000"/>
                <w:szCs w:val="21"/>
                <w:lang w:eastAsia="zh-CN"/>
              </w:rPr>
              <w:t>《</w:t>
            </w:r>
            <w:r>
              <w:rPr>
                <w:rFonts w:hint="eastAsia"/>
                <w:color w:val="000000"/>
                <w:szCs w:val="21"/>
                <w:lang w:val="en-US" w:eastAsia="zh-CN"/>
              </w:rPr>
              <w:t>质量与食品安全</w:t>
            </w:r>
            <w:r>
              <w:rPr>
                <w:rFonts w:hint="eastAsia"/>
              </w:rPr>
              <w:t>管理手册</w:t>
            </w:r>
            <w:r>
              <w:rPr>
                <w:rFonts w:hint="eastAsia"/>
                <w:lang w:eastAsia="zh-CN"/>
              </w:rPr>
              <w:t>》</w:t>
            </w:r>
            <w:r>
              <w:rPr>
                <w:rFonts w:hint="eastAsia"/>
              </w:rPr>
              <w:t>第7.4章、</w:t>
            </w:r>
            <w:r>
              <w:rPr>
                <w:rFonts w:hint="eastAsia"/>
                <w:color w:val="000000"/>
                <w:szCs w:val="21"/>
              </w:rPr>
              <w:t>☑</w:t>
            </w:r>
            <w:r>
              <w:rPr>
                <w:rFonts w:hint="eastAsia"/>
              </w:rPr>
              <w:t>《</w:t>
            </w:r>
            <w:r>
              <w:rPr>
                <w:rFonts w:hint="eastAsia"/>
                <w:lang w:val="en-US" w:eastAsia="zh-CN"/>
              </w:rPr>
              <w:t>沟通控制</w:t>
            </w:r>
            <w:r>
              <w:rPr>
                <w:rFonts w:hint="eastAsia"/>
              </w:rPr>
              <w:t>程序》</w:t>
            </w:r>
          </w:p>
        </w:tc>
        <w:tc>
          <w:tcPr>
            <w:tcW w:w="1589" w:type="dxa"/>
            <w:gridSpan w:val="3"/>
            <w:vMerge w:val="restart"/>
            <w:shd w:val="clear" w:color="auto" w:fill="auto"/>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0" w:hRule="atLeast"/>
        </w:trPr>
        <w:tc>
          <w:tcPr>
            <w:tcW w:w="2164" w:type="dxa"/>
            <w:gridSpan w:val="2"/>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pPr>
              <w:rPr>
                <w:u w:val="single"/>
              </w:rPr>
            </w:pPr>
            <w:r>
              <w:rPr>
                <w:rFonts w:hint="eastAsia"/>
              </w:rPr>
              <w:t>组织考虑了合规义务，确保质量/食品安全信息与质量/食品安全管理体系形成的信息一致且真实可信。</w:t>
            </w:r>
            <w:r>
              <w:rPr>
                <w:rFonts w:hint="eastAsia"/>
                <w:u w:val="single"/>
              </w:rPr>
              <w:t>一般由</w:t>
            </w:r>
            <w:r>
              <w:rPr>
                <w:rFonts w:hint="eastAsia"/>
                <w:u w:val="single"/>
                <w:lang w:val="en-US" w:eastAsia="zh-CN"/>
              </w:rPr>
              <w:t>综合部</w:t>
            </w:r>
            <w:r>
              <w:rPr>
                <w:rFonts w:hint="eastAsia"/>
                <w:u w:val="single"/>
              </w:rPr>
              <w:t>负责。</w:t>
            </w:r>
          </w:p>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color w:val="000000"/>
                <w:szCs w:val="21"/>
              </w:rPr>
              <w:t xml:space="preserve">消防大队 ☑顾客 ☑供方 </w:t>
            </w:r>
            <w:r>
              <w:rPr>
                <w:rFonts w:hint="eastAsia"/>
                <w:color w:val="000000"/>
                <w:szCs w:val="21"/>
              </w:rPr>
              <w:sym w:font="Wingdings 2" w:char="00A3"/>
            </w:r>
            <w:r>
              <w:rPr>
                <w:rFonts w:hint="eastAsia"/>
                <w:color w:val="000000"/>
                <w:szCs w:val="21"/>
              </w:rPr>
              <w:t>外包方 □网站</w:t>
            </w:r>
          </w:p>
          <w:p/>
          <w:p>
            <w:r>
              <w:rPr>
                <w:rFonts w:hint="eastAsia"/>
              </w:rPr>
              <w:t>内部沟通的控制方式：</w:t>
            </w:r>
            <w:r>
              <w:rPr>
                <w:rFonts w:hint="eastAsia"/>
                <w:color w:val="000000"/>
                <w:szCs w:val="21"/>
              </w:rPr>
              <w:t xml:space="preserve">☑会议 </w:t>
            </w:r>
            <w:r>
              <w:rPr>
                <w:rFonts w:hint="eastAsia"/>
                <w:color w:val="000000"/>
                <w:szCs w:val="21"/>
                <w:lang w:eastAsia="zh-CN"/>
              </w:rPr>
              <w:sym w:font="Wingdings 2" w:char="0052"/>
            </w:r>
            <w:r>
              <w:rPr>
                <w:rFonts w:hint="eastAsia"/>
                <w:color w:val="000000"/>
                <w:szCs w:val="21"/>
              </w:rPr>
              <w:t xml:space="preserve">表单传递 ☑微信 ☑QQ </w:t>
            </w:r>
            <w:r>
              <w:rPr>
                <w:rFonts w:hint="eastAsia"/>
                <w:color w:val="000000"/>
                <w:szCs w:val="21"/>
                <w:lang w:eastAsia="zh-CN"/>
              </w:rPr>
              <w:t>□</w:t>
            </w:r>
            <w:r>
              <w:rPr>
                <w:rFonts w:hint="eastAsia"/>
                <w:color w:val="000000"/>
                <w:szCs w:val="21"/>
              </w:rPr>
              <w:t xml:space="preserve">展板 </w:t>
            </w:r>
            <w:r>
              <w:rPr>
                <w:rFonts w:hint="eastAsia"/>
                <w:color w:val="000000"/>
                <w:szCs w:val="21"/>
              </w:rPr>
              <w:sym w:font="Wingdings 2" w:char="00A3"/>
            </w:r>
            <w:r>
              <w:rPr>
                <w:rFonts w:hint="eastAsia"/>
                <w:color w:val="000000"/>
                <w:szCs w:val="21"/>
              </w:rPr>
              <w:t>标语</w:t>
            </w:r>
          </w:p>
        </w:tc>
        <w:tc>
          <w:tcPr>
            <w:tcW w:w="1589" w:type="dxa"/>
            <w:gridSpan w:val="3"/>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2164" w:type="dxa"/>
            <w:gridSpan w:val="2"/>
            <w:vMerge w:val="restart"/>
            <w:shd w:val="clear" w:color="auto" w:fill="auto"/>
          </w:tcPr>
          <w:p>
            <w:r>
              <w:rPr>
                <w:rFonts w:hint="eastAsia"/>
              </w:rPr>
              <w:t>监视、测量、分析和评价</w:t>
            </w:r>
          </w:p>
          <w:p/>
        </w:tc>
        <w:tc>
          <w:tcPr>
            <w:tcW w:w="960" w:type="dxa"/>
            <w:vMerge w:val="restart"/>
            <w:shd w:val="clear" w:color="auto" w:fill="auto"/>
          </w:tcPr>
          <w:p>
            <w:pPr>
              <w:rPr>
                <w:rFonts w:hint="default" w:eastAsia="宋体"/>
                <w:lang w:val="en-US" w:eastAsia="zh-CN"/>
              </w:rPr>
            </w:pPr>
            <w:r>
              <w:rPr>
                <w:rFonts w:hint="eastAsia"/>
                <w:lang w:val="en-US" w:eastAsia="zh-CN"/>
              </w:rPr>
              <w:t>Q9.1.1</w:t>
            </w:r>
          </w:p>
          <w:p>
            <w:r>
              <w:rPr>
                <w:rFonts w:hint="eastAsia"/>
                <w:lang w:val="en-US" w:eastAsia="zh-CN"/>
              </w:rPr>
              <w:t>F</w:t>
            </w:r>
            <w:r>
              <w:rPr>
                <w:rFonts w:hint="eastAsia"/>
              </w:rPr>
              <w:t>9.1.1</w:t>
            </w:r>
          </w:p>
          <w:p/>
        </w:tc>
        <w:tc>
          <w:tcPr>
            <w:tcW w:w="745" w:type="dxa"/>
            <w:shd w:val="clear" w:color="auto" w:fill="auto"/>
          </w:tcPr>
          <w:p>
            <w:r>
              <w:rPr>
                <w:rFonts w:hint="eastAsia"/>
              </w:rPr>
              <w:t>文件名称</w:t>
            </w:r>
          </w:p>
        </w:tc>
        <w:tc>
          <w:tcPr>
            <w:tcW w:w="9256" w:type="dxa"/>
            <w:shd w:val="clear" w:color="auto" w:fill="auto"/>
          </w:tcPr>
          <w:p>
            <w:pPr>
              <w:rPr>
                <w:rFonts w:hint="default" w:eastAsia="宋体"/>
                <w:b/>
                <w:bCs/>
                <w:lang w:val="en-US" w:eastAsia="zh-CN"/>
              </w:rPr>
            </w:pPr>
            <w:r>
              <w:rPr>
                <w:rFonts w:hint="eastAsia"/>
              </w:rPr>
              <w:t>如：</w:t>
            </w:r>
            <w:r>
              <w:rPr>
                <w:rFonts w:hint="eastAsia"/>
              </w:rPr>
              <w:sym w:font="Wingdings" w:char="00FE"/>
            </w:r>
            <w:r>
              <w:rPr>
                <w:rFonts w:hint="eastAsia"/>
                <w:color w:val="000000"/>
                <w:szCs w:val="21"/>
                <w:lang w:eastAsia="zh-CN"/>
              </w:rPr>
              <w:t>《</w:t>
            </w:r>
            <w:r>
              <w:rPr>
                <w:rFonts w:hint="eastAsia"/>
                <w:color w:val="000000"/>
                <w:szCs w:val="21"/>
                <w:lang w:val="en-US" w:eastAsia="zh-CN"/>
              </w:rPr>
              <w:t>质量和食品安全</w:t>
            </w:r>
            <w:r>
              <w:rPr>
                <w:rFonts w:hint="eastAsia"/>
              </w:rPr>
              <w:t>管理手册</w:t>
            </w:r>
            <w:r>
              <w:rPr>
                <w:rFonts w:hint="eastAsia"/>
                <w:lang w:eastAsia="zh-CN"/>
              </w:rPr>
              <w:t>》</w:t>
            </w:r>
            <w:r>
              <w:rPr>
                <w:rFonts w:hint="eastAsia"/>
                <w:lang w:val="en-US" w:eastAsia="zh-CN"/>
              </w:rPr>
              <w:t>9.1.1</w:t>
            </w:r>
          </w:p>
        </w:tc>
        <w:tc>
          <w:tcPr>
            <w:tcW w:w="1589" w:type="dxa"/>
            <w:gridSpan w:val="3"/>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9" w:hRule="atLeast"/>
        </w:trPr>
        <w:tc>
          <w:tcPr>
            <w:tcW w:w="2164" w:type="dxa"/>
            <w:gridSpan w:val="2"/>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pPr>
              <w:rPr>
                <w:rFonts w:hint="eastAsia"/>
              </w:rPr>
            </w:pPr>
            <w:r>
              <w:rPr>
                <w:rFonts w:hint="eastAsia"/>
              </w:rPr>
              <w:t>组织对监视和测量的</w:t>
            </w:r>
            <w:r>
              <w:rPr>
                <w:rFonts w:hint="eastAsia"/>
                <w:lang w:val="en-US" w:eastAsia="zh-CN"/>
              </w:rPr>
              <w:t>质量/</w:t>
            </w:r>
            <w:r>
              <w:rPr>
                <w:rFonts w:hint="eastAsia"/>
              </w:rPr>
              <w:t>食品安全绩效：</w:t>
            </w:r>
          </w:p>
          <w:tbl>
            <w:tblPr>
              <w:tblStyle w:val="10"/>
              <w:tblpPr w:leftFromText="180" w:rightFromText="180" w:vertAnchor="text" w:horzAnchor="page" w:tblpX="110" w:tblpY="289"/>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1601"/>
              <w:gridCol w:w="1730"/>
              <w:gridCol w:w="2667"/>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Pr>
                <w:p>
                  <w:pPr>
                    <w:rPr>
                      <w:szCs w:val="21"/>
                    </w:rPr>
                  </w:pPr>
                  <w:r>
                    <w:rPr>
                      <w:rFonts w:hint="eastAsia"/>
                      <w:szCs w:val="21"/>
                    </w:rPr>
                    <w:t>监视和测量的对象</w:t>
                  </w:r>
                </w:p>
              </w:tc>
              <w:tc>
                <w:tcPr>
                  <w:tcW w:w="1601" w:type="dxa"/>
                </w:tcPr>
                <w:p>
                  <w:pPr>
                    <w:rPr>
                      <w:szCs w:val="21"/>
                    </w:rPr>
                  </w:pPr>
                  <w:r>
                    <w:rPr>
                      <w:rFonts w:hint="eastAsia"/>
                      <w:szCs w:val="21"/>
                    </w:rPr>
                    <w:t>监视、测量、分析和评价的方法</w:t>
                  </w:r>
                </w:p>
              </w:tc>
              <w:tc>
                <w:tcPr>
                  <w:tcW w:w="1730" w:type="dxa"/>
                </w:tcPr>
                <w:p>
                  <w:pPr>
                    <w:rPr>
                      <w:szCs w:val="21"/>
                    </w:rPr>
                  </w:pPr>
                  <w:r>
                    <w:rPr>
                      <w:rFonts w:hint="eastAsia"/>
                      <w:szCs w:val="21"/>
                    </w:rPr>
                    <w:t>监视和测量的频次和时机</w:t>
                  </w:r>
                </w:p>
              </w:tc>
              <w:tc>
                <w:tcPr>
                  <w:tcW w:w="2667" w:type="dxa"/>
                </w:tcPr>
                <w:p>
                  <w:pPr>
                    <w:rPr>
                      <w:szCs w:val="21"/>
                    </w:rPr>
                  </w:pPr>
                  <w:r>
                    <w:rPr>
                      <w:rFonts w:hint="eastAsia"/>
                      <w:szCs w:val="21"/>
                    </w:rPr>
                    <w:t>评价食品安全绩效所依据的准则和适当的参数</w:t>
                  </w:r>
                </w:p>
              </w:tc>
              <w:tc>
                <w:tcPr>
                  <w:tcW w:w="1738" w:type="dxa"/>
                </w:tcPr>
                <w:p>
                  <w:pPr>
                    <w:rPr>
                      <w:szCs w:val="21"/>
                    </w:rPr>
                  </w:pPr>
                  <w:r>
                    <w:rPr>
                      <w:rFonts w:hint="eastAsia"/>
                      <w:szCs w:val="21"/>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Pr>
                <w:p>
                  <w:pPr>
                    <w:rPr>
                      <w:rFonts w:hint="default" w:eastAsia="宋体"/>
                      <w:szCs w:val="21"/>
                      <w:highlight w:val="none"/>
                      <w:lang w:val="en-US" w:eastAsia="zh-CN"/>
                    </w:rPr>
                  </w:pPr>
                  <w:r>
                    <w:rPr>
                      <w:rFonts w:hint="eastAsia"/>
                      <w:szCs w:val="21"/>
                      <w:highlight w:val="none"/>
                      <w:lang w:val="en-US" w:eastAsia="zh-CN"/>
                    </w:rPr>
                    <w:t>产品检测</w:t>
                  </w:r>
                </w:p>
              </w:tc>
              <w:tc>
                <w:tcPr>
                  <w:tcW w:w="1601" w:type="dxa"/>
                </w:tcPr>
                <w:p>
                  <w:pPr>
                    <w:rPr>
                      <w:szCs w:val="21"/>
                      <w:highlight w:val="none"/>
                    </w:rPr>
                  </w:pPr>
                  <w:r>
                    <w:rPr>
                      <w:rFonts w:hint="eastAsia"/>
                      <w:szCs w:val="21"/>
                      <w:highlight w:val="none"/>
                    </w:rPr>
                    <w:t>送第三方检测</w:t>
                  </w:r>
                </w:p>
              </w:tc>
              <w:tc>
                <w:tcPr>
                  <w:tcW w:w="173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rPr>
                    <w:t>□</w:t>
                  </w:r>
                  <w:r>
                    <w:rPr>
                      <w:rFonts w:hint="eastAsia"/>
                      <w:szCs w:val="21"/>
                      <w:highlight w:val="none"/>
                    </w:rPr>
                    <w:t>每月</w:t>
                  </w:r>
                  <w:r>
                    <w:rPr>
                      <w:rFonts w:hint="eastAsia"/>
                      <w:color w:val="000000"/>
                      <w:szCs w:val="21"/>
                      <w:highlight w:val="none"/>
                    </w:rPr>
                    <w:t xml:space="preserve"> □</w:t>
                  </w:r>
                  <w:r>
                    <w:rPr>
                      <w:rFonts w:hint="eastAsia"/>
                      <w:szCs w:val="21"/>
                      <w:highlight w:val="none"/>
                    </w:rPr>
                    <w:t xml:space="preserve">每季度 </w:t>
                  </w:r>
                  <w:r>
                    <w:rPr>
                      <w:rFonts w:hint="eastAsia"/>
                      <w:color w:val="000000"/>
                      <w:sz w:val="15"/>
                      <w:szCs w:val="15"/>
                      <w:highlight w:val="none"/>
                    </w:rPr>
                    <w:t>☑</w:t>
                  </w:r>
                  <w:r>
                    <w:rPr>
                      <w:rFonts w:hint="eastAsia"/>
                      <w:color w:val="000000"/>
                      <w:szCs w:val="21"/>
                      <w:highlight w:val="none"/>
                    </w:rPr>
                    <w:t xml:space="preserve">每年 </w:t>
                  </w:r>
                  <w:r>
                    <w:rPr>
                      <w:rFonts w:hint="eastAsia"/>
                      <w:color w:val="000000"/>
                      <w:szCs w:val="21"/>
                      <w:highlight w:val="none"/>
                      <w:lang w:val="en-US" w:eastAsia="zh-CN"/>
                    </w:rPr>
                    <w:t>或每半年</w:t>
                  </w:r>
                  <w:r>
                    <w:rPr>
                      <w:rFonts w:hint="eastAsia"/>
                      <w:color w:val="000000"/>
                      <w:szCs w:val="21"/>
                      <w:highlight w:val="none"/>
                    </w:rPr>
                    <w:t>□</w:t>
                  </w:r>
                  <w:r>
                    <w:rPr>
                      <w:rFonts w:hint="eastAsia"/>
                      <w:szCs w:val="21"/>
                      <w:highlight w:val="none"/>
                    </w:rPr>
                    <w:t>其他</w:t>
                  </w:r>
                  <w:r>
                    <w:rPr>
                      <w:rFonts w:hint="eastAsia"/>
                      <w:szCs w:val="21"/>
                      <w:highlight w:val="none"/>
                      <w:lang w:val="en-US" w:eastAsia="zh-CN"/>
                    </w:rPr>
                    <w:t>_</w:t>
                  </w:r>
                </w:p>
              </w:tc>
              <w:tc>
                <w:tcPr>
                  <w:tcW w:w="2667" w:type="dxa"/>
                </w:tcPr>
                <w:p>
                  <w:pPr>
                    <w:rPr>
                      <w:rFonts w:hint="eastAsia"/>
                      <w:lang w:val="en-US" w:eastAsia="zh-CN"/>
                    </w:rPr>
                  </w:pPr>
                  <w:r>
                    <w:rPr>
                      <w:rFonts w:hint="eastAsia"/>
                      <w:lang w:val="en-US" w:eastAsia="zh-CN"/>
                    </w:rPr>
                    <w:t>产品：GB30616-2020标准；</w:t>
                  </w:r>
                </w:p>
                <w:p>
                  <w:pPr>
                    <w:pStyle w:val="2"/>
                    <w:rPr>
                      <w:rFonts w:hint="default"/>
                      <w:lang w:val="en-US" w:eastAsia="zh-CN"/>
                    </w:rPr>
                  </w:pPr>
                </w:p>
              </w:tc>
              <w:tc>
                <w:tcPr>
                  <w:tcW w:w="1738" w:type="dxa"/>
                </w:tcPr>
                <w:p>
                  <w:pPr>
                    <w:widowControl/>
                    <w:spacing w:before="40"/>
                    <w:jc w:val="left"/>
                    <w:rPr>
                      <w:color w:val="000000"/>
                      <w:szCs w:val="21"/>
                      <w:highlight w:val="none"/>
                    </w:rPr>
                  </w:pPr>
                  <w:r>
                    <w:rPr>
                      <w:rFonts w:hint="eastAsia"/>
                      <w:color w:val="000000"/>
                      <w:szCs w:val="21"/>
                      <w:highlight w:val="none"/>
                    </w:rPr>
                    <w:t>□</w:t>
                  </w:r>
                  <w:r>
                    <w:rPr>
                      <w:rFonts w:hint="eastAsia"/>
                      <w:szCs w:val="21"/>
                      <w:highlight w:val="none"/>
                    </w:rPr>
                    <w:t>每月</w:t>
                  </w:r>
                  <w:r>
                    <w:rPr>
                      <w:rFonts w:hint="eastAsia"/>
                      <w:color w:val="000000"/>
                      <w:szCs w:val="21"/>
                      <w:highlight w:val="none"/>
                    </w:rPr>
                    <w:t xml:space="preserve"> □</w:t>
                  </w:r>
                  <w:r>
                    <w:rPr>
                      <w:rFonts w:hint="eastAsia"/>
                      <w:szCs w:val="21"/>
                      <w:highlight w:val="none"/>
                    </w:rPr>
                    <w:t xml:space="preserve">每季度 </w:t>
                  </w:r>
                  <w:r>
                    <w:rPr>
                      <w:rFonts w:ascii="Segoe UI Emoji" w:hAnsi="Segoe UI Emoji" w:cs="Segoe UI Emoji"/>
                      <w:color w:val="000000"/>
                      <w:sz w:val="15"/>
                      <w:szCs w:val="15"/>
                      <w:highlight w:val="none"/>
                    </w:rPr>
                    <w:t>☑</w:t>
                  </w:r>
                  <w:r>
                    <w:rPr>
                      <w:rFonts w:hint="eastAsia"/>
                      <w:color w:val="000000"/>
                      <w:szCs w:val="21"/>
                      <w:highlight w:val="none"/>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Pr>
                <w:p>
                  <w:pPr>
                    <w:rPr>
                      <w:rFonts w:hint="default"/>
                      <w:szCs w:val="21"/>
                      <w:highlight w:val="none"/>
                      <w:lang w:val="en-US" w:eastAsia="zh-CN"/>
                    </w:rPr>
                  </w:pPr>
                  <w:r>
                    <w:rPr>
                      <w:rFonts w:hint="eastAsia"/>
                      <w:szCs w:val="21"/>
                      <w:highlight w:val="none"/>
                      <w:lang w:val="en-US" w:eastAsia="zh-CN"/>
                    </w:rPr>
                    <w:t>生产加工用水</w:t>
                  </w:r>
                </w:p>
              </w:tc>
              <w:tc>
                <w:tcPr>
                  <w:tcW w:w="1601" w:type="dxa"/>
                </w:tcPr>
                <w:p>
                  <w:pPr>
                    <w:rPr>
                      <w:rFonts w:hint="eastAsia"/>
                      <w:szCs w:val="21"/>
                      <w:highlight w:val="none"/>
                    </w:rPr>
                  </w:pPr>
                  <w:r>
                    <w:rPr>
                      <w:rFonts w:hint="eastAsia"/>
                      <w:szCs w:val="21"/>
                      <w:highlight w:val="none"/>
                    </w:rPr>
                    <w:t>送第三方检测</w:t>
                  </w:r>
                </w:p>
              </w:tc>
              <w:tc>
                <w:tcPr>
                  <w:tcW w:w="1730" w:type="dxa"/>
                </w:tcPr>
                <w:p>
                  <w:pPr>
                    <w:widowControl/>
                    <w:spacing w:before="40"/>
                    <w:jc w:val="left"/>
                    <w:rPr>
                      <w:rFonts w:hint="eastAsia"/>
                      <w:color w:val="000000"/>
                      <w:szCs w:val="21"/>
                      <w:highlight w:val="none"/>
                    </w:rPr>
                  </w:pPr>
                  <w:r>
                    <w:rPr>
                      <w:rFonts w:hint="eastAsia"/>
                      <w:color w:val="000000"/>
                      <w:szCs w:val="21"/>
                      <w:highlight w:val="none"/>
                    </w:rPr>
                    <w:t>□</w:t>
                  </w:r>
                  <w:r>
                    <w:rPr>
                      <w:rFonts w:hint="eastAsia"/>
                      <w:szCs w:val="21"/>
                      <w:highlight w:val="none"/>
                    </w:rPr>
                    <w:t>每月</w:t>
                  </w:r>
                  <w:r>
                    <w:rPr>
                      <w:rFonts w:hint="eastAsia"/>
                      <w:color w:val="000000"/>
                      <w:szCs w:val="21"/>
                      <w:highlight w:val="none"/>
                    </w:rPr>
                    <w:t xml:space="preserve"> □</w:t>
                  </w:r>
                  <w:r>
                    <w:rPr>
                      <w:rFonts w:hint="eastAsia"/>
                      <w:szCs w:val="21"/>
                      <w:highlight w:val="none"/>
                    </w:rPr>
                    <w:t xml:space="preserve">每季度 </w:t>
                  </w:r>
                  <w:r>
                    <w:rPr>
                      <w:rFonts w:hint="eastAsia"/>
                      <w:color w:val="000000"/>
                      <w:sz w:val="15"/>
                      <w:szCs w:val="15"/>
                      <w:highlight w:val="none"/>
                      <w:lang w:eastAsia="zh-CN"/>
                    </w:rPr>
                    <w:sym w:font="Wingdings 2" w:char="0052"/>
                  </w:r>
                  <w:r>
                    <w:rPr>
                      <w:rFonts w:hint="eastAsia"/>
                      <w:color w:val="000000"/>
                      <w:szCs w:val="21"/>
                      <w:highlight w:val="none"/>
                    </w:rPr>
                    <w:t xml:space="preserve">每年 </w:t>
                  </w:r>
                </w:p>
              </w:tc>
              <w:tc>
                <w:tcPr>
                  <w:tcW w:w="2667" w:type="dxa"/>
                </w:tcPr>
                <w:p>
                  <w:pPr>
                    <w:rPr>
                      <w:rFonts w:hint="default" w:eastAsia="宋体"/>
                      <w:szCs w:val="21"/>
                      <w:highlight w:val="none"/>
                      <w:lang w:val="en-US" w:eastAsia="zh-CN"/>
                    </w:rPr>
                  </w:pPr>
                  <w:r>
                    <w:rPr>
                      <w:rFonts w:hint="eastAsia"/>
                      <w:szCs w:val="21"/>
                      <w:highlight w:val="none"/>
                      <w:lang w:val="en-US" w:eastAsia="zh-CN"/>
                    </w:rPr>
                    <w:t>GB5749</w:t>
                  </w:r>
                </w:p>
              </w:tc>
              <w:tc>
                <w:tcPr>
                  <w:tcW w:w="1738" w:type="dxa"/>
                </w:tcPr>
                <w:p>
                  <w:pPr>
                    <w:widowControl/>
                    <w:spacing w:before="40"/>
                    <w:jc w:val="left"/>
                    <w:rPr>
                      <w:rFonts w:hint="eastAsia"/>
                      <w:color w:val="000000"/>
                      <w:szCs w:val="21"/>
                      <w:highlight w:val="none"/>
                    </w:rPr>
                  </w:pPr>
                  <w:r>
                    <w:rPr>
                      <w:rFonts w:hint="eastAsia"/>
                      <w:color w:val="000000"/>
                      <w:szCs w:val="21"/>
                      <w:highlight w:val="none"/>
                    </w:rPr>
                    <w:t>□</w:t>
                  </w:r>
                  <w:r>
                    <w:rPr>
                      <w:rFonts w:hint="eastAsia"/>
                      <w:szCs w:val="21"/>
                      <w:highlight w:val="none"/>
                    </w:rPr>
                    <w:t>每月</w:t>
                  </w:r>
                  <w:r>
                    <w:rPr>
                      <w:rFonts w:hint="eastAsia"/>
                      <w:color w:val="000000"/>
                      <w:szCs w:val="21"/>
                      <w:highlight w:val="none"/>
                    </w:rPr>
                    <w:t xml:space="preserve"> □</w:t>
                  </w:r>
                  <w:r>
                    <w:rPr>
                      <w:rFonts w:hint="eastAsia"/>
                      <w:szCs w:val="21"/>
                      <w:highlight w:val="none"/>
                    </w:rPr>
                    <w:t xml:space="preserve">每季度 </w:t>
                  </w:r>
                  <w:r>
                    <w:rPr>
                      <w:rFonts w:ascii="Segoe UI Emoji" w:hAnsi="Segoe UI Emoji" w:cs="Segoe UI Emoji"/>
                      <w:color w:val="000000"/>
                      <w:sz w:val="15"/>
                      <w:szCs w:val="15"/>
                      <w:highlight w:val="none"/>
                    </w:rPr>
                    <w:t>☑</w:t>
                  </w:r>
                  <w:r>
                    <w:rPr>
                      <w:rFonts w:hint="eastAsia"/>
                      <w:color w:val="000000"/>
                      <w:szCs w:val="21"/>
                      <w:highlight w:val="none"/>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Pr>
                <w:p>
                  <w:pPr>
                    <w:rPr>
                      <w:szCs w:val="21"/>
                    </w:rPr>
                  </w:pPr>
                  <w:r>
                    <w:rPr>
                      <w:rFonts w:hint="eastAsia"/>
                      <w:szCs w:val="21"/>
                    </w:rPr>
                    <w:t>过程</w:t>
                  </w:r>
                </w:p>
              </w:tc>
              <w:tc>
                <w:tcPr>
                  <w:tcW w:w="1601" w:type="dxa"/>
                </w:tcPr>
                <w:p>
                  <w:pPr>
                    <w:rPr>
                      <w:szCs w:val="21"/>
                    </w:rPr>
                  </w:pPr>
                  <w:r>
                    <w:rPr>
                      <w:rFonts w:hint="eastAsia"/>
                      <w:szCs w:val="21"/>
                    </w:rPr>
                    <w:t>现场巡视</w:t>
                  </w:r>
                </w:p>
                <w:p>
                  <w:pPr>
                    <w:rPr>
                      <w:szCs w:val="21"/>
                    </w:rPr>
                  </w:pPr>
                  <w:r>
                    <w:rPr>
                      <w:rFonts w:hint="eastAsia"/>
                      <w:szCs w:val="21"/>
                    </w:rPr>
                    <w:t>抽查</w:t>
                  </w:r>
                  <w:r>
                    <w:rPr>
                      <w:rFonts w:hint="eastAsia"/>
                      <w:szCs w:val="21"/>
                      <w:lang w:val="en-US" w:eastAsia="zh-CN"/>
                    </w:rPr>
                    <w:t>生产运行</w:t>
                  </w:r>
                  <w:r>
                    <w:rPr>
                      <w:rFonts w:hint="eastAsia"/>
                      <w:szCs w:val="21"/>
                    </w:rPr>
                    <w:t>记录</w:t>
                  </w:r>
                </w:p>
                <w:p>
                  <w:pPr>
                    <w:rPr>
                      <w:szCs w:val="21"/>
                    </w:rPr>
                  </w:pPr>
                  <w:r>
                    <w:rPr>
                      <w:rFonts w:hint="eastAsia"/>
                      <w:szCs w:val="21"/>
                    </w:rPr>
                    <w:t>对目标、供方业绩、过程业绩、满意度</w:t>
                  </w:r>
                  <w:r>
                    <w:rPr>
                      <w:rFonts w:hint="eastAsia"/>
                      <w:szCs w:val="21"/>
                      <w:lang w:val="en-US" w:eastAsia="zh-CN"/>
                    </w:rPr>
                    <w:t>顾客投诉等</w:t>
                  </w:r>
                  <w:r>
                    <w:rPr>
                      <w:rFonts w:hint="eastAsia"/>
                      <w:szCs w:val="21"/>
                    </w:rPr>
                    <w:t>进行统计</w:t>
                  </w:r>
                </w:p>
              </w:tc>
              <w:tc>
                <w:tcPr>
                  <w:tcW w:w="1730" w:type="dxa"/>
                </w:tcPr>
                <w:p>
                  <w:pPr>
                    <w:rPr>
                      <w:szCs w:val="21"/>
                    </w:rPr>
                  </w:pPr>
                  <w:r>
                    <w:rPr>
                      <w:rFonts w:hint="eastAsia" w:ascii="Segoe UI Emoji" w:hAnsi="Segoe UI Emoji" w:cs="Segoe UI Emoji"/>
                      <w:color w:val="000000"/>
                      <w:sz w:val="18"/>
                      <w:szCs w:val="18"/>
                      <w:lang w:eastAsia="zh-CN"/>
                    </w:rPr>
                    <w:sym w:font="Wingdings 2" w:char="0052"/>
                  </w:r>
                  <w:r>
                    <w:rPr>
                      <w:rFonts w:hint="eastAsia"/>
                      <w:szCs w:val="21"/>
                    </w:rPr>
                    <w:t>定期检查</w:t>
                  </w:r>
                </w:p>
                <w:p>
                  <w:pPr>
                    <w:rPr>
                      <w:szCs w:val="21"/>
                    </w:rPr>
                  </w:pPr>
                  <w:r>
                    <w:rPr>
                      <w:rFonts w:hint="eastAsia" w:ascii="Segoe UI Emoji" w:hAnsi="Segoe UI Emoji" w:cs="Segoe UI Emoji"/>
                      <w:color w:val="000000"/>
                      <w:sz w:val="15"/>
                      <w:szCs w:val="15"/>
                      <w:lang w:eastAsia="zh-CN"/>
                    </w:rPr>
                    <w:sym w:font="Wingdings 2" w:char="0052"/>
                  </w:r>
                  <w:r>
                    <w:rPr>
                      <w:rFonts w:hint="eastAsia"/>
                      <w:szCs w:val="21"/>
                    </w:rPr>
                    <w:t>抽查</w:t>
                  </w:r>
                </w:p>
                <w:p>
                  <w:pPr>
                    <w:rPr>
                      <w:szCs w:val="21"/>
                    </w:rPr>
                  </w:pPr>
                  <w:r>
                    <w:rPr>
                      <w:rFonts w:ascii="Segoe UI Emoji" w:hAnsi="Segoe UI Emoji" w:cs="Segoe UI Emoji"/>
                      <w:color w:val="000000"/>
                      <w:sz w:val="15"/>
                      <w:szCs w:val="15"/>
                    </w:rPr>
                    <w:t>☑</w:t>
                  </w:r>
                  <w:r>
                    <w:rPr>
                      <w:rFonts w:hint="eastAsia"/>
                      <w:color w:val="000000"/>
                      <w:szCs w:val="21"/>
                    </w:rPr>
                    <w:t>每年</w:t>
                  </w:r>
                </w:p>
              </w:tc>
              <w:tc>
                <w:tcPr>
                  <w:tcW w:w="2667" w:type="dxa"/>
                </w:tcPr>
                <w:p>
                  <w:pPr>
                    <w:rPr>
                      <w:rFonts w:hint="default" w:eastAsia="宋体"/>
                      <w:szCs w:val="21"/>
                      <w:lang w:val="en-US" w:eastAsia="zh-CN"/>
                    </w:rPr>
                  </w:pPr>
                  <w:r>
                    <w:rPr>
                      <w:rFonts w:hint="eastAsia"/>
                      <w:szCs w:val="21"/>
                      <w:lang w:val="en-US" w:eastAsia="zh-CN"/>
                    </w:rPr>
                    <w:t>SSOP、危害控制计划、前提方案、技术文件汇编、等文件要求</w:t>
                  </w:r>
                </w:p>
              </w:tc>
              <w:tc>
                <w:tcPr>
                  <w:tcW w:w="1738" w:type="dxa"/>
                </w:tcPr>
                <w:p>
                  <w:pPr>
                    <w:widowControl/>
                    <w:spacing w:before="40"/>
                    <w:jc w:val="left"/>
                    <w:rPr>
                      <w:color w:val="000000"/>
                      <w:szCs w:val="21"/>
                    </w:rPr>
                  </w:pPr>
                  <w:r>
                    <w:rPr>
                      <w:rFonts w:hint="eastAsia" w:ascii="Segoe UI Emoji" w:hAnsi="Segoe UI Emoji" w:cs="Segoe UI Emoji"/>
                      <w:color w:val="000000"/>
                      <w:sz w:val="15"/>
                      <w:szCs w:val="15"/>
                      <w:lang w:eastAsia="zh-CN"/>
                    </w:rPr>
                    <w:t>□</w:t>
                  </w:r>
                  <w:r>
                    <w:rPr>
                      <w:rFonts w:hint="eastAsia"/>
                      <w:szCs w:val="21"/>
                    </w:rPr>
                    <w:t>每月</w:t>
                  </w:r>
                  <w:r>
                    <w:rPr>
                      <w:rFonts w:hint="eastAsia"/>
                      <w:color w:val="000000"/>
                      <w:szCs w:val="21"/>
                    </w:rPr>
                    <w:t xml:space="preserve"> </w:t>
                  </w:r>
                  <w:r>
                    <w:rPr>
                      <w:rFonts w:hint="eastAsia"/>
                      <w:color w:val="000000"/>
                      <w:szCs w:val="21"/>
                    </w:rPr>
                    <w:sym w:font="Wingdings 2" w:char="0052"/>
                  </w:r>
                  <w:r>
                    <w:rPr>
                      <w:rFonts w:hint="eastAsia"/>
                      <w:szCs w:val="21"/>
                    </w:rPr>
                    <w:t xml:space="preserve">每季度 </w:t>
                  </w:r>
                  <w:r>
                    <w:rPr>
                      <w:rFonts w:ascii="Segoe UI Emoji" w:hAnsi="Segoe UI Emoji" w:cs="Segoe UI Emoji"/>
                      <w:color w:val="000000"/>
                      <w:sz w:val="15"/>
                      <w:szCs w:val="15"/>
                    </w:rPr>
                    <w:t>☑</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Pr>
                <w:p>
                  <w:pPr>
                    <w:rPr>
                      <w:szCs w:val="21"/>
                    </w:rPr>
                  </w:pPr>
                  <w:r>
                    <w:rPr>
                      <w:rFonts w:hint="eastAsia"/>
                      <w:szCs w:val="21"/>
                    </w:rPr>
                    <w:t>体系</w:t>
                  </w:r>
                </w:p>
              </w:tc>
              <w:tc>
                <w:tcPr>
                  <w:tcW w:w="1601" w:type="dxa"/>
                </w:tcPr>
                <w:p>
                  <w:pPr>
                    <w:rPr>
                      <w:szCs w:val="21"/>
                    </w:rPr>
                  </w:pPr>
                  <w:r>
                    <w:rPr>
                      <w:rFonts w:hint="eastAsia"/>
                      <w:szCs w:val="21"/>
                    </w:rPr>
                    <w:t>内部审核；对内审不符合项进行分析</w:t>
                  </w:r>
                </w:p>
              </w:tc>
              <w:tc>
                <w:tcPr>
                  <w:tcW w:w="1730" w:type="dxa"/>
                </w:tcPr>
                <w:p>
                  <w:pPr>
                    <w:rPr>
                      <w:szCs w:val="21"/>
                    </w:rPr>
                  </w:pPr>
                  <w:r>
                    <w:rPr>
                      <w:rFonts w:ascii="Segoe UI Emoji" w:hAnsi="Segoe UI Emoji" w:cs="Segoe UI Emoji"/>
                      <w:color w:val="000000"/>
                      <w:sz w:val="15"/>
                      <w:szCs w:val="15"/>
                    </w:rPr>
                    <w:t>☑</w:t>
                  </w:r>
                  <w:r>
                    <w:rPr>
                      <w:rFonts w:hint="eastAsia"/>
                      <w:szCs w:val="21"/>
                    </w:rPr>
                    <w:t>按年度内审计划</w:t>
                  </w:r>
                </w:p>
                <w:p>
                  <w:pPr>
                    <w:rPr>
                      <w:szCs w:val="21"/>
                    </w:rPr>
                  </w:pPr>
                  <w:r>
                    <w:rPr>
                      <w:rFonts w:hint="eastAsia"/>
                      <w:color w:val="000000"/>
                      <w:szCs w:val="21"/>
                    </w:rPr>
                    <w:sym w:font="Wingdings 2" w:char="0052"/>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2667" w:type="dxa"/>
                </w:tcPr>
                <w:p>
                  <w:pPr>
                    <w:rPr>
                      <w:rFonts w:hint="eastAsia"/>
                      <w:sz w:val="21"/>
                      <w:szCs w:val="21"/>
                    </w:rPr>
                  </w:pPr>
                  <w:r>
                    <w:rPr>
                      <w:rFonts w:hint="eastAsia"/>
                      <w:sz w:val="21"/>
                      <w:szCs w:val="21"/>
                    </w:rPr>
                    <w:t>ISO22000：2018</w:t>
                  </w:r>
                </w:p>
                <w:p>
                  <w:pPr>
                    <w:pStyle w:val="6"/>
                    <w:rPr>
                      <w:rFonts w:hint="eastAsia"/>
                      <w:sz w:val="21"/>
                      <w:szCs w:val="21"/>
                      <w:lang w:val="en-US" w:eastAsia="zh-CN"/>
                    </w:rPr>
                  </w:pPr>
                  <w:r>
                    <w:rPr>
                      <w:rFonts w:hint="eastAsia"/>
                      <w:sz w:val="21"/>
                      <w:szCs w:val="21"/>
                      <w:lang w:val="en-US" w:eastAsia="zh-CN"/>
                    </w:rPr>
                    <w:t>GB/T19001-2016</w:t>
                  </w:r>
                </w:p>
                <w:p>
                  <w:pPr>
                    <w:pStyle w:val="6"/>
                    <w:rPr>
                      <w:rFonts w:hint="default"/>
                      <w:szCs w:val="21"/>
                      <w:lang w:val="en-US" w:eastAsia="zh-CN"/>
                    </w:rPr>
                  </w:pPr>
                  <w:r>
                    <w:rPr>
                      <w:rFonts w:hint="eastAsia"/>
                      <w:sz w:val="21"/>
                      <w:szCs w:val="21"/>
                      <w:lang w:val="en-US" w:eastAsia="zh-CN"/>
                    </w:rPr>
                    <w:t>《内审控制程序》</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Pr>
                <w:p>
                  <w:pPr>
                    <w:rPr>
                      <w:szCs w:val="21"/>
                    </w:rPr>
                  </w:pPr>
                  <w:r>
                    <w:rPr>
                      <w:rFonts w:hint="eastAsia"/>
                      <w:szCs w:val="21"/>
                    </w:rPr>
                    <w:t>体系有效性</w:t>
                  </w:r>
                </w:p>
              </w:tc>
              <w:tc>
                <w:tcPr>
                  <w:tcW w:w="1601" w:type="dxa"/>
                </w:tcPr>
                <w:p>
                  <w:pPr>
                    <w:rPr>
                      <w:szCs w:val="21"/>
                    </w:rPr>
                  </w:pPr>
                  <w:r>
                    <w:rPr>
                      <w:rFonts w:hint="eastAsia"/>
                      <w:szCs w:val="21"/>
                    </w:rPr>
                    <w:t>管理评审，对FSMS存在的需要问题进行分析</w:t>
                  </w:r>
                </w:p>
              </w:tc>
              <w:tc>
                <w:tcPr>
                  <w:tcW w:w="1730"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2667" w:type="dxa"/>
                </w:tcPr>
                <w:p>
                  <w:pPr>
                    <w:rPr>
                      <w:rFonts w:hint="eastAsia"/>
                      <w:szCs w:val="21"/>
                    </w:rPr>
                  </w:pPr>
                  <w:r>
                    <w:rPr>
                      <w:rFonts w:hint="eastAsia"/>
                      <w:szCs w:val="21"/>
                    </w:rPr>
                    <w:t>ISO22000：2018</w:t>
                  </w:r>
                </w:p>
                <w:p>
                  <w:pPr>
                    <w:rPr>
                      <w:rFonts w:hint="eastAsia"/>
                      <w:szCs w:val="21"/>
                      <w:lang w:val="en-US" w:eastAsia="zh-CN"/>
                    </w:rPr>
                  </w:pPr>
                  <w:r>
                    <w:rPr>
                      <w:rFonts w:hint="eastAsia"/>
                      <w:szCs w:val="21"/>
                      <w:lang w:val="en-US" w:eastAsia="zh-CN"/>
                    </w:rPr>
                    <w:t>GB/T19001-2016</w:t>
                  </w:r>
                </w:p>
                <w:p>
                  <w:pPr>
                    <w:rPr>
                      <w:szCs w:val="21"/>
                    </w:rPr>
                  </w:pPr>
                  <w:r>
                    <w:rPr>
                      <w:rFonts w:hint="eastAsia"/>
                      <w:szCs w:val="21"/>
                      <w:lang w:val="en-US" w:eastAsia="zh-CN"/>
                    </w:rPr>
                    <w:t>《管理评审控制程序》</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Pr>
                <w:p>
                  <w:pPr>
                    <w:rPr>
                      <w:szCs w:val="21"/>
                    </w:rPr>
                  </w:pPr>
                  <w:r>
                    <w:rPr>
                      <w:rFonts w:hint="eastAsia"/>
                      <w:szCs w:val="21"/>
                    </w:rPr>
                    <w:t>相关方反馈</w:t>
                  </w:r>
                </w:p>
              </w:tc>
              <w:tc>
                <w:tcPr>
                  <w:tcW w:w="1601" w:type="dxa"/>
                </w:tcPr>
                <w:p>
                  <w:pPr>
                    <w:rPr>
                      <w:szCs w:val="21"/>
                    </w:rPr>
                  </w:pPr>
                  <w:r>
                    <w:rPr>
                      <w:rFonts w:hint="eastAsia"/>
                      <w:szCs w:val="21"/>
                    </w:rPr>
                    <w:t>反馈处理，对问题进行统计</w:t>
                  </w:r>
                </w:p>
              </w:tc>
              <w:tc>
                <w:tcPr>
                  <w:tcW w:w="1730" w:type="dxa"/>
                </w:tcPr>
                <w:p>
                  <w:pPr>
                    <w:rPr>
                      <w:rFonts w:hint="default" w:eastAsia="宋体"/>
                      <w:szCs w:val="21"/>
                      <w:lang w:val="en-US" w:eastAsia="zh-CN"/>
                    </w:rPr>
                  </w:pPr>
                  <w:r>
                    <w:rPr>
                      <w:rFonts w:ascii="Segoe UI Emoji" w:hAnsi="Segoe UI Emoji" w:cs="Segoe UI Emoji"/>
                      <w:color w:val="000000"/>
                      <w:sz w:val="15"/>
                      <w:szCs w:val="15"/>
                    </w:rPr>
                    <w:t>☑</w:t>
                  </w:r>
                  <w:r>
                    <w:rPr>
                      <w:rFonts w:hint="eastAsia"/>
                      <w:szCs w:val="21"/>
                    </w:rPr>
                    <w:t>每年一次</w:t>
                  </w:r>
                  <w:r>
                    <w:rPr>
                      <w:rFonts w:hint="eastAsia"/>
                      <w:szCs w:val="21"/>
                      <w:lang w:val="en-US" w:eastAsia="zh-CN"/>
                    </w:rPr>
                    <w:t>或发生时</w:t>
                  </w:r>
                </w:p>
                <w:p>
                  <w:pPr>
                    <w:rPr>
                      <w:szCs w:val="21"/>
                    </w:rPr>
                  </w:pPr>
                </w:p>
              </w:tc>
              <w:tc>
                <w:tcPr>
                  <w:tcW w:w="2667" w:type="dxa"/>
                </w:tcPr>
                <w:p>
                  <w:pPr>
                    <w:rPr>
                      <w:rFonts w:hint="default" w:eastAsia="宋体"/>
                      <w:szCs w:val="21"/>
                      <w:lang w:val="en-US" w:eastAsia="zh-CN"/>
                    </w:rPr>
                  </w:pPr>
                  <w:r>
                    <w:rPr>
                      <w:rFonts w:hint="eastAsia"/>
                      <w:szCs w:val="21"/>
                      <w:lang w:val="en-US" w:eastAsia="zh-CN"/>
                    </w:rPr>
                    <w:t>顾客满意度调查、顾客投诉处理等</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bl>
          <w:p>
            <w:pPr>
              <w:pStyle w:val="8"/>
              <w:rPr>
                <w:rFonts w:hint="eastAsia"/>
              </w:rPr>
            </w:pPr>
          </w:p>
          <w:p>
            <w:pPr>
              <w:rPr>
                <w:rFonts w:hint="default" w:eastAsia="宋体"/>
                <w:lang w:val="en-US" w:eastAsia="zh-CN"/>
              </w:rPr>
            </w:pPr>
          </w:p>
        </w:tc>
        <w:tc>
          <w:tcPr>
            <w:tcW w:w="1589" w:type="dxa"/>
            <w:gridSpan w:val="3"/>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164" w:type="dxa"/>
            <w:gridSpan w:val="2"/>
            <w:vMerge w:val="restart"/>
            <w:shd w:val="clear" w:color="auto" w:fill="auto"/>
          </w:tcPr>
          <w:p>
            <w:pPr>
              <w:rPr>
                <w:highlight w:val="none"/>
              </w:rPr>
            </w:pPr>
            <w:r>
              <w:rPr>
                <w:rFonts w:hint="eastAsia"/>
                <w:highlight w:val="none"/>
              </w:rPr>
              <w:t>管理评审</w:t>
            </w:r>
          </w:p>
        </w:tc>
        <w:tc>
          <w:tcPr>
            <w:tcW w:w="960" w:type="dxa"/>
            <w:vMerge w:val="restart"/>
            <w:shd w:val="clear" w:color="auto" w:fill="auto"/>
          </w:tcPr>
          <w:p>
            <w:pPr>
              <w:rPr>
                <w:highlight w:val="none"/>
              </w:rPr>
            </w:pPr>
            <w:r>
              <w:rPr>
                <w:rFonts w:hint="eastAsia"/>
                <w:highlight w:val="none"/>
              </w:rPr>
              <w:t>Q9.3</w:t>
            </w:r>
          </w:p>
        </w:tc>
        <w:tc>
          <w:tcPr>
            <w:tcW w:w="745" w:type="dxa"/>
            <w:shd w:val="clear" w:color="auto" w:fill="auto"/>
          </w:tcPr>
          <w:p>
            <w:pPr>
              <w:rPr>
                <w:highlight w:val="none"/>
              </w:rPr>
            </w:pPr>
            <w:r>
              <w:rPr>
                <w:rFonts w:hint="eastAsia"/>
                <w:highlight w:val="none"/>
              </w:rPr>
              <w:t>文件名称</w:t>
            </w:r>
          </w:p>
        </w:tc>
        <w:tc>
          <w:tcPr>
            <w:tcW w:w="9256" w:type="dxa"/>
            <w:shd w:val="clear" w:color="auto" w:fill="auto"/>
          </w:tcPr>
          <w:p>
            <w:pPr>
              <w:rPr>
                <w:highlight w:val="none"/>
              </w:rPr>
            </w:pPr>
            <w:r>
              <w:rPr>
                <w:rFonts w:hint="eastAsia"/>
                <w:highlight w:val="none"/>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bookmarkStart w:id="2" w:name="_Hlk55987447"/>
            <w:r>
              <w:rPr>
                <w:rFonts w:hint="eastAsia"/>
                <w:highlight w:val="none"/>
              </w:rPr>
              <w:t>《管理评审控制程序》</w:t>
            </w:r>
            <w:bookmarkEnd w:id="2"/>
          </w:p>
        </w:tc>
        <w:tc>
          <w:tcPr>
            <w:tcW w:w="1589" w:type="dxa"/>
            <w:gridSpan w:val="3"/>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8" w:hRule="atLeast"/>
        </w:trPr>
        <w:tc>
          <w:tcPr>
            <w:tcW w:w="2164" w:type="dxa"/>
            <w:gridSpan w:val="2"/>
            <w:vMerge w:val="continue"/>
            <w:shd w:val="clear" w:color="auto" w:fill="auto"/>
          </w:tcPr>
          <w:p>
            <w:pPr>
              <w:rPr>
                <w:highlight w:val="none"/>
              </w:rPr>
            </w:pPr>
          </w:p>
        </w:tc>
        <w:tc>
          <w:tcPr>
            <w:tcW w:w="960" w:type="dxa"/>
            <w:vMerge w:val="continue"/>
            <w:shd w:val="clear" w:color="auto" w:fill="auto"/>
          </w:tcPr>
          <w:p>
            <w:pPr>
              <w:rPr>
                <w:highlight w:val="none"/>
              </w:rPr>
            </w:pPr>
          </w:p>
        </w:tc>
        <w:tc>
          <w:tcPr>
            <w:tcW w:w="745" w:type="dxa"/>
            <w:shd w:val="clear" w:color="auto" w:fill="auto"/>
          </w:tcPr>
          <w:p>
            <w:pPr>
              <w:widowControl/>
              <w:spacing w:before="40"/>
              <w:jc w:val="left"/>
              <w:rPr>
                <w:color w:val="000000"/>
                <w:szCs w:val="18"/>
                <w:highlight w:val="none"/>
              </w:rPr>
            </w:pPr>
          </w:p>
          <w:p>
            <w:pPr>
              <w:rPr>
                <w:highlight w:val="none"/>
              </w:rPr>
            </w:pPr>
            <w:r>
              <w:rPr>
                <w:rFonts w:hint="eastAsia"/>
                <w:highlight w:val="none"/>
              </w:rPr>
              <w:t>运行证据</w:t>
            </w:r>
          </w:p>
        </w:tc>
        <w:tc>
          <w:tcPr>
            <w:tcW w:w="9256" w:type="dxa"/>
            <w:shd w:val="clear" w:color="auto" w:fill="auto"/>
          </w:tcPr>
          <w:p>
            <w:pPr>
              <w:widowControl/>
              <w:spacing w:before="40"/>
              <w:jc w:val="left"/>
              <w:rPr>
                <w:color w:val="000000"/>
                <w:szCs w:val="18"/>
                <w:highlight w:val="none"/>
              </w:rPr>
            </w:pPr>
            <w:r>
              <w:rPr>
                <w:rFonts w:hint="eastAsia"/>
                <w:color w:val="000000"/>
                <w:szCs w:val="18"/>
                <w:highlight w:val="none"/>
              </w:rPr>
              <w:t>自</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18"/>
                <w:highlight w:val="none"/>
              </w:rPr>
              <w:t>管理体系建立后/</w:t>
            </w:r>
            <w:r>
              <w:rPr>
                <w:highlight w:val="none"/>
              </w:rPr>
              <w:sym w:font="Wingdings" w:char="00A8"/>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w:t>
            </w:r>
            <w:r>
              <w:rPr>
                <w:color w:val="000000"/>
                <w:szCs w:val="18"/>
                <w:highlight w:val="none"/>
                <w:u w:val="single"/>
              </w:rPr>
              <w:t xml:space="preserve">  202</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12</w:t>
            </w:r>
            <w:r>
              <w:rPr>
                <w:rFonts w:hint="eastAsia"/>
                <w:color w:val="000000"/>
                <w:szCs w:val="18"/>
                <w:highlight w:val="none"/>
              </w:rPr>
              <w:t>月</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28</w:t>
            </w:r>
            <w:r>
              <w:rPr>
                <w:color w:val="000000"/>
                <w:szCs w:val="18"/>
                <w:highlight w:val="none"/>
                <w:u w:val="single"/>
              </w:rPr>
              <w:t xml:space="preserve"> </w:t>
            </w:r>
            <w:r>
              <w:rPr>
                <w:rFonts w:hint="eastAsia"/>
                <w:color w:val="000000"/>
                <w:szCs w:val="18"/>
                <w:highlight w:val="none"/>
              </w:rPr>
              <w:t>日实施了管理评审；</w:t>
            </w:r>
          </w:p>
          <w:p>
            <w:pPr>
              <w:widowControl/>
              <w:spacing w:before="40"/>
              <w:jc w:val="left"/>
              <w:rPr>
                <w:color w:val="000000"/>
                <w:szCs w:val="21"/>
                <w:highlight w:val="none"/>
              </w:rPr>
            </w:pPr>
            <w:r>
              <w:rPr>
                <w:rFonts w:hint="eastAsia"/>
                <w:color w:val="000000"/>
                <w:szCs w:val="18"/>
                <w:highlight w:val="none"/>
              </w:rPr>
              <w:t>查看</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 xml:space="preserve">管理评审计划  </w:t>
            </w:r>
            <w:r>
              <w:rPr>
                <w:highlight w:val="none"/>
              </w:rPr>
              <w:sym w:font="Wingdings" w:char="00FE"/>
            </w:r>
            <w:r>
              <w:rPr>
                <w:rFonts w:hint="eastAsia"/>
                <w:color w:val="000000"/>
                <w:szCs w:val="21"/>
                <w:highlight w:val="none"/>
              </w:rPr>
              <w:t>管理评审记录（工作总结）</w:t>
            </w:r>
            <w:r>
              <w:rPr>
                <w:rFonts w:hint="eastAsia"/>
                <w:color w:val="000000"/>
                <w:szCs w:val="21"/>
                <w:highlight w:val="none"/>
                <w:lang w:eastAsia="zh-CN"/>
              </w:rPr>
              <w:t>【</w:t>
            </w:r>
            <w:r>
              <w:rPr>
                <w:rFonts w:hint="eastAsia"/>
                <w:color w:val="000000"/>
                <w:szCs w:val="21"/>
                <w:highlight w:val="none"/>
                <w:lang w:val="en-US" w:eastAsia="zh-CN"/>
              </w:rPr>
              <w:t>总结比较简要</w:t>
            </w:r>
            <w:r>
              <w:rPr>
                <w:rFonts w:hint="eastAsia"/>
                <w:color w:val="000000"/>
                <w:szCs w:val="21"/>
                <w:highlight w:val="none"/>
                <w:lang w:eastAsia="zh-CN"/>
              </w:rPr>
              <w:t>】</w:t>
            </w:r>
            <w:r>
              <w:rPr>
                <w:rFonts w:hint="eastAsia"/>
                <w:color w:val="000000"/>
                <w:szCs w:val="21"/>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管理评审纪要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管理评审报告</w:t>
            </w:r>
          </w:p>
          <w:p>
            <w:pPr>
              <w:widowControl/>
              <w:spacing w:before="40"/>
              <w:jc w:val="left"/>
              <w:rPr>
                <w:color w:val="000000"/>
                <w:szCs w:val="21"/>
                <w:highlight w:val="none"/>
              </w:rP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color w:val="000000"/>
                      <w:szCs w:val="21"/>
                      <w:highlight w:val="none"/>
                    </w:rPr>
                    <w:t>管理评审输入信息</w:t>
                  </w:r>
                </w:p>
              </w:tc>
              <w:tc>
                <w:tcPr>
                  <w:tcW w:w="1990" w:type="dxa"/>
                </w:tcPr>
                <w:p>
                  <w:pPr>
                    <w:widowControl/>
                    <w:spacing w:before="40"/>
                    <w:jc w:val="left"/>
                    <w:rPr>
                      <w:color w:val="000000"/>
                      <w:szCs w:val="21"/>
                      <w:highlight w:val="none"/>
                    </w:rPr>
                  </w:pPr>
                  <w:r>
                    <w:rPr>
                      <w:rFonts w:hint="eastAsia"/>
                      <w:color w:val="000000"/>
                      <w:szCs w:val="21"/>
                      <w:highlight w:val="none"/>
                    </w:rPr>
                    <w:t>评价</w:t>
                  </w:r>
                </w:p>
              </w:tc>
              <w:tc>
                <w:tcPr>
                  <w:tcW w:w="2816" w:type="dxa"/>
                </w:tcPr>
                <w:p>
                  <w:pPr>
                    <w:widowControl/>
                    <w:spacing w:before="40"/>
                    <w:jc w:val="left"/>
                    <w:rPr>
                      <w:color w:val="000000"/>
                      <w:szCs w:val="21"/>
                      <w:highlight w:val="none"/>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以往管理评审所采取措施的情况；</w:t>
                  </w:r>
                </w:p>
              </w:tc>
              <w:tc>
                <w:tcPr>
                  <w:tcW w:w="1990" w:type="dxa"/>
                </w:tcPr>
                <w:p>
                  <w:pPr>
                    <w:widowControl/>
                    <w:spacing w:before="40"/>
                    <w:jc w:val="left"/>
                    <w:rPr>
                      <w:color w:val="000000"/>
                      <w:szCs w:val="21"/>
                      <w:highlight w:val="none"/>
                    </w:rPr>
                  </w:pPr>
                  <w:r>
                    <w:rPr>
                      <w:rFonts w:hint="eastAsia"/>
                      <w:color w:val="000000"/>
                      <w:szCs w:val="21"/>
                      <w:highlight w:val="none"/>
                    </w:rPr>
                    <w:sym w:font="Wingdings 2" w:char="00A3"/>
                  </w:r>
                  <w:r>
                    <w:rPr>
                      <w:rFonts w:hint="eastAsia"/>
                      <w:color w:val="000000"/>
                      <w:szCs w:val="21"/>
                      <w:highlight w:val="none"/>
                    </w:rPr>
                    <w:t>符合 □不符合</w:t>
                  </w:r>
                </w:p>
              </w:tc>
              <w:tc>
                <w:tcPr>
                  <w:tcW w:w="2816"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首次导入体系，不涉及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与质量管理体系相关的内外部因素的变化；</w:t>
                  </w:r>
                </w:p>
              </w:tc>
              <w:tc>
                <w:tcPr>
                  <w:tcW w:w="1990"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2816"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未发生较大变化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顾客满意和有关相关方的反馈及趋势</w:t>
                  </w:r>
                </w:p>
              </w:tc>
              <w:tc>
                <w:tcPr>
                  <w:tcW w:w="1990"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2816" w:type="dxa"/>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质量目标的实现程度及趋势</w:t>
                  </w:r>
                </w:p>
              </w:tc>
              <w:tc>
                <w:tcPr>
                  <w:tcW w:w="1990"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过程绩效以及产品和服务的合格情况及趋势</w:t>
                  </w:r>
                </w:p>
              </w:tc>
              <w:tc>
                <w:tcPr>
                  <w:tcW w:w="1990"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不合格及纠正措施及趋势</w:t>
                  </w:r>
                </w:p>
              </w:tc>
              <w:tc>
                <w:tcPr>
                  <w:tcW w:w="1990"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监视和测量结果及趋势</w:t>
                  </w:r>
                </w:p>
              </w:tc>
              <w:tc>
                <w:tcPr>
                  <w:tcW w:w="1990"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内审、外部审核结果及趋势</w:t>
                  </w:r>
                </w:p>
              </w:tc>
              <w:tc>
                <w:tcPr>
                  <w:tcW w:w="1990"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外部供方的绩效及趋势</w:t>
                  </w:r>
                </w:p>
              </w:tc>
              <w:tc>
                <w:tcPr>
                  <w:tcW w:w="1990"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资源的充分性；</w:t>
                  </w:r>
                </w:p>
              </w:tc>
              <w:tc>
                <w:tcPr>
                  <w:tcW w:w="1990"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应对风险和机遇所采取措施的有效性</w:t>
                  </w:r>
                </w:p>
              </w:tc>
              <w:tc>
                <w:tcPr>
                  <w:tcW w:w="1990"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highlight w:val="none"/>
                    </w:rPr>
                  </w:pPr>
                  <w:r>
                    <w:rPr>
                      <w:rFonts w:hint="eastAsia"/>
                      <w:highlight w:val="none"/>
                    </w:rPr>
                    <w:t>改进的机会</w:t>
                  </w:r>
                </w:p>
              </w:tc>
              <w:tc>
                <w:tcPr>
                  <w:tcW w:w="1990"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bl>
          <w:p>
            <w:pPr>
              <w:widowControl/>
              <w:spacing w:before="40"/>
              <w:jc w:val="left"/>
              <w:rPr>
                <w:color w:val="000000"/>
                <w:szCs w:val="21"/>
                <w:highlight w:val="none"/>
              </w:rP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4620"/>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highlight w:val="none"/>
                    </w:rPr>
                  </w:pPr>
                  <w:r>
                    <w:rPr>
                      <w:rFonts w:hint="eastAsia"/>
                      <w:color w:val="000000"/>
                      <w:szCs w:val="18"/>
                      <w:highlight w:val="none"/>
                    </w:rPr>
                    <w:t>管理评审输出信息</w:t>
                  </w:r>
                </w:p>
              </w:tc>
              <w:tc>
                <w:tcPr>
                  <w:tcW w:w="4620" w:type="dxa"/>
                </w:tcPr>
                <w:p>
                  <w:pPr>
                    <w:widowControl/>
                    <w:spacing w:before="40"/>
                    <w:jc w:val="left"/>
                    <w:rPr>
                      <w:color w:val="000000"/>
                      <w:szCs w:val="21"/>
                      <w:highlight w:val="none"/>
                    </w:rPr>
                  </w:pPr>
                  <w:r>
                    <w:rPr>
                      <w:rFonts w:hint="eastAsia"/>
                      <w:color w:val="000000"/>
                      <w:szCs w:val="21"/>
                      <w:highlight w:val="none"/>
                    </w:rPr>
                    <w:t>措施描述（举例）</w:t>
                  </w:r>
                </w:p>
              </w:tc>
              <w:tc>
                <w:tcPr>
                  <w:tcW w:w="2496" w:type="dxa"/>
                </w:tcPr>
                <w:p>
                  <w:pPr>
                    <w:widowControl/>
                    <w:spacing w:before="40"/>
                    <w:jc w:val="left"/>
                    <w:rPr>
                      <w:color w:val="000000"/>
                      <w:szCs w:val="21"/>
                      <w:highlight w:val="none"/>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highlight w:val="none"/>
                    </w:rPr>
                  </w:pPr>
                  <w:r>
                    <w:rPr>
                      <w:rFonts w:hint="eastAsia"/>
                      <w:highlight w:val="none"/>
                    </w:rPr>
                    <w:t>改进的机会</w:t>
                  </w:r>
                </w:p>
              </w:tc>
              <w:tc>
                <w:tcPr>
                  <w:tcW w:w="462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质检部在2023年1月31日前组织完成一次ISO9001、ISO22000：2018标准的培训</w:t>
                  </w:r>
                </w:p>
              </w:tc>
              <w:tc>
                <w:tcPr>
                  <w:tcW w:w="2496" w:type="dxa"/>
                </w:tcPr>
                <w:p>
                  <w:pPr>
                    <w:widowControl/>
                    <w:spacing w:before="40"/>
                    <w:jc w:val="left"/>
                    <w:rPr>
                      <w:color w:val="000000"/>
                      <w:szCs w:val="21"/>
                      <w:highlight w:val="none"/>
                    </w:rPr>
                  </w:pPr>
                  <w:r>
                    <w:rPr>
                      <w:rFonts w:hint="eastAsia"/>
                      <w:color w:val="000000"/>
                      <w:szCs w:val="21"/>
                      <w:highlight w:val="none"/>
                    </w:rPr>
                    <w:sym w:font="Wingdings 2" w:char="0052"/>
                  </w:r>
                  <w:r>
                    <w:rPr>
                      <w:rFonts w:hint="eastAsia"/>
                      <w:highlight w:val="none"/>
                    </w:rPr>
                    <w:t>已落实</w:t>
                  </w:r>
                  <w:r>
                    <w:rPr>
                      <w:rFonts w:hint="eastAsia"/>
                      <w:color w:val="000000"/>
                      <w:szCs w:val="21"/>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highlight w:val="none"/>
                    </w:rPr>
                  </w:pPr>
                  <w:r>
                    <w:rPr>
                      <w:rFonts w:hint="eastAsia"/>
                      <w:highlight w:val="none"/>
                    </w:rPr>
                    <w:t>质量管理体系所需的变更</w:t>
                  </w:r>
                </w:p>
              </w:tc>
              <w:tc>
                <w:tcPr>
                  <w:tcW w:w="4620"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highlight w:val="none"/>
                    </w:rPr>
                  </w:pPr>
                  <w:r>
                    <w:rPr>
                      <w:rFonts w:hint="eastAsia"/>
                      <w:highlight w:val="none"/>
                    </w:rPr>
                    <w:t>资源需求</w:t>
                  </w:r>
                </w:p>
              </w:tc>
              <w:tc>
                <w:tcPr>
                  <w:tcW w:w="4620" w:type="dxa"/>
                </w:tcPr>
                <w:p>
                  <w:pPr>
                    <w:widowControl/>
                    <w:spacing w:before="40"/>
                    <w:jc w:val="left"/>
                    <w:rPr>
                      <w:rFonts w:hint="eastAsia" w:eastAsia="宋体"/>
                      <w:color w:val="000000"/>
                      <w:szCs w:val="21"/>
                      <w:highlight w:val="none"/>
                      <w:lang w:eastAsia="zh-CN"/>
                    </w:rPr>
                  </w:pPr>
                  <w:r>
                    <w:rPr>
                      <w:rFonts w:hint="eastAsia"/>
                      <w:color w:val="000000"/>
                      <w:szCs w:val="21"/>
                      <w:highlight w:val="none"/>
                      <w:lang w:val="en-US" w:eastAsia="zh-CN"/>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color w:val="000000"/>
                      <w:szCs w:val="21"/>
                      <w:highlight w:val="none"/>
                    </w:rPr>
                    <w:sym w:font="Wingdings 2" w:char="00A3"/>
                  </w:r>
                  <w:r>
                    <w:rPr>
                      <w:rFonts w:hint="eastAsia"/>
                      <w:highlight w:val="none"/>
                    </w:rPr>
                    <w:t>已部分落实</w:t>
                  </w:r>
                </w:p>
              </w:tc>
            </w:tr>
          </w:tbl>
          <w:p>
            <w:pPr>
              <w:rPr>
                <w:highlight w:val="none"/>
              </w:rPr>
            </w:pPr>
          </w:p>
          <w:p>
            <w:pPr>
              <w:rPr>
                <w:highlight w:val="none"/>
              </w:rPr>
            </w:pPr>
            <w:r>
              <w:rPr>
                <w:rFonts w:hint="eastAsia"/>
                <w:highlight w:val="none"/>
              </w:rPr>
              <w:sym w:font="Wingdings" w:char="00A8"/>
            </w:r>
            <w:r>
              <w:rPr>
                <w:rFonts w:hint="eastAsia"/>
                <w:highlight w:val="none"/>
              </w:rPr>
              <w:t>改进措施未落实的原因：</w:t>
            </w:r>
            <w:r>
              <w:rPr>
                <w:rFonts w:hint="eastAsia"/>
                <w:highlight w:val="none"/>
                <w:u w:val="single"/>
              </w:rPr>
              <w:t xml:space="preserve">  </w:t>
            </w:r>
            <w:r>
              <w:rPr>
                <w:rFonts w:hint="eastAsia"/>
                <w:highlight w:val="none"/>
                <w:u w:val="single"/>
                <w:lang w:eastAsia="zh-CN"/>
              </w:rPr>
              <w:t>——</w:t>
            </w:r>
            <w:r>
              <w:rPr>
                <w:rFonts w:hint="eastAsia"/>
                <w:highlight w:val="none"/>
                <w:u w:val="single"/>
              </w:rPr>
              <w:t xml:space="preserve">               </w:t>
            </w:r>
          </w:p>
        </w:tc>
        <w:tc>
          <w:tcPr>
            <w:tcW w:w="1589" w:type="dxa"/>
            <w:gridSpan w:val="3"/>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164" w:type="dxa"/>
            <w:gridSpan w:val="2"/>
            <w:vMerge w:val="restart"/>
            <w:shd w:val="clear" w:color="auto" w:fill="auto"/>
          </w:tcPr>
          <w:p>
            <w:pPr>
              <w:rPr>
                <w:highlight w:val="none"/>
              </w:rPr>
            </w:pPr>
            <w:r>
              <w:rPr>
                <w:rFonts w:hint="eastAsia"/>
                <w:highlight w:val="none"/>
              </w:rPr>
              <w:t>管理评审</w:t>
            </w:r>
          </w:p>
          <w:p>
            <w:pPr>
              <w:rPr>
                <w:highlight w:val="none"/>
              </w:rPr>
            </w:pPr>
          </w:p>
        </w:tc>
        <w:tc>
          <w:tcPr>
            <w:tcW w:w="960" w:type="dxa"/>
            <w:vMerge w:val="restart"/>
            <w:shd w:val="clear" w:color="auto" w:fill="auto"/>
          </w:tcPr>
          <w:p>
            <w:pPr>
              <w:rPr>
                <w:highlight w:val="none"/>
              </w:rPr>
            </w:pPr>
            <w:r>
              <w:rPr>
                <w:rFonts w:hint="eastAsia"/>
                <w:highlight w:val="none"/>
              </w:rPr>
              <w:t>F9.3</w:t>
            </w:r>
          </w:p>
        </w:tc>
        <w:tc>
          <w:tcPr>
            <w:tcW w:w="745" w:type="dxa"/>
            <w:shd w:val="clear" w:color="auto" w:fill="auto"/>
          </w:tcPr>
          <w:p>
            <w:pPr>
              <w:rPr>
                <w:highlight w:val="none"/>
              </w:rPr>
            </w:pPr>
            <w:r>
              <w:rPr>
                <w:rFonts w:hint="eastAsia"/>
                <w:highlight w:val="none"/>
              </w:rPr>
              <w:t>文件名称</w:t>
            </w:r>
          </w:p>
        </w:tc>
        <w:tc>
          <w:tcPr>
            <w:tcW w:w="9256" w:type="dxa"/>
            <w:shd w:val="clear" w:color="auto" w:fill="auto"/>
          </w:tcPr>
          <w:p>
            <w:pPr>
              <w:rPr>
                <w:highlight w:val="none"/>
              </w:rPr>
            </w:pPr>
            <w:r>
              <w:rPr>
                <w:rFonts w:hint="eastAsia"/>
                <w:highlight w:val="none"/>
              </w:rPr>
              <w:t>如：</w:t>
            </w:r>
            <w:r>
              <w:rPr>
                <w:highlight w:val="none"/>
              </w:rPr>
              <w:sym w:font="Wingdings" w:char="00FE"/>
            </w:r>
            <w:r>
              <w:rPr>
                <w:rFonts w:hint="eastAsia"/>
                <w:highlight w:val="none"/>
              </w:rPr>
              <w:t xml:space="preserve">《管理评审控制程序》 </w:t>
            </w:r>
          </w:p>
        </w:tc>
        <w:tc>
          <w:tcPr>
            <w:tcW w:w="1589" w:type="dxa"/>
            <w:gridSpan w:val="3"/>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8" w:hRule="atLeast"/>
        </w:trPr>
        <w:tc>
          <w:tcPr>
            <w:tcW w:w="2164" w:type="dxa"/>
            <w:gridSpan w:val="2"/>
            <w:vMerge w:val="continue"/>
            <w:shd w:val="clear" w:color="auto" w:fill="auto"/>
          </w:tcPr>
          <w:p>
            <w:pPr>
              <w:rPr>
                <w:highlight w:val="none"/>
              </w:rPr>
            </w:pPr>
          </w:p>
        </w:tc>
        <w:tc>
          <w:tcPr>
            <w:tcW w:w="960" w:type="dxa"/>
            <w:vMerge w:val="continue"/>
            <w:shd w:val="clear" w:color="auto" w:fill="auto"/>
          </w:tcPr>
          <w:p>
            <w:pPr>
              <w:rPr>
                <w:highlight w:val="none"/>
              </w:rPr>
            </w:pPr>
          </w:p>
        </w:tc>
        <w:tc>
          <w:tcPr>
            <w:tcW w:w="745" w:type="dxa"/>
            <w:shd w:val="clear" w:color="auto" w:fill="auto"/>
          </w:tcPr>
          <w:p>
            <w:pPr>
              <w:widowControl/>
              <w:spacing w:before="40"/>
              <w:jc w:val="left"/>
              <w:rPr>
                <w:color w:val="000000"/>
                <w:szCs w:val="18"/>
                <w:highlight w:val="none"/>
              </w:rPr>
            </w:pPr>
          </w:p>
          <w:p>
            <w:pPr>
              <w:rPr>
                <w:highlight w:val="none"/>
              </w:rPr>
            </w:pPr>
            <w:r>
              <w:rPr>
                <w:rFonts w:hint="eastAsia"/>
                <w:highlight w:val="none"/>
              </w:rPr>
              <w:t>运行证据</w:t>
            </w:r>
          </w:p>
        </w:tc>
        <w:tc>
          <w:tcPr>
            <w:tcW w:w="9256" w:type="dxa"/>
            <w:shd w:val="clear" w:color="auto" w:fill="auto"/>
          </w:tcPr>
          <w:p>
            <w:pPr>
              <w:widowControl/>
              <w:spacing w:before="40"/>
              <w:jc w:val="left"/>
              <w:rPr>
                <w:color w:val="000000"/>
                <w:szCs w:val="18"/>
                <w:highlight w:val="none"/>
              </w:rPr>
            </w:pPr>
            <w:r>
              <w:rPr>
                <w:rFonts w:hint="eastAsia"/>
                <w:color w:val="000000"/>
                <w:szCs w:val="18"/>
                <w:highlight w:val="none"/>
              </w:rPr>
              <w:t>自</w:t>
            </w:r>
            <w:r>
              <w:rPr>
                <w:highlight w:val="none"/>
              </w:rPr>
              <w:sym w:font="Wingdings" w:char="00FE"/>
            </w:r>
            <w:r>
              <w:rPr>
                <w:rFonts w:hint="eastAsia"/>
                <w:color w:val="000000"/>
                <w:szCs w:val="18"/>
                <w:highlight w:val="none"/>
              </w:rPr>
              <w:t>管理体系建立后/</w:t>
            </w:r>
            <w:r>
              <w:rPr>
                <w:highlight w:val="none"/>
              </w:rPr>
              <w:sym w:font="Wingdings" w:char="00A8"/>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202</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12</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lang w:val="en-US" w:eastAsia="zh-CN"/>
              </w:rPr>
              <w:t xml:space="preserve">28 </w:t>
            </w:r>
            <w:r>
              <w:rPr>
                <w:rFonts w:hint="eastAsia"/>
                <w:color w:val="000000"/>
                <w:szCs w:val="18"/>
                <w:highlight w:val="none"/>
              </w:rPr>
              <w:t>日实施了管理评审；</w:t>
            </w:r>
          </w:p>
          <w:p>
            <w:pPr>
              <w:widowControl/>
              <w:spacing w:before="40"/>
              <w:jc w:val="left"/>
              <w:rPr>
                <w:color w:val="000000"/>
                <w:szCs w:val="18"/>
                <w:highlight w:val="none"/>
              </w:rPr>
            </w:pPr>
            <w:r>
              <w:rPr>
                <w:rFonts w:hint="eastAsia"/>
                <w:color w:val="000000"/>
                <w:szCs w:val="18"/>
                <w:highlight w:val="none"/>
              </w:rPr>
              <w:t>查看</w:t>
            </w:r>
            <w:r>
              <w:rPr>
                <w:rFonts w:hint="eastAsia"/>
                <w:color w:val="000000"/>
                <w:szCs w:val="21"/>
                <w:highlight w:val="none"/>
              </w:rPr>
              <w:t>☑管理评审计划  ☑管理评审记录（工作总结）</w:t>
            </w:r>
            <w:r>
              <w:rPr>
                <w:rFonts w:hint="eastAsia"/>
                <w:color w:val="000000"/>
                <w:szCs w:val="21"/>
                <w:highlight w:val="none"/>
                <w:lang w:eastAsia="zh-CN"/>
              </w:rPr>
              <w:t>【</w:t>
            </w:r>
            <w:r>
              <w:rPr>
                <w:rFonts w:hint="eastAsia"/>
                <w:color w:val="000000"/>
                <w:szCs w:val="21"/>
                <w:highlight w:val="none"/>
                <w:lang w:val="en-US" w:eastAsia="zh-CN"/>
              </w:rPr>
              <w:t>较为简单，已现场沟通</w:t>
            </w:r>
            <w:r>
              <w:rPr>
                <w:rFonts w:hint="eastAsia"/>
                <w:color w:val="000000"/>
                <w:szCs w:val="21"/>
                <w:highlight w:val="none"/>
                <w:lang w:eastAsia="zh-CN"/>
              </w:rPr>
              <w:t>】</w:t>
            </w:r>
            <w:r>
              <w:rPr>
                <w:rFonts w:hint="eastAsia"/>
                <w:color w:val="000000"/>
                <w:szCs w:val="21"/>
                <w:highlight w:val="none"/>
              </w:rPr>
              <w:t xml:space="preserve">  </w:t>
            </w:r>
            <w:r>
              <w:rPr>
                <w:rFonts w:hint="eastAsia"/>
                <w:color w:val="000000"/>
                <w:szCs w:val="21"/>
                <w:highlight w:val="none"/>
              </w:rPr>
              <w:sym w:font="Wingdings 2" w:char="0052"/>
            </w:r>
            <w:r>
              <w:rPr>
                <w:rFonts w:hint="eastAsia"/>
                <w:color w:val="000000"/>
                <w:szCs w:val="21"/>
                <w:highlight w:val="none"/>
              </w:rPr>
              <w:t>管理评审纪要  ☑管理评审报告</w:t>
            </w:r>
          </w:p>
          <w:p>
            <w:pPr>
              <w:widowControl/>
              <w:spacing w:before="40"/>
              <w:jc w:val="left"/>
              <w:rPr>
                <w:color w:val="000000"/>
                <w:szCs w:val="21"/>
                <w:highlight w:val="none"/>
              </w:rP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4"/>
              <w:gridCol w:w="1943"/>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4" w:type="dxa"/>
                </w:tcPr>
                <w:p>
                  <w:pPr>
                    <w:widowControl/>
                    <w:spacing w:before="40"/>
                    <w:jc w:val="left"/>
                    <w:rPr>
                      <w:color w:val="000000"/>
                      <w:szCs w:val="21"/>
                      <w:highlight w:val="none"/>
                    </w:rPr>
                  </w:pPr>
                  <w:r>
                    <w:rPr>
                      <w:rFonts w:hint="eastAsia"/>
                      <w:color w:val="000000"/>
                      <w:szCs w:val="21"/>
                      <w:highlight w:val="none"/>
                    </w:rPr>
                    <w:t>管理评审输入信息</w:t>
                  </w:r>
                </w:p>
              </w:tc>
              <w:tc>
                <w:tcPr>
                  <w:tcW w:w="1943" w:type="dxa"/>
                </w:tcPr>
                <w:p>
                  <w:pPr>
                    <w:widowControl/>
                    <w:spacing w:before="40"/>
                    <w:jc w:val="left"/>
                    <w:rPr>
                      <w:color w:val="000000"/>
                      <w:szCs w:val="21"/>
                      <w:highlight w:val="none"/>
                    </w:rPr>
                  </w:pPr>
                  <w:r>
                    <w:rPr>
                      <w:rFonts w:hint="eastAsia"/>
                      <w:color w:val="000000"/>
                      <w:szCs w:val="21"/>
                      <w:highlight w:val="none"/>
                    </w:rPr>
                    <w:t>评价</w:t>
                  </w:r>
                </w:p>
              </w:tc>
              <w:tc>
                <w:tcPr>
                  <w:tcW w:w="2246" w:type="dxa"/>
                </w:tcPr>
                <w:p>
                  <w:pPr>
                    <w:widowControl/>
                    <w:spacing w:before="40"/>
                    <w:jc w:val="left"/>
                    <w:rPr>
                      <w:color w:val="000000"/>
                      <w:szCs w:val="21"/>
                      <w:highlight w:val="none"/>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tcPr>
                <w:p>
                  <w:pPr>
                    <w:widowControl/>
                    <w:spacing w:before="40"/>
                    <w:jc w:val="left"/>
                    <w:rPr>
                      <w:color w:val="000000"/>
                      <w:szCs w:val="21"/>
                      <w:highlight w:val="none"/>
                    </w:rPr>
                  </w:pPr>
                  <w:r>
                    <w:rPr>
                      <w:rFonts w:hint="eastAsia"/>
                      <w:highlight w:val="none"/>
                    </w:rPr>
                    <w:sym w:font="Wingdings" w:char="00A8"/>
                  </w:r>
                  <w:r>
                    <w:rPr>
                      <w:rFonts w:hint="eastAsia"/>
                      <w:highlight w:val="none"/>
                    </w:rPr>
                    <w:t>以往管理评审所采取措施的情况；</w:t>
                  </w:r>
                </w:p>
              </w:tc>
              <w:tc>
                <w:tcPr>
                  <w:tcW w:w="1943" w:type="dxa"/>
                </w:tcPr>
                <w:p>
                  <w:pPr>
                    <w:widowControl/>
                    <w:spacing w:before="40"/>
                    <w:jc w:val="left"/>
                    <w:rPr>
                      <w:color w:val="000000"/>
                      <w:szCs w:val="21"/>
                      <w:highlight w:val="none"/>
                    </w:rPr>
                  </w:pPr>
                  <w:r>
                    <w:rPr>
                      <w:rFonts w:hint="eastAsia"/>
                      <w:color w:val="000000"/>
                      <w:szCs w:val="21"/>
                      <w:highlight w:val="none"/>
                    </w:rPr>
                    <w:sym w:font="Wingdings 2" w:char="00A3"/>
                  </w:r>
                  <w:r>
                    <w:rPr>
                      <w:rFonts w:hint="eastAsia"/>
                      <w:color w:val="000000"/>
                      <w:szCs w:val="21"/>
                      <w:highlight w:val="none"/>
                    </w:rPr>
                    <w:t>符合 □不符合</w:t>
                  </w:r>
                </w:p>
              </w:tc>
              <w:tc>
                <w:tcPr>
                  <w:tcW w:w="2246"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首次导入，不涉及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tcPr>
                <w:p>
                  <w:pPr>
                    <w:widowControl/>
                    <w:spacing w:before="40"/>
                    <w:jc w:val="left"/>
                    <w:rPr>
                      <w:color w:val="000000"/>
                      <w:szCs w:val="21"/>
                      <w:highlight w:val="none"/>
                    </w:rPr>
                  </w:pPr>
                  <w:r>
                    <w:rPr>
                      <w:rFonts w:hint="eastAsia"/>
                      <w:highlight w:val="none"/>
                    </w:rPr>
                    <w:sym w:font="Wingdings" w:char="00FE"/>
                  </w:r>
                  <w:r>
                    <w:rPr>
                      <w:rFonts w:hint="eastAsia"/>
                      <w:highlight w:val="none"/>
                    </w:rPr>
                    <w:t xml:space="preserve"> </w:t>
                  </w:r>
                  <w:r>
                    <w:rPr>
                      <w:color w:val="000000"/>
                      <w:szCs w:val="21"/>
                      <w:highlight w:val="none"/>
                    </w:rPr>
                    <w:t>组织所处形势的变化</w:t>
                  </w:r>
                  <w:r>
                    <w:rPr>
                      <w:rFonts w:hint="eastAsia"/>
                      <w:highlight w:val="none"/>
                    </w:rPr>
                    <w:t>；</w:t>
                  </w:r>
                </w:p>
              </w:tc>
              <w:tc>
                <w:tcPr>
                  <w:tcW w:w="1943" w:type="dxa"/>
                </w:tcPr>
                <w:p>
                  <w:pPr>
                    <w:widowControl/>
                    <w:spacing w:before="40"/>
                    <w:jc w:val="left"/>
                    <w:rPr>
                      <w:color w:val="000000"/>
                      <w:szCs w:val="21"/>
                      <w:highlight w:val="none"/>
                    </w:rPr>
                  </w:pPr>
                  <w:r>
                    <w:rPr>
                      <w:rFonts w:hint="eastAsia"/>
                      <w:color w:val="000000"/>
                      <w:szCs w:val="21"/>
                      <w:highlight w:val="none"/>
                    </w:rPr>
                    <w:t>☑符合 □不符合</w:t>
                  </w:r>
                </w:p>
              </w:tc>
              <w:tc>
                <w:tcPr>
                  <w:tcW w:w="2246"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发生的紧急情况、事故或撤回；</w:t>
                  </w:r>
                </w:p>
              </w:tc>
              <w:tc>
                <w:tcPr>
                  <w:tcW w:w="1943" w:type="dxa"/>
                </w:tcPr>
                <w:p>
                  <w:pPr>
                    <w:widowControl/>
                    <w:spacing w:before="40"/>
                    <w:jc w:val="left"/>
                    <w:rPr>
                      <w:color w:val="000000"/>
                      <w:szCs w:val="21"/>
                      <w:highlight w:val="none"/>
                    </w:rPr>
                  </w:pPr>
                  <w:r>
                    <w:rPr>
                      <w:rFonts w:hint="eastAsia"/>
                      <w:color w:val="000000"/>
                      <w:szCs w:val="21"/>
                      <w:highlight w:val="none"/>
                    </w:rPr>
                    <w:t>☑符合 □不符合</w:t>
                  </w:r>
                </w:p>
              </w:tc>
              <w:tc>
                <w:tcPr>
                  <w:tcW w:w="2246"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未发生，进行了应急演练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与食品安全管理体系有关的内部和外部因素变化，包括顾客和顾客投诉；</w:t>
                  </w:r>
                </w:p>
              </w:tc>
              <w:tc>
                <w:tcPr>
                  <w:tcW w:w="1943" w:type="dxa"/>
                </w:tcPr>
                <w:p>
                  <w:pPr>
                    <w:widowControl/>
                    <w:spacing w:before="40"/>
                    <w:jc w:val="left"/>
                    <w:rPr>
                      <w:color w:val="000000"/>
                      <w:szCs w:val="21"/>
                      <w:highlight w:val="none"/>
                    </w:rPr>
                  </w:pPr>
                  <w:r>
                    <w:rPr>
                      <w:rFonts w:hint="eastAsia"/>
                      <w:color w:val="000000"/>
                      <w:szCs w:val="21"/>
                      <w:highlight w:val="none"/>
                    </w:rPr>
                    <w:t>☑符合 □不符合</w:t>
                  </w:r>
                </w:p>
              </w:tc>
              <w:tc>
                <w:tcPr>
                  <w:tcW w:w="2246" w:type="dxa"/>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食品安全绩效和食品安全管理体系不符合和纠正措施</w:t>
                  </w:r>
                </w:p>
              </w:tc>
              <w:tc>
                <w:tcPr>
                  <w:tcW w:w="1943" w:type="dxa"/>
                </w:tcPr>
                <w:p>
                  <w:pPr>
                    <w:widowControl/>
                    <w:spacing w:before="40"/>
                    <w:jc w:val="left"/>
                    <w:rPr>
                      <w:color w:val="000000"/>
                      <w:szCs w:val="21"/>
                      <w:highlight w:val="none"/>
                    </w:rPr>
                  </w:pPr>
                  <w:r>
                    <w:rPr>
                      <w:rFonts w:hint="eastAsia"/>
                      <w:color w:val="000000"/>
                      <w:szCs w:val="21"/>
                      <w:highlight w:val="none"/>
                    </w:rPr>
                    <w:t>☑符合 □不符合</w:t>
                  </w:r>
                </w:p>
              </w:tc>
              <w:tc>
                <w:tcPr>
                  <w:tcW w:w="2246"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监视和测量结果及趋势</w:t>
                  </w:r>
                </w:p>
              </w:tc>
              <w:tc>
                <w:tcPr>
                  <w:tcW w:w="1943" w:type="dxa"/>
                </w:tcPr>
                <w:p>
                  <w:pPr>
                    <w:widowControl/>
                    <w:spacing w:before="40"/>
                    <w:jc w:val="left"/>
                    <w:rPr>
                      <w:color w:val="000000"/>
                      <w:szCs w:val="21"/>
                      <w:highlight w:val="none"/>
                    </w:rPr>
                  </w:pPr>
                  <w:r>
                    <w:rPr>
                      <w:rFonts w:hint="eastAsia"/>
                      <w:color w:val="000000"/>
                      <w:szCs w:val="21"/>
                      <w:highlight w:val="none"/>
                    </w:rPr>
                    <w:t>☑符合 □不符合</w:t>
                  </w:r>
                </w:p>
              </w:tc>
              <w:tc>
                <w:tcPr>
                  <w:tcW w:w="224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审核结果（内部和外部） 包括执法检查结果</w:t>
                  </w:r>
                </w:p>
              </w:tc>
              <w:tc>
                <w:tcPr>
                  <w:tcW w:w="1943" w:type="dxa"/>
                </w:tcPr>
                <w:p>
                  <w:pPr>
                    <w:widowControl/>
                    <w:spacing w:before="40"/>
                    <w:jc w:val="left"/>
                    <w:rPr>
                      <w:color w:val="000000"/>
                      <w:szCs w:val="21"/>
                      <w:highlight w:val="none"/>
                    </w:rPr>
                  </w:pPr>
                  <w:r>
                    <w:rPr>
                      <w:rFonts w:hint="eastAsia"/>
                      <w:color w:val="000000"/>
                      <w:szCs w:val="21"/>
                      <w:highlight w:val="none"/>
                    </w:rPr>
                    <w:t>☑符合 □不符合</w:t>
                  </w:r>
                </w:p>
              </w:tc>
              <w:tc>
                <w:tcPr>
                  <w:tcW w:w="224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与PRP、 OPRP计划和HACCP计划有关的验证活动结果的分析</w:t>
                  </w:r>
                </w:p>
              </w:tc>
              <w:tc>
                <w:tcPr>
                  <w:tcW w:w="1943" w:type="dxa"/>
                </w:tcPr>
                <w:p>
                  <w:pPr>
                    <w:widowControl/>
                    <w:spacing w:before="40"/>
                    <w:jc w:val="left"/>
                    <w:rPr>
                      <w:color w:val="000000"/>
                      <w:szCs w:val="21"/>
                      <w:highlight w:val="none"/>
                    </w:rPr>
                  </w:pPr>
                  <w:r>
                    <w:rPr>
                      <w:rFonts w:hint="eastAsia"/>
                      <w:color w:val="000000"/>
                      <w:szCs w:val="21"/>
                      <w:highlight w:val="none"/>
                    </w:rPr>
                    <w:t>☑符合 □不符合</w:t>
                  </w:r>
                </w:p>
              </w:tc>
              <w:tc>
                <w:tcPr>
                  <w:tcW w:w="224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tcPr>
                <w:p>
                  <w:pPr>
                    <w:widowControl/>
                    <w:spacing w:before="40"/>
                    <w:jc w:val="left"/>
                    <w:rPr>
                      <w:highlight w:val="none"/>
                    </w:rPr>
                  </w:pPr>
                  <w:r>
                    <w:rPr>
                      <w:rFonts w:hint="eastAsia"/>
                      <w:color w:val="000000"/>
                      <w:szCs w:val="21"/>
                      <w:highlight w:val="none"/>
                    </w:rPr>
                    <w:t>☑</w:t>
                  </w:r>
                  <w:r>
                    <w:rPr>
                      <w:color w:val="000000"/>
                      <w:szCs w:val="21"/>
                      <w:highlight w:val="none"/>
                    </w:rPr>
                    <w:t>实现食品安全管理体系目标的程度</w:t>
                  </w:r>
                </w:p>
              </w:tc>
              <w:tc>
                <w:tcPr>
                  <w:tcW w:w="1943" w:type="dxa"/>
                </w:tcPr>
                <w:p>
                  <w:pPr>
                    <w:widowControl/>
                    <w:spacing w:before="40"/>
                    <w:jc w:val="left"/>
                    <w:rPr>
                      <w:color w:val="000000"/>
                      <w:szCs w:val="21"/>
                      <w:highlight w:val="none"/>
                    </w:rPr>
                  </w:pPr>
                  <w:r>
                    <w:rPr>
                      <w:rFonts w:hint="eastAsia"/>
                      <w:color w:val="000000"/>
                      <w:szCs w:val="21"/>
                      <w:highlight w:val="none"/>
                    </w:rPr>
                    <w:t>☑符合 □不符合</w:t>
                  </w:r>
                </w:p>
              </w:tc>
              <w:tc>
                <w:tcPr>
                  <w:tcW w:w="224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外部供方绩效</w:t>
                  </w:r>
                </w:p>
              </w:tc>
              <w:tc>
                <w:tcPr>
                  <w:tcW w:w="1943" w:type="dxa"/>
                </w:tcPr>
                <w:p>
                  <w:pPr>
                    <w:widowControl/>
                    <w:spacing w:before="40"/>
                    <w:jc w:val="left"/>
                    <w:rPr>
                      <w:color w:val="000000"/>
                      <w:szCs w:val="21"/>
                      <w:highlight w:val="none"/>
                    </w:rPr>
                  </w:pPr>
                  <w:r>
                    <w:rPr>
                      <w:rFonts w:hint="eastAsia"/>
                      <w:color w:val="000000"/>
                      <w:szCs w:val="21"/>
                      <w:highlight w:val="none"/>
                    </w:rPr>
                    <w:t>☑符合 □不符合</w:t>
                  </w:r>
                </w:p>
              </w:tc>
              <w:tc>
                <w:tcPr>
                  <w:tcW w:w="224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体系更新活动的评审结果</w:t>
                  </w:r>
                  <w:r>
                    <w:rPr>
                      <w:rFonts w:hint="eastAsia"/>
                      <w:color w:val="000000"/>
                      <w:szCs w:val="21"/>
                      <w:highlight w:val="none"/>
                    </w:rPr>
                    <w:t>的评审</w:t>
                  </w:r>
                </w:p>
              </w:tc>
              <w:tc>
                <w:tcPr>
                  <w:tcW w:w="1943" w:type="dxa"/>
                </w:tcPr>
                <w:p>
                  <w:pPr>
                    <w:widowControl/>
                    <w:spacing w:before="40"/>
                    <w:jc w:val="left"/>
                    <w:rPr>
                      <w:color w:val="000000"/>
                      <w:szCs w:val="21"/>
                      <w:highlight w:val="none"/>
                    </w:rPr>
                  </w:pPr>
                  <w:r>
                    <w:rPr>
                      <w:rFonts w:hint="eastAsia"/>
                      <w:color w:val="000000"/>
                      <w:szCs w:val="21"/>
                      <w:highlight w:val="none"/>
                    </w:rPr>
                    <w:t>☑符合 □不符合</w:t>
                  </w:r>
                </w:p>
              </w:tc>
              <w:tc>
                <w:tcPr>
                  <w:tcW w:w="224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顾客反馈的沟通活动</w:t>
                  </w:r>
                  <w:r>
                    <w:rPr>
                      <w:rFonts w:hint="eastAsia"/>
                      <w:color w:val="000000"/>
                      <w:szCs w:val="21"/>
                      <w:highlight w:val="none"/>
                    </w:rPr>
                    <w:t>的评审</w:t>
                  </w:r>
                </w:p>
              </w:tc>
              <w:tc>
                <w:tcPr>
                  <w:tcW w:w="1943" w:type="dxa"/>
                </w:tcPr>
                <w:p>
                  <w:pPr>
                    <w:widowControl/>
                    <w:spacing w:before="40"/>
                    <w:jc w:val="left"/>
                    <w:rPr>
                      <w:color w:val="000000"/>
                      <w:szCs w:val="21"/>
                      <w:highlight w:val="none"/>
                    </w:rPr>
                  </w:pPr>
                  <w:r>
                    <w:rPr>
                      <w:rFonts w:hint="eastAsia"/>
                      <w:color w:val="000000"/>
                      <w:szCs w:val="21"/>
                      <w:highlight w:val="none"/>
                    </w:rPr>
                    <w:t>☑符合 □不符合</w:t>
                  </w:r>
                </w:p>
              </w:tc>
              <w:tc>
                <w:tcPr>
                  <w:tcW w:w="224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tcPr>
                <w:p>
                  <w:pPr>
                    <w:widowControl/>
                    <w:spacing w:before="40"/>
                    <w:jc w:val="left"/>
                    <w:rPr>
                      <w:highlight w:val="none"/>
                    </w:rPr>
                  </w:pPr>
                  <w:r>
                    <w:rPr>
                      <w:rFonts w:hint="eastAsia"/>
                      <w:color w:val="000000"/>
                      <w:szCs w:val="21"/>
                      <w:highlight w:val="none"/>
                    </w:rPr>
                    <w:t>☑</w:t>
                  </w:r>
                  <w:r>
                    <w:rPr>
                      <w:color w:val="000000"/>
                      <w:szCs w:val="21"/>
                      <w:highlight w:val="none"/>
                    </w:rPr>
                    <w:t>紧急情况、 事故或撤回</w:t>
                  </w:r>
                  <w:r>
                    <w:rPr>
                      <w:rFonts w:hint="eastAsia"/>
                      <w:color w:val="000000"/>
                      <w:szCs w:val="21"/>
                      <w:highlight w:val="none"/>
                    </w:rPr>
                    <w:t>的评审</w:t>
                  </w:r>
                </w:p>
              </w:tc>
              <w:tc>
                <w:tcPr>
                  <w:tcW w:w="1943" w:type="dxa"/>
                </w:tcPr>
                <w:p>
                  <w:pPr>
                    <w:widowControl/>
                    <w:spacing w:before="40"/>
                    <w:jc w:val="left"/>
                    <w:rPr>
                      <w:color w:val="000000"/>
                      <w:szCs w:val="21"/>
                      <w:highlight w:val="none"/>
                    </w:rPr>
                  </w:pPr>
                  <w:r>
                    <w:rPr>
                      <w:rFonts w:hint="eastAsia"/>
                      <w:color w:val="000000"/>
                      <w:szCs w:val="21"/>
                      <w:highlight w:val="none"/>
                    </w:rPr>
                    <w:t>☑符合 □不符合</w:t>
                  </w:r>
                </w:p>
              </w:tc>
              <w:tc>
                <w:tcPr>
                  <w:tcW w:w="224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tcPr>
                <w:p>
                  <w:pPr>
                    <w:widowControl/>
                    <w:spacing w:before="40"/>
                    <w:jc w:val="left"/>
                    <w:rPr>
                      <w:highlight w:val="none"/>
                    </w:rPr>
                  </w:pPr>
                  <w:r>
                    <w:rPr>
                      <w:rFonts w:hint="eastAsia"/>
                      <w:color w:val="000000"/>
                      <w:szCs w:val="21"/>
                      <w:highlight w:val="none"/>
                    </w:rPr>
                    <w:t>☑</w:t>
                  </w:r>
                  <w:r>
                    <w:rPr>
                      <w:color w:val="000000"/>
                      <w:szCs w:val="21"/>
                      <w:highlight w:val="none"/>
                    </w:rPr>
                    <w:t>持续改进的机会</w:t>
                  </w:r>
                  <w:r>
                    <w:rPr>
                      <w:rFonts w:hint="eastAsia"/>
                      <w:color w:val="000000"/>
                      <w:szCs w:val="21"/>
                      <w:highlight w:val="none"/>
                    </w:rPr>
                    <w:t>的评审</w:t>
                  </w:r>
                </w:p>
              </w:tc>
              <w:tc>
                <w:tcPr>
                  <w:tcW w:w="1943" w:type="dxa"/>
                </w:tcPr>
                <w:p>
                  <w:pPr>
                    <w:widowControl/>
                    <w:spacing w:before="40"/>
                    <w:jc w:val="left"/>
                    <w:rPr>
                      <w:color w:val="000000"/>
                      <w:szCs w:val="21"/>
                      <w:highlight w:val="none"/>
                    </w:rPr>
                  </w:pPr>
                  <w:r>
                    <w:rPr>
                      <w:rFonts w:hint="eastAsia"/>
                      <w:color w:val="000000"/>
                      <w:szCs w:val="21"/>
                      <w:highlight w:val="none"/>
                    </w:rPr>
                    <w:t>☑符合 □不符合</w:t>
                  </w:r>
                </w:p>
              </w:tc>
              <w:tc>
                <w:tcPr>
                  <w:tcW w:w="224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tcPr>
                <w:p>
                  <w:pPr>
                    <w:widowControl/>
                    <w:spacing w:before="40"/>
                    <w:jc w:val="left"/>
                    <w:rPr>
                      <w:highlight w:val="none"/>
                    </w:rPr>
                  </w:pPr>
                  <w:r>
                    <w:rPr>
                      <w:rFonts w:hint="eastAsia"/>
                      <w:color w:val="000000"/>
                      <w:szCs w:val="21"/>
                      <w:highlight w:val="none"/>
                    </w:rPr>
                    <w:t>☑</w:t>
                  </w:r>
                  <w:r>
                    <w:rPr>
                      <w:rFonts w:hint="eastAsia"/>
                      <w:highlight w:val="none"/>
                    </w:rPr>
                    <w:t>资源的充分性</w:t>
                  </w:r>
                </w:p>
              </w:tc>
              <w:tc>
                <w:tcPr>
                  <w:tcW w:w="1943" w:type="dxa"/>
                </w:tcPr>
                <w:p>
                  <w:pPr>
                    <w:widowControl/>
                    <w:spacing w:before="40"/>
                    <w:jc w:val="left"/>
                    <w:rPr>
                      <w:color w:val="000000"/>
                      <w:szCs w:val="21"/>
                      <w:highlight w:val="none"/>
                    </w:rPr>
                  </w:pPr>
                  <w:r>
                    <w:rPr>
                      <w:rFonts w:hint="eastAsia"/>
                      <w:color w:val="000000"/>
                      <w:szCs w:val="21"/>
                      <w:highlight w:val="none"/>
                    </w:rPr>
                    <w:t>☑符合 □不符合</w:t>
                  </w:r>
                </w:p>
              </w:tc>
              <w:tc>
                <w:tcPr>
                  <w:tcW w:w="2246" w:type="dxa"/>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tcPr>
                <w:p>
                  <w:pPr>
                    <w:widowControl/>
                    <w:spacing w:before="40"/>
                    <w:jc w:val="left"/>
                    <w:rPr>
                      <w:highlight w:val="none"/>
                    </w:rPr>
                  </w:pPr>
                  <w:r>
                    <w:rPr>
                      <w:rFonts w:hint="eastAsia"/>
                      <w:color w:val="000000"/>
                      <w:szCs w:val="21"/>
                      <w:highlight w:val="none"/>
                    </w:rPr>
                    <w:t>☑</w:t>
                  </w:r>
                  <w:r>
                    <w:rPr>
                      <w:color w:val="000000"/>
                      <w:szCs w:val="21"/>
                      <w:highlight w:val="none"/>
                    </w:rPr>
                    <w:t>为应对风险和机遇所采取措施的有效性</w:t>
                  </w:r>
                </w:p>
              </w:tc>
              <w:tc>
                <w:tcPr>
                  <w:tcW w:w="1943" w:type="dxa"/>
                </w:tcPr>
                <w:p>
                  <w:pPr>
                    <w:widowControl/>
                    <w:spacing w:before="40"/>
                    <w:jc w:val="left"/>
                    <w:rPr>
                      <w:color w:val="000000"/>
                      <w:szCs w:val="21"/>
                      <w:highlight w:val="none"/>
                    </w:rPr>
                  </w:pPr>
                  <w:r>
                    <w:rPr>
                      <w:rFonts w:hint="eastAsia"/>
                      <w:color w:val="000000"/>
                      <w:szCs w:val="21"/>
                      <w:highlight w:val="none"/>
                    </w:rPr>
                    <w:t>☑符合 □不符合</w:t>
                  </w:r>
                </w:p>
              </w:tc>
              <w:tc>
                <w:tcPr>
                  <w:tcW w:w="2246" w:type="dxa"/>
                </w:tcPr>
                <w:p>
                  <w:pPr>
                    <w:widowControl/>
                    <w:spacing w:before="40"/>
                    <w:jc w:val="left"/>
                    <w:rPr>
                      <w:color w:val="000000"/>
                      <w:szCs w:val="21"/>
                      <w:highlight w:val="none"/>
                    </w:rPr>
                  </w:pPr>
                </w:p>
              </w:tc>
            </w:tr>
          </w:tbl>
          <w:p>
            <w:pPr>
              <w:pStyle w:val="6"/>
              <w:rPr>
                <w:rFonts w:hint="default"/>
                <w:lang w:val="en-US" w:eastAsia="zh-CN"/>
              </w:rPr>
            </w:pPr>
          </w:p>
          <w:p>
            <w:pPr>
              <w:pStyle w:val="6"/>
              <w:rPr>
                <w:rFonts w:hint="default"/>
                <w:lang w:val="en-US" w:eastAsia="zh-CN"/>
              </w:rPr>
            </w:pPr>
          </w:p>
          <w:p>
            <w:pPr>
              <w:widowControl/>
              <w:spacing w:before="40"/>
              <w:jc w:val="left"/>
              <w:rPr>
                <w:color w:val="000000"/>
                <w:szCs w:val="21"/>
                <w:highlight w:val="none"/>
                <w:u w:val="single"/>
              </w:rPr>
            </w:pPr>
            <w:r>
              <w:rPr>
                <w:rFonts w:hint="eastAsia"/>
                <w:color w:val="000000"/>
                <w:szCs w:val="21"/>
                <w:highlight w:val="none"/>
              </w:rPr>
              <w:t>对食品安全管理体系的持续适宜性，充分性，有效性的结论。</w:t>
            </w:r>
            <w:r>
              <w:rPr>
                <w:rFonts w:hint="eastAsia"/>
                <w:color w:val="000000"/>
                <w:szCs w:val="21"/>
                <w:highlight w:val="none"/>
              </w:rPr>
              <w:sym w:font="Wingdings 2" w:char="0052"/>
            </w:r>
            <w:r>
              <w:rPr>
                <w:rFonts w:hint="eastAsia"/>
                <w:highlight w:val="none"/>
              </w:rPr>
              <w:t>满足</w:t>
            </w:r>
            <w:r>
              <w:rPr>
                <w:rFonts w:hint="eastAsia"/>
                <w:color w:val="000000"/>
                <w:szCs w:val="21"/>
                <w:highlight w:val="none"/>
              </w:rPr>
              <w:t xml:space="preserve"> □</w:t>
            </w:r>
            <w:r>
              <w:rPr>
                <w:rFonts w:hint="eastAsia"/>
                <w:highlight w:val="none"/>
              </w:rPr>
              <w:t>不满足，说明</w:t>
            </w:r>
            <w:r>
              <w:rPr>
                <w:rFonts w:hint="eastAsia"/>
                <w:highlight w:val="none"/>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18"/>
                      <w:highlight w:val="none"/>
                    </w:rPr>
                    <w:t>管理评审输出信息（决策）</w:t>
                  </w:r>
                </w:p>
              </w:tc>
              <w:tc>
                <w:tcPr>
                  <w:tcW w:w="3695" w:type="dxa"/>
                </w:tcPr>
                <w:p>
                  <w:pPr>
                    <w:widowControl/>
                    <w:spacing w:before="40"/>
                    <w:jc w:val="left"/>
                    <w:rPr>
                      <w:color w:val="000000"/>
                      <w:szCs w:val="21"/>
                      <w:highlight w:val="none"/>
                    </w:rPr>
                  </w:pPr>
                  <w:r>
                    <w:rPr>
                      <w:rFonts w:hint="eastAsia"/>
                      <w:color w:val="000000"/>
                      <w:szCs w:val="21"/>
                      <w:highlight w:val="none"/>
                    </w:rPr>
                    <w:t>措施描述（举例）</w:t>
                  </w:r>
                </w:p>
              </w:tc>
              <w:tc>
                <w:tcPr>
                  <w:tcW w:w="2496" w:type="dxa"/>
                </w:tcPr>
                <w:p>
                  <w:pPr>
                    <w:widowControl/>
                    <w:spacing w:before="40"/>
                    <w:jc w:val="left"/>
                    <w:rPr>
                      <w:color w:val="000000"/>
                      <w:szCs w:val="21"/>
                      <w:highlight w:val="none"/>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与持续改进机会相关的决策</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质检部在2023年1月31日前组织完成一次ISO9001、ISO22000：2018标准的培训</w:t>
                  </w:r>
                </w:p>
              </w:tc>
              <w:tc>
                <w:tcPr>
                  <w:tcW w:w="2496"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sym w:font="Wingdings 2" w:char="0052"/>
                  </w:r>
                  <w:r>
                    <w:rPr>
                      <w:rFonts w:hint="eastAsia"/>
                      <w:highlight w:val="none"/>
                    </w:rPr>
                    <w:t>已落实</w:t>
                  </w:r>
                  <w:r>
                    <w:rPr>
                      <w:rFonts w:hint="eastAsia"/>
                      <w:color w:val="000000"/>
                      <w:szCs w:val="21"/>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食品安全管理体系所需的变更</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资源需求</w:t>
                  </w:r>
                </w:p>
              </w:tc>
              <w:tc>
                <w:tcPr>
                  <w:tcW w:w="3695" w:type="dxa"/>
                </w:tcPr>
                <w:p>
                  <w:pPr>
                    <w:widowControl/>
                    <w:spacing w:before="40"/>
                    <w:jc w:val="left"/>
                    <w:rPr>
                      <w:rFonts w:hint="eastAsia" w:eastAsia="宋体"/>
                      <w:color w:val="000000"/>
                      <w:szCs w:val="21"/>
                      <w:highlight w:val="none"/>
                      <w:lang w:eastAsia="zh-CN"/>
                    </w:rPr>
                  </w:pPr>
                  <w:r>
                    <w:rPr>
                      <w:rFonts w:hint="eastAsia"/>
                      <w:color w:val="000000"/>
                      <w:szCs w:val="21"/>
                      <w:highlight w:val="none"/>
                      <w:lang w:val="en-US" w:eastAsia="zh-CN"/>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color w:val="000000"/>
                      <w:szCs w:val="21"/>
                      <w:highlight w:val="none"/>
                    </w:rPr>
                    <w:sym w:font="Wingdings 2" w:char="00A3"/>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食品安全目标未实现所采取的措施。（需要时）</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改进食品安全管理体系与其他业务过程融合的机会。（需要时）</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任何与组织战略方向相关的结论</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bl>
          <w:p>
            <w:pPr>
              <w:rPr>
                <w:highlight w:val="none"/>
              </w:rPr>
            </w:pPr>
          </w:p>
          <w:p>
            <w:pPr>
              <w:rPr>
                <w:highlight w:val="none"/>
                <w:u w:val="single"/>
              </w:rPr>
            </w:pPr>
            <w:r>
              <w:rPr>
                <w:rFonts w:hint="eastAsia"/>
                <w:highlight w:val="none"/>
              </w:rPr>
              <w:sym w:font="Wingdings" w:char="00A8"/>
            </w:r>
            <w:r>
              <w:rPr>
                <w:rFonts w:hint="eastAsia"/>
                <w:highlight w:val="none"/>
              </w:rPr>
              <w:t>改进措施未落实的原因：</w:t>
            </w:r>
            <w:r>
              <w:rPr>
                <w:rFonts w:hint="eastAsia"/>
                <w:highlight w:val="none"/>
                <w:u w:val="single"/>
              </w:rPr>
              <w:t xml:space="preserve">    </w:t>
            </w:r>
            <w:r>
              <w:rPr>
                <w:rFonts w:hint="eastAsia"/>
                <w:highlight w:val="none"/>
                <w:u w:val="single"/>
                <w:lang w:eastAsia="zh-CN"/>
              </w:rPr>
              <w:t>——</w:t>
            </w:r>
            <w:r>
              <w:rPr>
                <w:rFonts w:hint="eastAsia"/>
                <w:highlight w:val="none"/>
                <w:u w:val="single"/>
              </w:rPr>
              <w:t xml:space="preserve">             </w:t>
            </w:r>
          </w:p>
          <w:p>
            <w:pPr>
              <w:rPr>
                <w:rFonts w:hint="eastAsia" w:eastAsia="宋体"/>
                <w:highlight w:val="none"/>
                <w:lang w:eastAsia="zh-CN"/>
              </w:rPr>
            </w:pPr>
          </w:p>
        </w:tc>
        <w:tc>
          <w:tcPr>
            <w:tcW w:w="1589" w:type="dxa"/>
            <w:gridSpan w:val="3"/>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2164" w:type="dxa"/>
            <w:gridSpan w:val="2"/>
            <w:vMerge w:val="restart"/>
            <w:shd w:val="clear" w:color="auto" w:fill="auto"/>
          </w:tcPr>
          <w:p>
            <w:r>
              <w:rPr>
                <w:rFonts w:hint="eastAsia"/>
              </w:rPr>
              <w:t>改进</w:t>
            </w:r>
          </w:p>
        </w:tc>
        <w:tc>
          <w:tcPr>
            <w:tcW w:w="960" w:type="dxa"/>
            <w:vMerge w:val="restart"/>
            <w:shd w:val="clear" w:color="auto" w:fill="auto"/>
          </w:tcPr>
          <w:p>
            <w:r>
              <w:rPr>
                <w:rFonts w:hint="eastAsia"/>
              </w:rPr>
              <w:t>Q10.1</w:t>
            </w:r>
          </w:p>
        </w:tc>
        <w:tc>
          <w:tcPr>
            <w:tcW w:w="745" w:type="dxa"/>
            <w:shd w:val="clear" w:color="auto" w:fill="auto"/>
          </w:tcPr>
          <w:p>
            <w:r>
              <w:rPr>
                <w:rFonts w:hint="eastAsia"/>
              </w:rPr>
              <w:t>文件名称</w:t>
            </w:r>
          </w:p>
        </w:tc>
        <w:tc>
          <w:tcPr>
            <w:tcW w:w="9256" w:type="dxa"/>
            <w:shd w:val="clear" w:color="auto" w:fill="auto"/>
          </w:tcPr>
          <w:p>
            <w:pPr>
              <w:rPr>
                <w:rFonts w:hint="default"/>
                <w:lang w:val="en-US"/>
              </w:rPr>
            </w:pPr>
            <w:r>
              <w:rPr>
                <w:rFonts w:hint="eastAsia"/>
              </w:rPr>
              <w:t>如：</w:t>
            </w:r>
            <w:r>
              <w:rPr>
                <w:rFonts w:hint="eastAsia"/>
              </w:rPr>
              <w:sym w:font="Wingdings" w:char="00FE"/>
            </w:r>
            <w:r>
              <w:rPr>
                <w:rFonts w:hint="eastAsia"/>
                <w:lang w:eastAsia="zh-CN"/>
              </w:rPr>
              <w:t>《</w:t>
            </w:r>
            <w:r>
              <w:rPr>
                <w:rFonts w:hint="eastAsia"/>
                <w:lang w:val="en-US" w:eastAsia="zh-CN"/>
              </w:rPr>
              <w:t>质量与食品安全</w:t>
            </w:r>
            <w:r>
              <w:rPr>
                <w:rFonts w:hint="eastAsia"/>
              </w:rPr>
              <w:t>管理手册</w:t>
            </w:r>
            <w:r>
              <w:rPr>
                <w:rFonts w:hint="eastAsia"/>
                <w:lang w:eastAsia="zh-CN"/>
              </w:rPr>
              <w:t>》</w:t>
            </w:r>
            <w:r>
              <w:rPr>
                <w:rFonts w:hint="eastAsia"/>
                <w:lang w:val="en-US" w:eastAsia="zh-CN"/>
              </w:rPr>
              <w:t>第10.1条款</w:t>
            </w:r>
          </w:p>
        </w:tc>
        <w:tc>
          <w:tcPr>
            <w:tcW w:w="1589" w:type="dxa"/>
            <w:gridSpan w:val="3"/>
            <w:vMerge w:val="restart"/>
            <w:shd w:val="clear" w:color="auto" w:fill="auto"/>
          </w:tcPr>
          <w:p>
            <w:r>
              <w:rPr/>
              <w:sym w:font="Wingdings" w:char="00FE"/>
            </w:r>
            <w:r>
              <w:rPr>
                <w:rFonts w:hint="eastAsia"/>
              </w:rPr>
              <w:t>符合</w:t>
            </w:r>
          </w:p>
          <w:p>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1" w:hRule="atLeast"/>
        </w:trPr>
        <w:tc>
          <w:tcPr>
            <w:tcW w:w="2164" w:type="dxa"/>
            <w:gridSpan w:val="2"/>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r>
              <w:rPr>
                <w:rFonts w:hint="eastAsia"/>
              </w:rPr>
              <w:t xml:space="preserve">组织确定和选择了改进机会，并采取必要措施，以满足顾客要求和增强顾客满意。 </w:t>
            </w:r>
          </w:p>
          <w:p>
            <w:r>
              <w:rPr>
                <w:rFonts w:hint="eastAsia"/>
              </w:rPr>
              <w:t xml:space="preserve">这包括： </w:t>
            </w:r>
          </w:p>
          <w:p>
            <w:r>
              <w:rPr>
                <w:rFonts w:hint="eastAsia"/>
              </w:rPr>
              <w:sym w:font="Wingdings" w:char="00FE"/>
            </w:r>
            <w:r>
              <w:rPr>
                <w:rFonts w:hint="eastAsia"/>
              </w:rPr>
              <w:t xml:space="preserve">改进产品和服务，以满足要求并应对未来的需求和期望； </w:t>
            </w:r>
          </w:p>
          <w:p>
            <w:r>
              <w:rPr>
                <w:rFonts w:hint="eastAsia"/>
              </w:rPr>
              <w:sym w:font="Wingdings" w:char="00FE"/>
            </w:r>
            <w:r>
              <w:rPr>
                <w:rFonts w:hint="eastAsia"/>
              </w:rPr>
              <w:t xml:space="preserve">纠正、预防或减少不利影响； </w:t>
            </w:r>
          </w:p>
          <w:p>
            <w:r>
              <w:rPr>
                <w:rFonts w:hint="eastAsia"/>
              </w:rPr>
              <w:sym w:font="Wingdings" w:char="00FE"/>
            </w:r>
            <w:r>
              <w:rPr>
                <w:rFonts w:hint="eastAsia"/>
              </w:rPr>
              <w:t xml:space="preserve">改进质量管理体系的绩效和有效性。 </w:t>
            </w:r>
          </w:p>
          <w:p/>
          <w:p>
            <w:r>
              <w:rPr>
                <w:rFonts w:hint="eastAsia"/>
              </w:rPr>
              <w:t>改进包括：</w:t>
            </w:r>
            <w:r>
              <w:rPr>
                <w:rFonts w:hint="eastAsia"/>
              </w:rPr>
              <w:sym w:font="Wingdings" w:char="00FE"/>
            </w:r>
            <w:r>
              <w:rPr>
                <w:rFonts w:hint="eastAsia"/>
              </w:rPr>
              <w:t>纠正、</w:t>
            </w:r>
            <w:r>
              <w:rPr>
                <w:rFonts w:hint="eastAsia"/>
              </w:rPr>
              <w:sym w:font="Wingdings" w:char="00FE"/>
            </w:r>
            <w:r>
              <w:rPr>
                <w:rFonts w:hint="eastAsia"/>
              </w:rPr>
              <w:t>纠正措施、</w:t>
            </w:r>
            <w:r>
              <w:rPr>
                <w:rFonts w:hint="eastAsia"/>
              </w:rPr>
              <w:sym w:font="Wingdings" w:char="00FE"/>
            </w:r>
            <w:r>
              <w:rPr>
                <w:rFonts w:hint="eastAsia"/>
              </w:rPr>
              <w:t>持续改进、</w:t>
            </w:r>
            <w:r>
              <w:rPr>
                <w:rFonts w:hint="eastAsia"/>
              </w:rPr>
              <w:sym w:font="Wingdings" w:char="00A8"/>
            </w:r>
            <w:r>
              <w:rPr>
                <w:rFonts w:hint="eastAsia"/>
              </w:rPr>
              <w:t>突破性变革、</w:t>
            </w:r>
            <w:r>
              <w:rPr>
                <w:rFonts w:hint="eastAsia"/>
              </w:rPr>
              <w:sym w:font="Wingdings" w:char="00A8"/>
            </w:r>
            <w:r>
              <w:rPr>
                <w:rFonts w:hint="eastAsia"/>
              </w:rPr>
              <w:t xml:space="preserve">创新和重组。 </w:t>
            </w:r>
          </w:p>
        </w:tc>
        <w:tc>
          <w:tcPr>
            <w:tcW w:w="1589" w:type="dxa"/>
            <w:gridSpan w:val="3"/>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5" w:type="dxa"/>
          <w:wAfter w:w="2" w:type="dxa"/>
          <w:trHeight w:val="461" w:hRule="atLeast"/>
        </w:trPr>
        <w:tc>
          <w:tcPr>
            <w:tcW w:w="2159" w:type="dxa"/>
            <w:vMerge w:val="restart"/>
            <w:shd w:val="clear" w:color="auto" w:fill="auto"/>
          </w:tcPr>
          <w:p>
            <w:r>
              <w:rPr>
                <w:rFonts w:hint="eastAsia"/>
              </w:rPr>
              <w:t>不符合与纠正措施</w:t>
            </w:r>
          </w:p>
        </w:tc>
        <w:tc>
          <w:tcPr>
            <w:tcW w:w="960" w:type="dxa"/>
            <w:vMerge w:val="restart"/>
            <w:shd w:val="clear" w:color="auto" w:fill="auto"/>
          </w:tcPr>
          <w:p>
            <w:pPr>
              <w:rPr>
                <w:rFonts w:hint="eastAsia"/>
              </w:rPr>
            </w:pPr>
            <w:r>
              <w:rPr>
                <w:rFonts w:hint="eastAsia"/>
              </w:rPr>
              <w:t>F10.1</w:t>
            </w:r>
          </w:p>
          <w:p>
            <w:pPr>
              <w:pStyle w:val="6"/>
              <w:rPr>
                <w:rFonts w:hint="default" w:eastAsia="宋体"/>
                <w:lang w:val="en-US" w:eastAsia="zh-CN"/>
              </w:rPr>
            </w:pPr>
            <w:r>
              <w:rPr>
                <w:rFonts w:hint="eastAsia"/>
                <w:lang w:val="en-US" w:eastAsia="zh-CN"/>
              </w:rPr>
              <w:t>Q10.2</w:t>
            </w:r>
          </w:p>
          <w:p>
            <w:pPr>
              <w:rPr>
                <w:rFonts w:hint="default" w:eastAsia="宋体"/>
                <w:lang w:val="en-US" w:eastAsia="zh-CN"/>
              </w:rPr>
            </w:pPr>
          </w:p>
        </w:tc>
        <w:tc>
          <w:tcPr>
            <w:tcW w:w="745" w:type="dxa"/>
            <w:shd w:val="clear" w:color="auto" w:fill="auto"/>
          </w:tcPr>
          <w:p>
            <w:r>
              <w:rPr>
                <w:rFonts w:hint="eastAsia"/>
              </w:rPr>
              <w:t>文件名称</w:t>
            </w:r>
          </w:p>
        </w:tc>
        <w:tc>
          <w:tcPr>
            <w:tcW w:w="9258" w:type="dxa"/>
            <w:gridSpan w:val="2"/>
            <w:shd w:val="clear" w:color="auto" w:fill="auto"/>
          </w:tcPr>
          <w:p>
            <w:pPr>
              <w:rPr>
                <w:rFonts w:hint="eastAsia" w:eastAsia="宋体"/>
                <w:lang w:eastAsia="zh-CN"/>
              </w:rPr>
            </w:pPr>
            <w:r>
              <w:rPr/>
              <w:sym w:font="Wingdings" w:char="00FE"/>
            </w:r>
            <w:r>
              <w:rPr>
                <w:rFonts w:hint="eastAsia"/>
              </w:rPr>
              <w:t>《纠正和</w:t>
            </w:r>
            <w:r>
              <w:rPr>
                <w:rFonts w:hint="eastAsia"/>
                <w:lang w:val="en-US" w:eastAsia="zh-CN"/>
              </w:rPr>
              <w:t>纠正</w:t>
            </w:r>
            <w:r>
              <w:rPr>
                <w:rFonts w:hint="eastAsia"/>
              </w:rPr>
              <w:t>措施控制程序》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5" w:type="dxa"/>
          <w:wAfter w:w="2" w:type="dxa"/>
          <w:trHeight w:val="2487" w:hRule="atLeast"/>
        </w:trPr>
        <w:tc>
          <w:tcPr>
            <w:tcW w:w="2159" w:type="dxa"/>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8" w:type="dxa"/>
            <w:gridSpan w:val="2"/>
            <w:shd w:val="clear" w:color="auto" w:fill="auto"/>
          </w:tcPr>
          <w:p>
            <w:r>
              <w:rPr>
                <w:rFonts w:hint="eastAsia"/>
              </w:rPr>
              <w:t>不符合的来源：</w:t>
            </w:r>
          </w:p>
          <w:p>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FE"/>
            </w:r>
            <w:r>
              <w:rPr>
                <w:rFonts w:hint="eastAsia"/>
              </w:rPr>
              <w:t xml:space="preserve">内审  </w:t>
            </w:r>
          </w:p>
          <w:p>
            <w:pPr>
              <w:rPr>
                <w:highlight w:val="none"/>
                <w:u w:val="single"/>
              </w:rPr>
            </w:pPr>
            <w:r>
              <w:rPr>
                <w:rFonts w:hint="eastAsia"/>
                <w:highlight w:val="none"/>
              </w:rPr>
              <w:t>抽查采取纠正措施相关记录名称：</w:t>
            </w:r>
            <w:r>
              <w:rPr>
                <w:rFonts w:hint="eastAsia"/>
                <w:highlight w:val="none"/>
                <w:u w:val="single"/>
              </w:rPr>
              <w:t xml:space="preserve"> </w:t>
            </w:r>
            <w:r>
              <w:rPr>
                <w:highlight w:val="none"/>
                <w:u w:val="single"/>
              </w:rPr>
              <w:t xml:space="preserve"> </w:t>
            </w:r>
            <w:r>
              <w:rPr>
                <w:rFonts w:hint="eastAsia"/>
                <w:highlight w:val="none"/>
                <w:u w:val="single"/>
                <w:lang w:eastAsia="zh-CN"/>
              </w:rPr>
              <w:t>《</w:t>
            </w:r>
            <w:r>
              <w:rPr>
                <w:rFonts w:hint="eastAsia"/>
                <w:highlight w:val="none"/>
                <w:u w:val="single"/>
                <w:lang w:val="en-US" w:eastAsia="zh-CN"/>
              </w:rPr>
              <w:t>见综合部审核F10.1/Q10.2条款审核记录</w:t>
            </w:r>
            <w:r>
              <w:rPr>
                <w:rFonts w:hint="eastAsia"/>
                <w:highlight w:val="none"/>
                <w:u w:val="single"/>
                <w:lang w:eastAsia="zh-CN"/>
              </w:rPr>
              <w:t>》</w:t>
            </w:r>
            <w:r>
              <w:rPr>
                <w:rFonts w:hint="eastAsia"/>
                <w:highlight w:val="none"/>
                <w:u w:val="single"/>
              </w:rPr>
              <w:t xml:space="preserve"> </w:t>
            </w:r>
            <w:r>
              <w:rPr>
                <w:highlight w:val="none"/>
                <w:u w:val="single"/>
              </w:rPr>
              <w:t xml:space="preserve"> </w:t>
            </w:r>
            <w:r>
              <w:rPr>
                <w:rFonts w:hint="eastAsia"/>
                <w:highlight w:val="none"/>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1505"/>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Pr>
                <w:p>
                  <w:pPr>
                    <w:rPr>
                      <w:highlight w:val="none"/>
                    </w:rPr>
                  </w:pPr>
                  <w:r>
                    <w:rPr>
                      <w:rFonts w:hint="eastAsia"/>
                      <w:highlight w:val="none"/>
                    </w:rPr>
                    <w:t>日期</w:t>
                  </w:r>
                </w:p>
              </w:tc>
              <w:tc>
                <w:tcPr>
                  <w:tcW w:w="1505" w:type="dxa"/>
                </w:tcPr>
                <w:p>
                  <w:pPr>
                    <w:rPr>
                      <w:highlight w:val="none"/>
                    </w:rPr>
                  </w:pPr>
                  <w:r>
                    <w:rPr>
                      <w:rFonts w:hint="eastAsia"/>
                      <w:highlight w:val="none"/>
                    </w:rPr>
                    <w:t>不符合描述</w:t>
                  </w:r>
                </w:p>
              </w:tc>
              <w:tc>
                <w:tcPr>
                  <w:tcW w:w="1507" w:type="dxa"/>
                </w:tcPr>
                <w:p>
                  <w:pPr>
                    <w:rPr>
                      <w:highlight w:val="none"/>
                    </w:rPr>
                  </w:pPr>
                  <w:r>
                    <w:rPr>
                      <w:rFonts w:hint="eastAsia"/>
                      <w:highlight w:val="none"/>
                    </w:rPr>
                    <w:t>不符合纠正</w:t>
                  </w:r>
                </w:p>
              </w:tc>
              <w:tc>
                <w:tcPr>
                  <w:tcW w:w="1507" w:type="dxa"/>
                </w:tcPr>
                <w:p>
                  <w:pPr>
                    <w:rPr>
                      <w:highlight w:val="none"/>
                    </w:rPr>
                  </w:pPr>
                  <w:r>
                    <w:rPr>
                      <w:rFonts w:hint="eastAsia"/>
                      <w:highlight w:val="none"/>
                    </w:rPr>
                    <w:t>原因分析</w:t>
                  </w:r>
                </w:p>
              </w:tc>
              <w:tc>
                <w:tcPr>
                  <w:tcW w:w="1507" w:type="dxa"/>
                </w:tcPr>
                <w:p>
                  <w:pPr>
                    <w:rPr>
                      <w:highlight w:val="none"/>
                    </w:rPr>
                  </w:pPr>
                  <w:r>
                    <w:rPr>
                      <w:rFonts w:hint="eastAsia"/>
                      <w:highlight w:val="none"/>
                    </w:rPr>
                    <w:t>纠正措施</w:t>
                  </w:r>
                </w:p>
              </w:tc>
              <w:tc>
                <w:tcPr>
                  <w:tcW w:w="1508" w:type="dxa"/>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Pr>
                <w:p>
                  <w:pPr>
                    <w:rPr>
                      <w:rFonts w:hint="default" w:eastAsia="宋体"/>
                      <w:highlight w:val="none"/>
                      <w:lang w:val="en-US" w:eastAsia="zh-CN"/>
                    </w:rPr>
                  </w:pPr>
                  <w:r>
                    <w:rPr>
                      <w:rFonts w:hint="eastAsia"/>
                      <w:highlight w:val="none"/>
                      <w:lang w:val="en-US" w:eastAsia="zh-CN"/>
                    </w:rPr>
                    <w:t>——</w:t>
                  </w:r>
                </w:p>
              </w:tc>
              <w:tc>
                <w:tcPr>
                  <w:tcW w:w="1505" w:type="dxa"/>
                </w:tcPr>
                <w:p>
                  <w:pPr>
                    <w:rPr>
                      <w:highlight w:val="none"/>
                    </w:rPr>
                  </w:pPr>
                </w:p>
              </w:tc>
              <w:tc>
                <w:tcPr>
                  <w:tcW w:w="1507" w:type="dxa"/>
                </w:tcPr>
                <w:p>
                  <w:pPr>
                    <w:rPr>
                      <w:highlight w:val="none"/>
                    </w:rPr>
                  </w:pPr>
                </w:p>
              </w:tc>
              <w:tc>
                <w:tcPr>
                  <w:tcW w:w="1507" w:type="dxa"/>
                </w:tcPr>
                <w:p>
                  <w:pPr>
                    <w:rPr>
                      <w:highlight w:val="none"/>
                    </w:rPr>
                  </w:pPr>
                </w:p>
              </w:tc>
              <w:tc>
                <w:tcPr>
                  <w:tcW w:w="1507" w:type="dxa"/>
                </w:tcPr>
                <w:p>
                  <w:pPr>
                    <w:pStyle w:val="8"/>
                    <w:numPr>
                      <w:ilvl w:val="0"/>
                      <w:numId w:val="0"/>
                    </w:numPr>
                    <w:rPr>
                      <w:rFonts w:hint="eastAsia"/>
                      <w:highlight w:val="none"/>
                      <w:lang w:eastAsia="zh-CN"/>
                    </w:rPr>
                  </w:pPr>
                </w:p>
              </w:tc>
              <w:tc>
                <w:tcPr>
                  <w:tcW w:w="1508"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未再次发生</w:t>
                  </w:r>
                </w:p>
                <w:p>
                  <w:pPr>
                    <w:rPr>
                      <w:highlight w:val="none"/>
                    </w:rPr>
                  </w:pPr>
                  <w:r>
                    <w:rPr>
                      <w:rFonts w:hint="eastAsia"/>
                      <w:highlight w:val="none"/>
                    </w:rPr>
                    <w:sym w:font="Wingdings" w:char="00A8"/>
                  </w:r>
                  <w:r>
                    <w:rPr>
                      <w:rFonts w:hint="eastAsia"/>
                      <w:highlight w:val="none"/>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Pr>
                <w:p>
                  <w:pPr>
                    <w:rPr>
                      <w:rFonts w:hint="default" w:eastAsia="宋体"/>
                      <w:highlight w:val="none"/>
                      <w:lang w:val="en-US" w:eastAsia="zh-CN"/>
                    </w:rPr>
                  </w:pPr>
                  <w:r>
                    <w:rPr>
                      <w:rFonts w:hint="eastAsia"/>
                      <w:highlight w:val="none"/>
                      <w:lang w:val="en-US" w:eastAsia="zh-CN"/>
                    </w:rPr>
                    <w:t>——</w:t>
                  </w:r>
                </w:p>
              </w:tc>
              <w:tc>
                <w:tcPr>
                  <w:tcW w:w="1505" w:type="dxa"/>
                </w:tcPr>
                <w:p>
                  <w:pPr>
                    <w:rPr>
                      <w:highlight w:val="none"/>
                    </w:rPr>
                  </w:pPr>
                </w:p>
              </w:tc>
              <w:tc>
                <w:tcPr>
                  <w:tcW w:w="1507" w:type="dxa"/>
                </w:tcPr>
                <w:p>
                  <w:pPr>
                    <w:rPr>
                      <w:highlight w:val="none"/>
                    </w:rPr>
                  </w:pPr>
                </w:p>
              </w:tc>
              <w:tc>
                <w:tcPr>
                  <w:tcW w:w="1507" w:type="dxa"/>
                </w:tcPr>
                <w:p>
                  <w:pPr>
                    <w:rPr>
                      <w:highlight w:val="none"/>
                    </w:rPr>
                  </w:pPr>
                </w:p>
              </w:tc>
              <w:tc>
                <w:tcPr>
                  <w:tcW w:w="1507" w:type="dxa"/>
                </w:tcPr>
                <w:p>
                  <w:pPr>
                    <w:pStyle w:val="8"/>
                    <w:numPr>
                      <w:ilvl w:val="0"/>
                      <w:numId w:val="0"/>
                    </w:numPr>
                    <w:rPr>
                      <w:rFonts w:hint="eastAsia"/>
                      <w:highlight w:val="none"/>
                      <w:lang w:eastAsia="zh-CN"/>
                    </w:rPr>
                  </w:pPr>
                </w:p>
              </w:tc>
              <w:tc>
                <w:tcPr>
                  <w:tcW w:w="1508" w:type="dxa"/>
                </w:tcPr>
                <w:p>
                  <w:pPr>
                    <w:rPr>
                      <w:rFonts w:hint="eastAsia"/>
                      <w:highlight w:val="none"/>
                    </w:rPr>
                  </w:pPr>
                </w:p>
              </w:tc>
            </w:tr>
          </w:tbl>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2164" w:type="dxa"/>
            <w:gridSpan w:val="2"/>
            <w:vMerge w:val="restart"/>
            <w:shd w:val="clear" w:color="auto" w:fill="auto"/>
          </w:tcPr>
          <w:p>
            <w:pPr>
              <w:rPr>
                <w:highlight w:val="none"/>
              </w:rPr>
            </w:pPr>
            <w:r>
              <w:rPr>
                <w:rFonts w:hint="eastAsia"/>
                <w:highlight w:val="none"/>
              </w:rPr>
              <w:t>持续改进</w:t>
            </w:r>
          </w:p>
        </w:tc>
        <w:tc>
          <w:tcPr>
            <w:tcW w:w="960" w:type="dxa"/>
            <w:vMerge w:val="restart"/>
            <w:shd w:val="clear" w:color="auto" w:fill="auto"/>
          </w:tcPr>
          <w:p>
            <w:pPr>
              <w:rPr>
                <w:highlight w:val="none"/>
              </w:rPr>
            </w:pPr>
            <w:r>
              <w:rPr>
                <w:rFonts w:hint="eastAsia"/>
                <w:highlight w:val="none"/>
              </w:rPr>
              <w:t>Q10.3</w:t>
            </w:r>
          </w:p>
          <w:p>
            <w:pPr>
              <w:rPr>
                <w:highlight w:val="none"/>
              </w:rPr>
            </w:pPr>
            <w:r>
              <w:rPr>
                <w:rFonts w:hint="eastAsia"/>
                <w:highlight w:val="none"/>
              </w:rPr>
              <w:t>F10.2</w:t>
            </w:r>
          </w:p>
        </w:tc>
        <w:tc>
          <w:tcPr>
            <w:tcW w:w="745" w:type="dxa"/>
            <w:shd w:val="clear" w:color="auto" w:fill="auto"/>
          </w:tcPr>
          <w:p>
            <w:pPr>
              <w:rPr>
                <w:highlight w:val="none"/>
              </w:rPr>
            </w:pPr>
            <w:r>
              <w:rPr>
                <w:rFonts w:hint="eastAsia"/>
                <w:highlight w:val="none"/>
              </w:rPr>
              <w:t>文件名称</w:t>
            </w:r>
          </w:p>
        </w:tc>
        <w:tc>
          <w:tcPr>
            <w:tcW w:w="9256" w:type="dxa"/>
            <w:shd w:val="clear" w:color="auto" w:fill="auto"/>
          </w:tcPr>
          <w:p>
            <w:pPr>
              <w:rPr>
                <w:rFonts w:hint="default" w:eastAsia="宋体"/>
                <w:highlight w:val="none"/>
                <w:lang w:val="en-US" w:eastAsia="zh-CN"/>
              </w:rPr>
            </w:pPr>
            <w:r>
              <w:rPr>
                <w:rFonts w:hint="eastAsia"/>
                <w:highlight w:val="none"/>
              </w:rPr>
              <w:t>如：</w:t>
            </w:r>
            <w:r>
              <w:rPr>
                <w:rFonts w:hint="eastAsia"/>
                <w:highlight w:val="none"/>
              </w:rPr>
              <w:sym w:font="Wingdings" w:char="00FE"/>
            </w:r>
            <w:r>
              <w:rPr>
                <w:rFonts w:hint="eastAsia"/>
                <w:highlight w:val="none"/>
                <w:lang w:eastAsia="zh-CN"/>
              </w:rPr>
              <w:t>《</w:t>
            </w:r>
            <w:r>
              <w:rPr>
                <w:rFonts w:hint="eastAsia"/>
                <w:highlight w:val="none"/>
                <w:lang w:val="en-US" w:eastAsia="zh-CN"/>
              </w:rPr>
              <w:t>质量与食品安全管理手册</w:t>
            </w:r>
            <w:r>
              <w:rPr>
                <w:rFonts w:hint="eastAsia"/>
                <w:highlight w:val="none"/>
                <w:lang w:eastAsia="zh-CN"/>
              </w:rPr>
              <w:t>》</w:t>
            </w:r>
            <w:r>
              <w:rPr>
                <w:rFonts w:hint="eastAsia"/>
                <w:highlight w:val="none"/>
                <w:lang w:val="en-US" w:eastAsia="zh-CN"/>
              </w:rPr>
              <w:t>第10.3条款</w:t>
            </w:r>
          </w:p>
        </w:tc>
        <w:tc>
          <w:tcPr>
            <w:tcW w:w="1589" w:type="dxa"/>
            <w:gridSpan w:val="3"/>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9" w:hRule="atLeast"/>
        </w:trPr>
        <w:tc>
          <w:tcPr>
            <w:tcW w:w="2164" w:type="dxa"/>
            <w:gridSpan w:val="2"/>
            <w:vMerge w:val="continue"/>
            <w:shd w:val="clear" w:color="auto" w:fill="auto"/>
          </w:tcPr>
          <w:p>
            <w:pPr>
              <w:rPr>
                <w:highlight w:val="none"/>
              </w:rPr>
            </w:pPr>
          </w:p>
        </w:tc>
        <w:tc>
          <w:tcPr>
            <w:tcW w:w="960" w:type="dxa"/>
            <w:vMerge w:val="continue"/>
            <w:shd w:val="clear" w:color="auto" w:fill="auto"/>
          </w:tcPr>
          <w:p>
            <w:pPr>
              <w:rPr>
                <w:highlight w:val="none"/>
              </w:rPr>
            </w:pPr>
          </w:p>
        </w:tc>
        <w:tc>
          <w:tcPr>
            <w:tcW w:w="745" w:type="dxa"/>
            <w:shd w:val="clear" w:color="auto" w:fill="auto"/>
          </w:tcPr>
          <w:p>
            <w:pPr>
              <w:rPr>
                <w:highlight w:val="none"/>
              </w:rPr>
            </w:pPr>
            <w:r>
              <w:rPr>
                <w:rFonts w:hint="eastAsia"/>
                <w:highlight w:val="none"/>
              </w:rPr>
              <w:t>运行证据</w:t>
            </w:r>
          </w:p>
        </w:tc>
        <w:tc>
          <w:tcPr>
            <w:tcW w:w="9256" w:type="dxa"/>
            <w:shd w:val="clear" w:color="auto" w:fill="auto"/>
          </w:tcPr>
          <w:p>
            <w:pPr>
              <w:rPr>
                <w:highlight w:val="none"/>
              </w:rPr>
            </w:pPr>
            <w:r>
              <w:rPr>
                <w:rFonts w:hint="eastAsia"/>
                <w:highlight w:val="none"/>
              </w:rPr>
              <w:t xml:space="preserve">组织已持续改进质量/食品安全管理体系的适宜性、充分性和有效性，以提升食品安全绩效。 </w:t>
            </w:r>
          </w:p>
          <w:p>
            <w:pPr>
              <w:rPr>
                <w:highlight w:val="none"/>
              </w:rPr>
            </w:pPr>
            <w:r>
              <w:rPr>
                <w:rFonts w:hint="eastAsia"/>
                <w:highlight w:val="none"/>
              </w:rPr>
              <w:t>组织考虑了分析和评价的结果以及管理评审的输出，确定是否存在需求或机遇，这些需求或机遇应作为持续改进的一部分加以应对。</w:t>
            </w:r>
          </w:p>
          <w:p>
            <w:pPr>
              <w:rPr>
                <w:highlight w:val="none"/>
              </w:rPr>
            </w:pPr>
            <w:r>
              <w:rPr>
                <w:rFonts w:hint="eastAsia"/>
                <w:highlight w:val="none"/>
              </w:rPr>
              <w:sym w:font="Wingdings" w:char="00FE"/>
            </w:r>
            <w:r>
              <w:rPr>
                <w:rFonts w:hint="eastAsia"/>
                <w:highlight w:val="none"/>
              </w:rPr>
              <w:t xml:space="preserve"> 管理评审改进措施已落实</w:t>
            </w:r>
          </w:p>
          <w:p>
            <w:pPr>
              <w:rPr>
                <w:highlight w:val="none"/>
              </w:rPr>
            </w:pPr>
            <w:r>
              <w:rPr>
                <w:rFonts w:hint="eastAsia"/>
                <w:highlight w:val="none"/>
              </w:rPr>
              <w:sym w:font="Wingdings" w:char="00A8"/>
            </w:r>
            <w:r>
              <w:rPr>
                <w:rFonts w:hint="eastAsia"/>
                <w:highlight w:val="none"/>
              </w:rPr>
              <w:t xml:space="preserve"> 管理评审改进措施未落实的原因：</w:t>
            </w:r>
            <w:r>
              <w:rPr>
                <w:rFonts w:hint="eastAsia"/>
                <w:highlight w:val="none"/>
                <w:u w:val="single"/>
              </w:rPr>
              <w:t xml:space="preserve">      </w:t>
            </w:r>
            <w:r>
              <w:rPr>
                <w:rFonts w:hint="eastAsia"/>
                <w:highlight w:val="none"/>
                <w:u w:val="single"/>
                <w:lang w:eastAsia="zh-CN"/>
              </w:rPr>
              <w:t>——</w:t>
            </w:r>
            <w:r>
              <w:rPr>
                <w:rFonts w:hint="eastAsia"/>
                <w:highlight w:val="none"/>
                <w:u w:val="single"/>
              </w:rPr>
              <w:t xml:space="preserve">        </w:t>
            </w:r>
          </w:p>
          <w:p>
            <w:pPr>
              <w:rPr>
                <w:highlight w:val="none"/>
              </w:rPr>
            </w:pPr>
            <w:r>
              <w:rPr>
                <w:rFonts w:hint="eastAsia"/>
                <w:highlight w:val="none"/>
              </w:rPr>
              <w:t>最高管理者应确保组织通过以下活动， 持续改进食品安全管理体系的有效性：</w:t>
            </w:r>
          </w:p>
          <w:p>
            <w:pPr>
              <w:rPr>
                <w:highlight w:val="none"/>
              </w:rPr>
            </w:pPr>
            <w:r>
              <w:rPr>
                <w:rFonts w:hint="eastAsia"/>
                <w:highlight w:val="none"/>
              </w:rPr>
              <w:sym w:font="Wingdings" w:char="00FE"/>
            </w:r>
            <w:r>
              <w:rPr>
                <w:rFonts w:hint="eastAsia"/>
                <w:highlight w:val="none"/>
              </w:rPr>
              <w:t xml:space="preserve">沟通  </w:t>
            </w:r>
            <w:r>
              <w:rPr>
                <w:rFonts w:hint="eastAsia"/>
                <w:highlight w:val="none"/>
              </w:rPr>
              <w:sym w:font="Wingdings" w:char="00FE"/>
            </w:r>
            <w:r>
              <w:rPr>
                <w:rFonts w:hint="eastAsia"/>
                <w:highlight w:val="none"/>
              </w:rPr>
              <w:t xml:space="preserve">管理评审  </w:t>
            </w:r>
            <w:r>
              <w:rPr>
                <w:rFonts w:hint="eastAsia"/>
                <w:highlight w:val="none"/>
              </w:rPr>
              <w:sym w:font="Wingdings" w:char="00FE"/>
            </w:r>
            <w:r>
              <w:rPr>
                <w:rFonts w:hint="eastAsia"/>
                <w:highlight w:val="none"/>
              </w:rPr>
              <w:t xml:space="preserve">内部审核  </w:t>
            </w:r>
            <w:r>
              <w:rPr>
                <w:rFonts w:hint="eastAsia"/>
                <w:highlight w:val="none"/>
              </w:rPr>
              <w:sym w:font="Wingdings" w:char="00FE"/>
            </w:r>
            <w:r>
              <w:rPr>
                <w:rFonts w:hint="eastAsia"/>
                <w:highlight w:val="none"/>
              </w:rPr>
              <w:t xml:space="preserve">验证活动结果分析 </w:t>
            </w:r>
            <w:r>
              <w:rPr>
                <w:rFonts w:hint="eastAsia"/>
                <w:highlight w:val="none"/>
              </w:rPr>
              <w:sym w:font="Wingdings" w:char="00FE"/>
            </w:r>
            <w:r>
              <w:rPr>
                <w:rFonts w:hint="eastAsia"/>
                <w:highlight w:val="none"/>
              </w:rPr>
              <w:t>控制措施验证和控制措施组合</w:t>
            </w:r>
          </w:p>
          <w:p>
            <w:pPr>
              <w:rPr>
                <w:highlight w:val="none"/>
              </w:rPr>
            </w:pPr>
            <w:r>
              <w:rPr>
                <w:rFonts w:hint="eastAsia"/>
                <w:highlight w:val="none"/>
              </w:rPr>
              <w:sym w:font="Wingdings" w:char="00FE"/>
            </w:r>
            <w:r>
              <w:rPr>
                <w:rFonts w:hint="eastAsia"/>
                <w:highlight w:val="none"/>
              </w:rPr>
              <w:t xml:space="preserve">纠正措施  </w:t>
            </w:r>
            <w:r>
              <w:rPr>
                <w:rFonts w:hint="eastAsia"/>
                <w:highlight w:val="none"/>
              </w:rPr>
              <w:sym w:font="Wingdings" w:char="00A8"/>
            </w:r>
            <w:r>
              <w:rPr>
                <w:rFonts w:hint="eastAsia"/>
                <w:highlight w:val="none"/>
              </w:rPr>
              <w:t>FSMS更新 。</w:t>
            </w:r>
          </w:p>
        </w:tc>
        <w:tc>
          <w:tcPr>
            <w:tcW w:w="1589" w:type="dxa"/>
            <w:gridSpan w:val="3"/>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09" w:hRule="atLeast"/>
        </w:trPr>
        <w:tc>
          <w:tcPr>
            <w:tcW w:w="2164" w:type="dxa"/>
            <w:gridSpan w:val="2"/>
            <w:vMerge w:val="restart"/>
            <w:shd w:val="clear" w:color="auto" w:fill="auto"/>
          </w:tcPr>
          <w:p>
            <w:r>
              <w:rPr>
                <w:rFonts w:hint="eastAsia"/>
              </w:rPr>
              <w:t>食品安全管理体系的更新</w:t>
            </w:r>
          </w:p>
          <w:p/>
        </w:tc>
        <w:tc>
          <w:tcPr>
            <w:tcW w:w="960" w:type="dxa"/>
            <w:vMerge w:val="restart"/>
            <w:shd w:val="clear" w:color="auto" w:fill="auto"/>
          </w:tcPr>
          <w:p>
            <w:r>
              <w:rPr>
                <w:rFonts w:hint="eastAsia"/>
              </w:rPr>
              <w:t>F10.3</w:t>
            </w:r>
          </w:p>
        </w:tc>
        <w:tc>
          <w:tcPr>
            <w:tcW w:w="745" w:type="dxa"/>
            <w:shd w:val="clear" w:color="auto" w:fill="auto"/>
          </w:tcPr>
          <w:p>
            <w:r>
              <w:rPr>
                <w:rFonts w:hint="eastAsia"/>
              </w:rPr>
              <w:t>文件名称</w:t>
            </w:r>
          </w:p>
        </w:tc>
        <w:tc>
          <w:tcPr>
            <w:tcW w:w="9256" w:type="dxa"/>
            <w:shd w:val="clear" w:color="auto" w:fill="auto"/>
          </w:tcPr>
          <w:p>
            <w:r>
              <w:rPr>
                <w:rFonts w:hint="eastAsia"/>
              </w:rPr>
              <w:t>如：</w:t>
            </w:r>
            <w:r>
              <w:rPr>
                <w:rFonts w:hint="eastAsia"/>
              </w:rPr>
              <w:sym w:font="Wingdings" w:char="00FE"/>
            </w:r>
            <w:r>
              <w:rPr>
                <w:rFonts w:hint="eastAsia"/>
                <w:lang w:eastAsia="zh-CN"/>
              </w:rPr>
              <w:t>《</w:t>
            </w:r>
            <w:r>
              <w:rPr>
                <w:rFonts w:hint="eastAsia"/>
                <w:lang w:val="en-US" w:eastAsia="zh-CN"/>
              </w:rPr>
              <w:t>质量与食品安全管理手册</w:t>
            </w:r>
            <w:r>
              <w:rPr>
                <w:rFonts w:hint="eastAsia"/>
                <w:lang w:eastAsia="zh-CN"/>
              </w:rPr>
              <w:t>》</w:t>
            </w:r>
            <w:r>
              <w:rPr>
                <w:rFonts w:hint="eastAsia"/>
              </w:rPr>
              <w:t>10.3章</w:t>
            </w:r>
          </w:p>
        </w:tc>
        <w:tc>
          <w:tcPr>
            <w:tcW w:w="1587"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1721" w:hRule="atLeast"/>
        </w:trPr>
        <w:tc>
          <w:tcPr>
            <w:tcW w:w="2164" w:type="dxa"/>
            <w:gridSpan w:val="2"/>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6" w:type="dxa"/>
            <w:shd w:val="clear" w:color="auto" w:fill="auto"/>
          </w:tcPr>
          <w:p>
            <w:pPr>
              <w:rPr>
                <w:u w:val="single"/>
              </w:rPr>
            </w:pPr>
            <w:r>
              <w:t>最高管理者确保FSMS持续更新。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
              <w:rPr>
                <w:rFonts w:hint="eastAsia"/>
              </w:rPr>
              <w:sym w:font="Wingdings" w:char="00FE"/>
            </w:r>
            <w:r>
              <w:t>有必要审查危害分析</w:t>
            </w:r>
          </w:p>
          <w:p>
            <w:r>
              <w:rPr>
                <w:rFonts w:hint="eastAsia"/>
              </w:rPr>
              <w:sym w:font="Wingdings" w:char="00FE"/>
            </w:r>
            <w:r>
              <w:t>已建立的危害控制计划</w:t>
            </w:r>
          </w:p>
          <w:p>
            <w:r>
              <w:rPr>
                <w:rFonts w:hint="eastAsia"/>
              </w:rPr>
              <w:sym w:font="Wingdings" w:char="00FE"/>
            </w:r>
            <w:r>
              <w:t>已建立的PRP。</w:t>
            </w:r>
          </w:p>
          <w:p>
            <w:pPr>
              <w:pStyle w:val="3"/>
            </w:pPr>
          </w:p>
          <w:p>
            <w:r>
              <w:t>更新活动应基于：</w:t>
            </w:r>
          </w:p>
          <w:p>
            <w:r>
              <w:rPr>
                <w:rFonts w:hint="eastAsia"/>
              </w:rPr>
              <w:sym w:font="Wingdings" w:char="00FE"/>
            </w:r>
            <w:r>
              <w:rPr>
                <w:rFonts w:hint="eastAsia"/>
              </w:rPr>
              <w:t xml:space="preserve"> </w:t>
            </w:r>
            <w:r>
              <w:t>来自外部和内部</w:t>
            </w:r>
            <w:r>
              <w:rPr>
                <w:rFonts w:hint="eastAsia"/>
              </w:rPr>
              <w:t>沟通信息</w:t>
            </w:r>
            <w:r>
              <w:t>的输入；</w:t>
            </w:r>
          </w:p>
          <w:p>
            <w:r>
              <w:rPr>
                <w:rFonts w:hint="eastAsia"/>
              </w:rPr>
              <w:sym w:font="Wingdings" w:char="00FE"/>
            </w:r>
            <w:r>
              <w:rPr>
                <w:rFonts w:hint="eastAsia"/>
              </w:rPr>
              <w:t xml:space="preserve"> </w:t>
            </w:r>
            <w:r>
              <w:t>其他有关食品安全管理系统的适宜性、充分性和有效性的信息的输入；</w:t>
            </w:r>
          </w:p>
          <w:p>
            <w:r>
              <w:rPr>
                <w:rFonts w:hint="eastAsia"/>
              </w:rPr>
              <w:sym w:font="Wingdings" w:char="00FE"/>
            </w:r>
            <w:r>
              <w:rPr>
                <w:rFonts w:hint="eastAsia"/>
              </w:rPr>
              <w:t xml:space="preserve"> </w:t>
            </w:r>
            <w:r>
              <w:t>验证活动结果分析的输出；</w:t>
            </w:r>
          </w:p>
          <w:p>
            <w:r>
              <w:rPr>
                <w:rFonts w:hint="eastAsia"/>
              </w:rPr>
              <w:sym w:font="Wingdings" w:char="00FE"/>
            </w:r>
            <w:r>
              <w:rPr>
                <w:rFonts w:hint="eastAsia"/>
              </w:rPr>
              <w:t xml:space="preserve"> </w:t>
            </w:r>
            <w:r>
              <w:t>管理评审的输出。</w:t>
            </w:r>
          </w:p>
          <w:p>
            <w:pPr>
              <w:rPr>
                <w:rFonts w:hint="eastAsia"/>
              </w:rPr>
            </w:pPr>
            <w:r>
              <w:rPr>
                <w:rFonts w:hint="eastAsia"/>
              </w:rPr>
              <w:t>体系更新活动须以适当的形式予以记录和报告，作为管理评审的输入。</w:t>
            </w:r>
          </w:p>
          <w:p>
            <w:pPr>
              <w:pStyle w:val="3"/>
            </w:pPr>
          </w:p>
          <w:p>
            <w:r>
              <w:rPr>
                <w:rFonts w:hint="eastAsia"/>
                <w:color w:val="0000FF"/>
                <w:szCs w:val="21"/>
                <w:u w:val="single"/>
              </w:rPr>
              <w:t>本次为初次审核，制定了危害控制计划</w:t>
            </w:r>
            <w:r>
              <w:rPr>
                <w:rFonts w:hint="eastAsia"/>
                <w:color w:val="0000FF"/>
                <w:szCs w:val="21"/>
                <w:u w:val="single"/>
                <w:lang w:val="en-US" w:eastAsia="zh-CN"/>
              </w:rPr>
              <w:t>等</w:t>
            </w:r>
            <w:r>
              <w:rPr>
                <w:rFonts w:hint="eastAsia"/>
                <w:color w:val="0000FF"/>
                <w:szCs w:val="21"/>
                <w:u w:val="single"/>
              </w:rPr>
              <w:t>相关内容，</w:t>
            </w:r>
            <w:r>
              <w:rPr>
                <w:rFonts w:hint="eastAsia"/>
                <w:color w:val="0000FF"/>
                <w:szCs w:val="21"/>
                <w:u w:val="single"/>
                <w:lang w:val="en-US" w:eastAsia="zh-CN"/>
              </w:rPr>
              <w:t>发生过修订，见综合部审核记录，但未发生较大的更新。</w:t>
            </w:r>
          </w:p>
        </w:tc>
        <w:tc>
          <w:tcPr>
            <w:tcW w:w="1587" w:type="dxa"/>
            <w:gridSpan w:val="2"/>
            <w:vMerge w:val="continue"/>
            <w:shd w:val="clear" w:color="auto" w:fill="auto"/>
          </w:tcPr>
          <w:p/>
        </w:tc>
      </w:tr>
    </w:tbl>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IDFont+F5">
    <w:altName w:val="宋体"/>
    <w:panose1 w:val="00000000000000000000"/>
    <w:charset w:val="00"/>
    <w:family w:val="auto"/>
    <w:pitch w:val="default"/>
    <w:sig w:usb0="00000000" w:usb1="00000000" w:usb2="00000000" w:usb3="00000000" w:csb0="0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mc:AlternateContent>
        <mc:Choice Requires="wps">
          <w:drawing>
            <wp:anchor distT="0" distB="0" distL="114300" distR="114300" simplePos="0" relativeHeight="251660288" behindDoc="0" locked="0" layoutInCell="1" allowOverlap="1">
              <wp:simplePos x="0" y="0"/>
              <wp:positionH relativeFrom="column">
                <wp:posOffset>7774940</wp:posOffset>
              </wp:positionH>
              <wp:positionV relativeFrom="paragraph">
                <wp:posOffset>165735</wp:posOffset>
              </wp:positionV>
              <wp:extent cx="1304290" cy="256540"/>
              <wp:effectExtent l="0" t="0" r="3810" b="10160"/>
              <wp:wrapNone/>
              <wp:docPr id="3" name="文本框 3"/>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12.2pt;margin-top:13.05pt;height:20.2pt;width:102.7pt;z-index:251660288;mso-width-relative:page;mso-height-relative:page;" fillcolor="#FFFFFF" filled="t" stroked="f" coordsize="21600,21600" o:gfxdata="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OI+VbYAAAACwEAAA8AAAAAAAAAAQAgAAAAIgAAAGRycy9kb3ducmV2&#10;LnhtbFBLAQIUABQAAAAIAIdO4kDyJDd0wwEAAHcDAAAOAAAAAAAAAAEAIAAAACcBAABkcnMvZTJv&#10;RG9jLnhtbFBLBQYAAAAABgAGAFkBAABcBQ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drawing>
        <wp:anchor distT="0" distB="0" distL="114300" distR="114300" simplePos="0" relativeHeight="251659264" behindDoc="0" locked="0" layoutInCell="1" allowOverlap="1">
          <wp:simplePos x="0" y="0"/>
          <wp:positionH relativeFrom="column">
            <wp:posOffset>-76200</wp:posOffset>
          </wp:positionH>
          <wp:positionV relativeFrom="paragraph">
            <wp:posOffset>-104775</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1"/>
      </w:pBdr>
      <w:spacing w:line="320" w:lineRule="exact"/>
      <w:ind w:firstLine="756" w:firstLineChars="400"/>
      <w:jc w:val="left"/>
    </w:pP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EBD2E2"/>
    <w:multiLevelType w:val="singleLevel"/>
    <w:tmpl w:val="97EBD2E2"/>
    <w:lvl w:ilvl="0" w:tentative="0">
      <w:start w:val="1"/>
      <w:numFmt w:val="lowerLetter"/>
      <w:suff w:val="space"/>
      <w:lvlText w:val="%1)"/>
      <w:lvlJc w:val="left"/>
    </w:lvl>
  </w:abstractNum>
  <w:abstractNum w:abstractNumId="1">
    <w:nsid w:val="D9157FF7"/>
    <w:multiLevelType w:val="singleLevel"/>
    <w:tmpl w:val="D9157FF7"/>
    <w:lvl w:ilvl="0" w:tentative="0">
      <w:start w:val="1"/>
      <w:numFmt w:val="lowerLetter"/>
      <w:suff w:val="space"/>
      <w:lvlText w:val="%1)"/>
      <w:lvlJc w:val="left"/>
    </w:lvl>
  </w:abstractNum>
  <w:abstractNum w:abstractNumId="2">
    <w:nsid w:val="F5FF8E5E"/>
    <w:multiLevelType w:val="singleLevel"/>
    <w:tmpl w:val="F5FF8E5E"/>
    <w:lvl w:ilvl="0" w:tentative="0">
      <w:start w:val="1"/>
      <w:numFmt w:val="decimal"/>
      <w:lvlText w:val="%1."/>
      <w:lvlJc w:val="left"/>
      <w:pPr>
        <w:tabs>
          <w:tab w:val="left" w:pos="312"/>
        </w:tabs>
      </w:pPr>
    </w:lvl>
  </w:abstractNum>
  <w:abstractNum w:abstractNumId="3">
    <w:nsid w:val="19E194F9"/>
    <w:multiLevelType w:val="singleLevel"/>
    <w:tmpl w:val="19E194F9"/>
    <w:lvl w:ilvl="0" w:tentative="0">
      <w:start w:val="1"/>
      <w:numFmt w:val="lowerLetter"/>
      <w:lvlText w:val="%1)"/>
      <w:lvlJc w:val="left"/>
      <w:pPr>
        <w:tabs>
          <w:tab w:val="left" w:pos="312"/>
        </w:tabs>
      </w:pPr>
    </w:lvl>
  </w:abstractNum>
  <w:abstractNum w:abstractNumId="4">
    <w:nsid w:val="336E18F6"/>
    <w:multiLevelType w:val="singleLevel"/>
    <w:tmpl w:val="336E18F6"/>
    <w:lvl w:ilvl="0" w:tentative="0">
      <w:start w:val="1"/>
      <w:numFmt w:val="decimal"/>
      <w:suff w:val="space"/>
      <w:lvlText w:val="%1."/>
      <w:lvlJc w:val="left"/>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 w:name="KSO_WPS_MARK_KEY" w:val="e723f1fd-ad1e-460d-a257-d2e717fb391d"/>
  </w:docVars>
  <w:rsids>
    <w:rsidRoot w:val="009973B4"/>
    <w:rsid w:val="000237F6"/>
    <w:rsid w:val="0003373A"/>
    <w:rsid w:val="000400E2"/>
    <w:rsid w:val="00053043"/>
    <w:rsid w:val="00062E46"/>
    <w:rsid w:val="000B7A63"/>
    <w:rsid w:val="000E6B21"/>
    <w:rsid w:val="000E7D69"/>
    <w:rsid w:val="001037D1"/>
    <w:rsid w:val="001140D6"/>
    <w:rsid w:val="001A2D7F"/>
    <w:rsid w:val="001F1502"/>
    <w:rsid w:val="00203518"/>
    <w:rsid w:val="0023692C"/>
    <w:rsid w:val="002822F1"/>
    <w:rsid w:val="002939AD"/>
    <w:rsid w:val="002A7D96"/>
    <w:rsid w:val="002E061E"/>
    <w:rsid w:val="00304BD2"/>
    <w:rsid w:val="00314AF6"/>
    <w:rsid w:val="00334BC0"/>
    <w:rsid w:val="003359ED"/>
    <w:rsid w:val="00337922"/>
    <w:rsid w:val="00340867"/>
    <w:rsid w:val="00380837"/>
    <w:rsid w:val="003A198A"/>
    <w:rsid w:val="00410914"/>
    <w:rsid w:val="00477A20"/>
    <w:rsid w:val="0048201E"/>
    <w:rsid w:val="0049215F"/>
    <w:rsid w:val="004B2B8D"/>
    <w:rsid w:val="004E753A"/>
    <w:rsid w:val="00531A59"/>
    <w:rsid w:val="00536930"/>
    <w:rsid w:val="00564E53"/>
    <w:rsid w:val="00571451"/>
    <w:rsid w:val="005C6B53"/>
    <w:rsid w:val="005D5659"/>
    <w:rsid w:val="005E2DC1"/>
    <w:rsid w:val="00600C20"/>
    <w:rsid w:val="00644FE2"/>
    <w:rsid w:val="00660E47"/>
    <w:rsid w:val="00663F71"/>
    <w:rsid w:val="0067640C"/>
    <w:rsid w:val="00691D92"/>
    <w:rsid w:val="006D7C48"/>
    <w:rsid w:val="006E678B"/>
    <w:rsid w:val="006E7B1D"/>
    <w:rsid w:val="0070341D"/>
    <w:rsid w:val="00705D46"/>
    <w:rsid w:val="007757F3"/>
    <w:rsid w:val="00782A29"/>
    <w:rsid w:val="007860F5"/>
    <w:rsid w:val="007C1B48"/>
    <w:rsid w:val="007E3B15"/>
    <w:rsid w:val="007E6AEB"/>
    <w:rsid w:val="008630EE"/>
    <w:rsid w:val="008973EE"/>
    <w:rsid w:val="008C05BC"/>
    <w:rsid w:val="0090032F"/>
    <w:rsid w:val="00910EB7"/>
    <w:rsid w:val="00920906"/>
    <w:rsid w:val="00971600"/>
    <w:rsid w:val="009734AB"/>
    <w:rsid w:val="0097671F"/>
    <w:rsid w:val="009973B4"/>
    <w:rsid w:val="009C28C1"/>
    <w:rsid w:val="009D0D15"/>
    <w:rsid w:val="009E7642"/>
    <w:rsid w:val="009F7EED"/>
    <w:rsid w:val="00A109EE"/>
    <w:rsid w:val="00A80636"/>
    <w:rsid w:val="00A80E58"/>
    <w:rsid w:val="00AC2E27"/>
    <w:rsid w:val="00AF0AAB"/>
    <w:rsid w:val="00B50FD7"/>
    <w:rsid w:val="00B801A2"/>
    <w:rsid w:val="00BA5DC8"/>
    <w:rsid w:val="00BB07DF"/>
    <w:rsid w:val="00BF597E"/>
    <w:rsid w:val="00C03A49"/>
    <w:rsid w:val="00C51A36"/>
    <w:rsid w:val="00C55228"/>
    <w:rsid w:val="00C63768"/>
    <w:rsid w:val="00C65F2B"/>
    <w:rsid w:val="00C96ED9"/>
    <w:rsid w:val="00CD71D8"/>
    <w:rsid w:val="00CE315A"/>
    <w:rsid w:val="00D06F59"/>
    <w:rsid w:val="00D708B1"/>
    <w:rsid w:val="00D71355"/>
    <w:rsid w:val="00D8388C"/>
    <w:rsid w:val="00DC055B"/>
    <w:rsid w:val="00DD3530"/>
    <w:rsid w:val="00DE720A"/>
    <w:rsid w:val="00E120F4"/>
    <w:rsid w:val="00E25E5F"/>
    <w:rsid w:val="00E6224C"/>
    <w:rsid w:val="00E65C8F"/>
    <w:rsid w:val="00EB0164"/>
    <w:rsid w:val="00EC57BB"/>
    <w:rsid w:val="00ED0F62"/>
    <w:rsid w:val="00F2198C"/>
    <w:rsid w:val="00F43A54"/>
    <w:rsid w:val="00F56D22"/>
    <w:rsid w:val="00F7499A"/>
    <w:rsid w:val="00F95ED9"/>
    <w:rsid w:val="00FF6820"/>
    <w:rsid w:val="01260C71"/>
    <w:rsid w:val="01E27364"/>
    <w:rsid w:val="02C75A20"/>
    <w:rsid w:val="032F5195"/>
    <w:rsid w:val="03A0688A"/>
    <w:rsid w:val="03A32F8E"/>
    <w:rsid w:val="03AC3D8E"/>
    <w:rsid w:val="03CE483E"/>
    <w:rsid w:val="03CF54E8"/>
    <w:rsid w:val="0405614C"/>
    <w:rsid w:val="04410FFF"/>
    <w:rsid w:val="04883DB3"/>
    <w:rsid w:val="049166B1"/>
    <w:rsid w:val="04981EC9"/>
    <w:rsid w:val="050D3D1E"/>
    <w:rsid w:val="05153D37"/>
    <w:rsid w:val="056577F0"/>
    <w:rsid w:val="05705C5F"/>
    <w:rsid w:val="057753FF"/>
    <w:rsid w:val="05A05014"/>
    <w:rsid w:val="05F6270F"/>
    <w:rsid w:val="0605101B"/>
    <w:rsid w:val="061B4460"/>
    <w:rsid w:val="065A01DF"/>
    <w:rsid w:val="067B702D"/>
    <w:rsid w:val="06994A8D"/>
    <w:rsid w:val="06AA7E97"/>
    <w:rsid w:val="06ED612A"/>
    <w:rsid w:val="07B21BCC"/>
    <w:rsid w:val="08234ABF"/>
    <w:rsid w:val="08767210"/>
    <w:rsid w:val="08851DD7"/>
    <w:rsid w:val="08C22483"/>
    <w:rsid w:val="08ED1EE8"/>
    <w:rsid w:val="09005957"/>
    <w:rsid w:val="092D2EDD"/>
    <w:rsid w:val="096333C5"/>
    <w:rsid w:val="09933EF9"/>
    <w:rsid w:val="09AA0CA5"/>
    <w:rsid w:val="09FA6045"/>
    <w:rsid w:val="0A0F142E"/>
    <w:rsid w:val="0A1C56C1"/>
    <w:rsid w:val="0A904067"/>
    <w:rsid w:val="0ACA6ED2"/>
    <w:rsid w:val="0AEF4D8D"/>
    <w:rsid w:val="0BE11F87"/>
    <w:rsid w:val="0BE64DFF"/>
    <w:rsid w:val="0C5423F7"/>
    <w:rsid w:val="0C780997"/>
    <w:rsid w:val="0C8009B8"/>
    <w:rsid w:val="0CC102DA"/>
    <w:rsid w:val="0D132101"/>
    <w:rsid w:val="0D181113"/>
    <w:rsid w:val="0D1E4D9B"/>
    <w:rsid w:val="0D4D1326"/>
    <w:rsid w:val="0D6A2C36"/>
    <w:rsid w:val="0DB35CC0"/>
    <w:rsid w:val="0E49595F"/>
    <w:rsid w:val="0EA47F02"/>
    <w:rsid w:val="0EB8524B"/>
    <w:rsid w:val="0F86648B"/>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9D4370"/>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294E9D"/>
    <w:rsid w:val="154C7AB0"/>
    <w:rsid w:val="155F4281"/>
    <w:rsid w:val="15BC540D"/>
    <w:rsid w:val="15F7492E"/>
    <w:rsid w:val="16210B83"/>
    <w:rsid w:val="16583F2B"/>
    <w:rsid w:val="169D3E09"/>
    <w:rsid w:val="16AB3CAD"/>
    <w:rsid w:val="16E341B9"/>
    <w:rsid w:val="16F10A78"/>
    <w:rsid w:val="17226BDD"/>
    <w:rsid w:val="17446813"/>
    <w:rsid w:val="177551EA"/>
    <w:rsid w:val="179B1D36"/>
    <w:rsid w:val="17AA51C2"/>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6465C0"/>
    <w:rsid w:val="1CB1322F"/>
    <w:rsid w:val="1D4D4A00"/>
    <w:rsid w:val="1DC4038A"/>
    <w:rsid w:val="1DF36090"/>
    <w:rsid w:val="1DFE25B1"/>
    <w:rsid w:val="1E511FFA"/>
    <w:rsid w:val="1E67749D"/>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83206F"/>
    <w:rsid w:val="20A856C1"/>
    <w:rsid w:val="21A07B88"/>
    <w:rsid w:val="21CB7A38"/>
    <w:rsid w:val="21D24208"/>
    <w:rsid w:val="226B2F60"/>
    <w:rsid w:val="22813299"/>
    <w:rsid w:val="23461CA8"/>
    <w:rsid w:val="238A1BAA"/>
    <w:rsid w:val="23900E62"/>
    <w:rsid w:val="23BF3886"/>
    <w:rsid w:val="241A6B34"/>
    <w:rsid w:val="24285E2F"/>
    <w:rsid w:val="242A7B69"/>
    <w:rsid w:val="247622DE"/>
    <w:rsid w:val="2480482A"/>
    <w:rsid w:val="24A05D8E"/>
    <w:rsid w:val="24C0278F"/>
    <w:rsid w:val="24FC7C66"/>
    <w:rsid w:val="2519537A"/>
    <w:rsid w:val="258041F6"/>
    <w:rsid w:val="258609CC"/>
    <w:rsid w:val="25973D01"/>
    <w:rsid w:val="261B55F8"/>
    <w:rsid w:val="261D5675"/>
    <w:rsid w:val="269C7CAD"/>
    <w:rsid w:val="271B4DE1"/>
    <w:rsid w:val="272228DE"/>
    <w:rsid w:val="27443F4D"/>
    <w:rsid w:val="274B78E8"/>
    <w:rsid w:val="27602485"/>
    <w:rsid w:val="27CF15FE"/>
    <w:rsid w:val="27D42EE9"/>
    <w:rsid w:val="27E10A81"/>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5B23E3"/>
    <w:rsid w:val="2F7C571D"/>
    <w:rsid w:val="2FA86B66"/>
    <w:rsid w:val="2FE823A5"/>
    <w:rsid w:val="2FEA1C57"/>
    <w:rsid w:val="300172B8"/>
    <w:rsid w:val="3014643C"/>
    <w:rsid w:val="30945277"/>
    <w:rsid w:val="30C71DD4"/>
    <w:rsid w:val="30DC7CB1"/>
    <w:rsid w:val="30ED30CC"/>
    <w:rsid w:val="31064141"/>
    <w:rsid w:val="31B477DB"/>
    <w:rsid w:val="31B67BE2"/>
    <w:rsid w:val="31CA71DD"/>
    <w:rsid w:val="324E5138"/>
    <w:rsid w:val="325251B2"/>
    <w:rsid w:val="326A248B"/>
    <w:rsid w:val="32A772DD"/>
    <w:rsid w:val="32DF641C"/>
    <w:rsid w:val="331E21CE"/>
    <w:rsid w:val="33562A0D"/>
    <w:rsid w:val="33715F28"/>
    <w:rsid w:val="33BC0834"/>
    <w:rsid w:val="33C4308B"/>
    <w:rsid w:val="33EB6FF4"/>
    <w:rsid w:val="33F07155"/>
    <w:rsid w:val="340C6245"/>
    <w:rsid w:val="34174AE5"/>
    <w:rsid w:val="343C4522"/>
    <w:rsid w:val="347A0336"/>
    <w:rsid w:val="34F92D63"/>
    <w:rsid w:val="35324819"/>
    <w:rsid w:val="35527F1F"/>
    <w:rsid w:val="357914C0"/>
    <w:rsid w:val="35D721CD"/>
    <w:rsid w:val="35F745D6"/>
    <w:rsid w:val="36174333"/>
    <w:rsid w:val="364A3F09"/>
    <w:rsid w:val="367A501B"/>
    <w:rsid w:val="372D3763"/>
    <w:rsid w:val="374A16C0"/>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68277C"/>
    <w:rsid w:val="399117DD"/>
    <w:rsid w:val="39972637"/>
    <w:rsid w:val="39CE5222"/>
    <w:rsid w:val="39D7104B"/>
    <w:rsid w:val="3A3E0D9F"/>
    <w:rsid w:val="3A5573DE"/>
    <w:rsid w:val="3AAB1306"/>
    <w:rsid w:val="3ABD0173"/>
    <w:rsid w:val="3ACE23E2"/>
    <w:rsid w:val="3B227AA7"/>
    <w:rsid w:val="3B4241C0"/>
    <w:rsid w:val="3B5F0280"/>
    <w:rsid w:val="3B9006DA"/>
    <w:rsid w:val="3BEE1D6F"/>
    <w:rsid w:val="3BF1473C"/>
    <w:rsid w:val="3CA475E5"/>
    <w:rsid w:val="3CA717F2"/>
    <w:rsid w:val="3CC56579"/>
    <w:rsid w:val="3DAB460B"/>
    <w:rsid w:val="3DDA7DB2"/>
    <w:rsid w:val="3DF2719F"/>
    <w:rsid w:val="3E342793"/>
    <w:rsid w:val="3E3C5235"/>
    <w:rsid w:val="3EA34B57"/>
    <w:rsid w:val="3EEF1E6E"/>
    <w:rsid w:val="3F654598"/>
    <w:rsid w:val="40571F31"/>
    <w:rsid w:val="40760623"/>
    <w:rsid w:val="408B7234"/>
    <w:rsid w:val="40E27AF7"/>
    <w:rsid w:val="40F80D82"/>
    <w:rsid w:val="41342A6B"/>
    <w:rsid w:val="414C7183"/>
    <w:rsid w:val="418D501C"/>
    <w:rsid w:val="41CD76AD"/>
    <w:rsid w:val="41E9167B"/>
    <w:rsid w:val="42271497"/>
    <w:rsid w:val="42416B50"/>
    <w:rsid w:val="4262379E"/>
    <w:rsid w:val="427A1188"/>
    <w:rsid w:val="432A5B99"/>
    <w:rsid w:val="432A5E11"/>
    <w:rsid w:val="433B1167"/>
    <w:rsid w:val="435F500F"/>
    <w:rsid w:val="43C730CD"/>
    <w:rsid w:val="44A567F5"/>
    <w:rsid w:val="453B1EBC"/>
    <w:rsid w:val="45413E1D"/>
    <w:rsid w:val="45635AEC"/>
    <w:rsid w:val="45BA54FA"/>
    <w:rsid w:val="45EC74A5"/>
    <w:rsid w:val="45FA6B69"/>
    <w:rsid w:val="460414DD"/>
    <w:rsid w:val="46332B60"/>
    <w:rsid w:val="4654705C"/>
    <w:rsid w:val="468D2C1F"/>
    <w:rsid w:val="468D3CA5"/>
    <w:rsid w:val="46EA7997"/>
    <w:rsid w:val="470243E7"/>
    <w:rsid w:val="471F1498"/>
    <w:rsid w:val="47271944"/>
    <w:rsid w:val="475C4BFE"/>
    <w:rsid w:val="47B95F0B"/>
    <w:rsid w:val="47BB044C"/>
    <w:rsid w:val="48262DE5"/>
    <w:rsid w:val="48397913"/>
    <w:rsid w:val="4949229C"/>
    <w:rsid w:val="49C0281D"/>
    <w:rsid w:val="49E449BF"/>
    <w:rsid w:val="49EC77B8"/>
    <w:rsid w:val="49ED5B1C"/>
    <w:rsid w:val="4AD45EF1"/>
    <w:rsid w:val="4ADD13CB"/>
    <w:rsid w:val="4AE04A18"/>
    <w:rsid w:val="4B337454"/>
    <w:rsid w:val="4B407CC6"/>
    <w:rsid w:val="4B42232B"/>
    <w:rsid w:val="4B464DA1"/>
    <w:rsid w:val="4B825A76"/>
    <w:rsid w:val="4B8B3702"/>
    <w:rsid w:val="4B9B0D7E"/>
    <w:rsid w:val="4BC83B65"/>
    <w:rsid w:val="4C1A1162"/>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594843"/>
    <w:rsid w:val="4FD5791D"/>
    <w:rsid w:val="503C3BCC"/>
    <w:rsid w:val="505C4971"/>
    <w:rsid w:val="50C41CF1"/>
    <w:rsid w:val="511D1588"/>
    <w:rsid w:val="51217DA6"/>
    <w:rsid w:val="51294703"/>
    <w:rsid w:val="51425A27"/>
    <w:rsid w:val="5158757E"/>
    <w:rsid w:val="521A5D1E"/>
    <w:rsid w:val="523624DE"/>
    <w:rsid w:val="52A23F56"/>
    <w:rsid w:val="52BA5471"/>
    <w:rsid w:val="52D871F4"/>
    <w:rsid w:val="52F263D6"/>
    <w:rsid w:val="53024EB7"/>
    <w:rsid w:val="53261795"/>
    <w:rsid w:val="53953BE7"/>
    <w:rsid w:val="53E93AEB"/>
    <w:rsid w:val="53F51637"/>
    <w:rsid w:val="54124FEF"/>
    <w:rsid w:val="541C4B67"/>
    <w:rsid w:val="548E7479"/>
    <w:rsid w:val="54C7245E"/>
    <w:rsid w:val="552A2893"/>
    <w:rsid w:val="556B045B"/>
    <w:rsid w:val="557D4E77"/>
    <w:rsid w:val="55C375DD"/>
    <w:rsid w:val="56156439"/>
    <w:rsid w:val="56643532"/>
    <w:rsid w:val="568B5A7B"/>
    <w:rsid w:val="56A733D0"/>
    <w:rsid w:val="56C1669C"/>
    <w:rsid w:val="56EF4D06"/>
    <w:rsid w:val="570A6E63"/>
    <w:rsid w:val="573B0118"/>
    <w:rsid w:val="573D2268"/>
    <w:rsid w:val="57411925"/>
    <w:rsid w:val="57441E32"/>
    <w:rsid w:val="57535542"/>
    <w:rsid w:val="575B3098"/>
    <w:rsid w:val="577F2D1A"/>
    <w:rsid w:val="57F55B90"/>
    <w:rsid w:val="580F191D"/>
    <w:rsid w:val="58276F84"/>
    <w:rsid w:val="58584813"/>
    <w:rsid w:val="58B728A2"/>
    <w:rsid w:val="58B868EB"/>
    <w:rsid w:val="590D059A"/>
    <w:rsid w:val="592802C2"/>
    <w:rsid w:val="5978735A"/>
    <w:rsid w:val="598E089F"/>
    <w:rsid w:val="59E42114"/>
    <w:rsid w:val="59E710C8"/>
    <w:rsid w:val="5A1C59A1"/>
    <w:rsid w:val="5A386EB4"/>
    <w:rsid w:val="5A407674"/>
    <w:rsid w:val="5A432974"/>
    <w:rsid w:val="5A6A20C5"/>
    <w:rsid w:val="5AD64AF2"/>
    <w:rsid w:val="5B520842"/>
    <w:rsid w:val="5B544EB3"/>
    <w:rsid w:val="5B6A33DD"/>
    <w:rsid w:val="5BF04FFA"/>
    <w:rsid w:val="5C045A62"/>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EFB22F4"/>
    <w:rsid w:val="5F02275D"/>
    <w:rsid w:val="5F14059B"/>
    <w:rsid w:val="5F291E1B"/>
    <w:rsid w:val="5F551AC0"/>
    <w:rsid w:val="5F616E2A"/>
    <w:rsid w:val="5FDD56CF"/>
    <w:rsid w:val="5FE015B4"/>
    <w:rsid w:val="600754B6"/>
    <w:rsid w:val="6018182B"/>
    <w:rsid w:val="601E0F43"/>
    <w:rsid w:val="60596F8D"/>
    <w:rsid w:val="608075E1"/>
    <w:rsid w:val="61326FB1"/>
    <w:rsid w:val="61384C31"/>
    <w:rsid w:val="61E77A7E"/>
    <w:rsid w:val="61F16F63"/>
    <w:rsid w:val="622A4138"/>
    <w:rsid w:val="62385483"/>
    <w:rsid w:val="62385A6C"/>
    <w:rsid w:val="62876D77"/>
    <w:rsid w:val="62BC30BF"/>
    <w:rsid w:val="62CA4AF4"/>
    <w:rsid w:val="62E4371E"/>
    <w:rsid w:val="632045D1"/>
    <w:rsid w:val="6342544F"/>
    <w:rsid w:val="63720424"/>
    <w:rsid w:val="63A31ABC"/>
    <w:rsid w:val="63C65078"/>
    <w:rsid w:val="63EA156F"/>
    <w:rsid w:val="63EA6D88"/>
    <w:rsid w:val="645D5D72"/>
    <w:rsid w:val="64621F9C"/>
    <w:rsid w:val="64A537DD"/>
    <w:rsid w:val="64B45425"/>
    <w:rsid w:val="64B96E85"/>
    <w:rsid w:val="64BB6795"/>
    <w:rsid w:val="64D069A0"/>
    <w:rsid w:val="64F27E75"/>
    <w:rsid w:val="65067C78"/>
    <w:rsid w:val="653C2C5E"/>
    <w:rsid w:val="65662197"/>
    <w:rsid w:val="656B5D01"/>
    <w:rsid w:val="658C79F9"/>
    <w:rsid w:val="65A33DF6"/>
    <w:rsid w:val="65BE04E1"/>
    <w:rsid w:val="65F429F0"/>
    <w:rsid w:val="665A6FDB"/>
    <w:rsid w:val="66B368AE"/>
    <w:rsid w:val="66B532F3"/>
    <w:rsid w:val="66C2760F"/>
    <w:rsid w:val="675A3B6C"/>
    <w:rsid w:val="67AF7DB6"/>
    <w:rsid w:val="680564C6"/>
    <w:rsid w:val="681B3F7A"/>
    <w:rsid w:val="68233428"/>
    <w:rsid w:val="6844529D"/>
    <w:rsid w:val="68B54AF7"/>
    <w:rsid w:val="68CA009F"/>
    <w:rsid w:val="695B5920"/>
    <w:rsid w:val="69B35A0D"/>
    <w:rsid w:val="69CC607C"/>
    <w:rsid w:val="69EA1163"/>
    <w:rsid w:val="69F96768"/>
    <w:rsid w:val="6A287F98"/>
    <w:rsid w:val="6AA406FE"/>
    <w:rsid w:val="6AB40496"/>
    <w:rsid w:val="6ABD1D5E"/>
    <w:rsid w:val="6AF33939"/>
    <w:rsid w:val="6B795D62"/>
    <w:rsid w:val="6B8621FE"/>
    <w:rsid w:val="6B910AA0"/>
    <w:rsid w:val="6BC747F5"/>
    <w:rsid w:val="6BD35CE4"/>
    <w:rsid w:val="6C3014BE"/>
    <w:rsid w:val="6C5D414F"/>
    <w:rsid w:val="6C761A36"/>
    <w:rsid w:val="6CA324B4"/>
    <w:rsid w:val="6CDE17FD"/>
    <w:rsid w:val="6D1D2C91"/>
    <w:rsid w:val="6D232D3C"/>
    <w:rsid w:val="6D2F5D1E"/>
    <w:rsid w:val="6D792112"/>
    <w:rsid w:val="6E641038"/>
    <w:rsid w:val="6EBD0EA6"/>
    <w:rsid w:val="6F435405"/>
    <w:rsid w:val="6F4810D8"/>
    <w:rsid w:val="6F6D2BAA"/>
    <w:rsid w:val="6F8F1120"/>
    <w:rsid w:val="6F9A4A47"/>
    <w:rsid w:val="6FD909A9"/>
    <w:rsid w:val="6FF97D87"/>
    <w:rsid w:val="701710D0"/>
    <w:rsid w:val="70795456"/>
    <w:rsid w:val="709946EC"/>
    <w:rsid w:val="71814237"/>
    <w:rsid w:val="72702455"/>
    <w:rsid w:val="728F2E47"/>
    <w:rsid w:val="72973011"/>
    <w:rsid w:val="72E42D1B"/>
    <w:rsid w:val="731254DC"/>
    <w:rsid w:val="734F0911"/>
    <w:rsid w:val="735B71EA"/>
    <w:rsid w:val="736054C4"/>
    <w:rsid w:val="736C572D"/>
    <w:rsid w:val="739709C9"/>
    <w:rsid w:val="73A422EB"/>
    <w:rsid w:val="74103E55"/>
    <w:rsid w:val="745B622A"/>
    <w:rsid w:val="753E2D2E"/>
    <w:rsid w:val="75DB13A5"/>
    <w:rsid w:val="75E552E3"/>
    <w:rsid w:val="75EC38CD"/>
    <w:rsid w:val="7648538B"/>
    <w:rsid w:val="76577132"/>
    <w:rsid w:val="76AF5A78"/>
    <w:rsid w:val="76BD747C"/>
    <w:rsid w:val="76CD52EB"/>
    <w:rsid w:val="76FE004A"/>
    <w:rsid w:val="77462C4C"/>
    <w:rsid w:val="77A268F6"/>
    <w:rsid w:val="77CC3658"/>
    <w:rsid w:val="780F54C3"/>
    <w:rsid w:val="78257840"/>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5B1FC8"/>
    <w:rsid w:val="7A8564DB"/>
    <w:rsid w:val="7AC22B97"/>
    <w:rsid w:val="7ACB083F"/>
    <w:rsid w:val="7AF21FF6"/>
    <w:rsid w:val="7B1F77A4"/>
    <w:rsid w:val="7B292799"/>
    <w:rsid w:val="7C090682"/>
    <w:rsid w:val="7C4E6027"/>
    <w:rsid w:val="7C660721"/>
    <w:rsid w:val="7C6A6CA8"/>
    <w:rsid w:val="7CF04E00"/>
    <w:rsid w:val="7D0B04E5"/>
    <w:rsid w:val="7D41026F"/>
    <w:rsid w:val="7D59343F"/>
    <w:rsid w:val="7DC16540"/>
    <w:rsid w:val="7E0A78B3"/>
    <w:rsid w:val="7E2912F3"/>
    <w:rsid w:val="7F9026D0"/>
    <w:rsid w:val="7F984417"/>
    <w:rsid w:val="7FD91DE8"/>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1"/>
    <w:pPr>
      <w:ind w:left="137"/>
    </w:pPr>
    <w:rPr>
      <w:rFonts w:ascii="宋体" w:hAnsi="宋体"/>
      <w:sz w:val="20"/>
    </w:r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unhideWhenUsed/>
    <w:qFormat/>
    <w:uiPriority w:val="99"/>
    <w:pPr>
      <w:tabs>
        <w:tab w:val="left" w:pos="540"/>
      </w:tabs>
      <w:ind w:firstLine="420" w:firstLineChars="2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99"/>
    <w:rPr>
      <w:rFonts w:ascii="Times New Roman" w:hAnsi="Times New Roman" w:eastAsia="宋体" w:cs="Times New Roman"/>
      <w:sz w:val="18"/>
      <w:szCs w:val="18"/>
    </w:rPr>
  </w:style>
  <w:style w:type="character" w:customStyle="1" w:styleId="13">
    <w:name w:val="页脚 字符"/>
    <w:basedOn w:val="11"/>
    <w:link w:val="6"/>
    <w:qFormat/>
    <w:uiPriority w:val="99"/>
    <w:rPr>
      <w:rFonts w:ascii="Times New Roman" w:hAnsi="Times New Roman" w:eastAsia="宋体" w:cs="Times New Roman"/>
      <w:sz w:val="18"/>
      <w:szCs w:val="18"/>
    </w:rPr>
  </w:style>
  <w:style w:type="character" w:customStyle="1" w:styleId="14">
    <w:name w:val="批注框文本 字符"/>
    <w:basedOn w:val="11"/>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1678</Words>
  <Characters>9569</Characters>
  <Lines>79</Lines>
  <Paragraphs>22</Paragraphs>
  <TotalTime>0</TotalTime>
  <ScaleCrop>false</ScaleCrop>
  <LinksUpToDate>false</LinksUpToDate>
  <CharactersWithSpaces>11225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2023-02-13T12:39:57Z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01815F9D8FD140F89E395867188DBE13</vt:lpwstr>
  </property>
</Properties>
</file>