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4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2214"/>
        <w:gridCol w:w="906"/>
        <w:gridCol w:w="745"/>
        <w:gridCol w:w="9259"/>
        <w:gridCol w:w="1585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515" w:hRule="atLeast"/>
        </w:trPr>
        <w:tc>
          <w:tcPr>
            <w:tcW w:w="2214" w:type="dxa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供销部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主管领导：邓益华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胡平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gridBefore w:val="1"/>
          <w:gridAfter w:val="1"/>
          <w:wBefore w:w="5" w:type="dxa"/>
          <w:wAfter w:w="28" w:type="dxa"/>
          <w:trHeight w:val="403" w:hRule="atLeast"/>
        </w:trPr>
        <w:tc>
          <w:tcPr>
            <w:tcW w:w="2214" w:type="dxa"/>
            <w:vMerge w:val="continue"/>
            <w:shd w:val="clear" w:color="auto" w:fill="auto"/>
            <w:vAlign w:val="center"/>
          </w:tcPr>
          <w:p/>
        </w:tc>
        <w:tc>
          <w:tcPr>
            <w:tcW w:w="906" w:type="dxa"/>
            <w:vMerge w:val="continue"/>
            <w:shd w:val="clear" w:color="auto" w:fill="auto"/>
            <w:vAlign w:val="center"/>
          </w:tcPr>
          <w:p/>
        </w:tc>
        <w:tc>
          <w:tcPr>
            <w:tcW w:w="10004" w:type="dxa"/>
            <w:gridSpan w:val="2"/>
            <w:shd w:val="clear" w:color="auto" w:fill="auto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3-02-11 下午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90" w:hRule="atLeast"/>
        </w:trPr>
        <w:tc>
          <w:tcPr>
            <w:tcW w:w="2214" w:type="dxa"/>
            <w:vMerge w:val="continue"/>
            <w:shd w:val="clear" w:color="auto" w:fill="auto"/>
            <w:vAlign w:val="center"/>
          </w:tcPr>
          <w:p/>
        </w:tc>
        <w:tc>
          <w:tcPr>
            <w:tcW w:w="906" w:type="dxa"/>
            <w:vMerge w:val="continue"/>
            <w:shd w:val="clear" w:color="auto" w:fill="auto"/>
            <w:vAlign w:val="center"/>
          </w:tcPr>
          <w:p/>
        </w:tc>
        <w:tc>
          <w:tcPr>
            <w:tcW w:w="10004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MS</w:t>
            </w:r>
            <w:r>
              <w:rPr>
                <w:rFonts w:hint="eastAsia"/>
              </w:rPr>
              <w:t>:5.3/6.2/</w:t>
            </w:r>
            <w:r>
              <w:rPr>
                <w:rFonts w:hint="eastAsia"/>
                <w:lang w:val="en-US" w:eastAsia="zh-CN"/>
              </w:rPr>
              <w:t>8.4</w:t>
            </w:r>
            <w:r>
              <w:rPr>
                <w:rFonts w:hint="eastAsia"/>
              </w:rPr>
              <w:t>/7.4/8.2/</w:t>
            </w:r>
            <w:r>
              <w:rPr>
                <w:rFonts w:hint="eastAsia"/>
                <w:lang w:val="en-US" w:eastAsia="zh-CN"/>
              </w:rPr>
              <w:t>8.4/8.5.3/</w:t>
            </w:r>
            <w:r>
              <w:rPr>
                <w:rFonts w:hint="eastAsia"/>
              </w:rPr>
              <w:t>8.5.5/9.1.2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F</w:t>
            </w:r>
            <w:r>
              <w:rPr>
                <w:rFonts w:hint="eastAsia"/>
                <w:lang w:val="en-US" w:eastAsia="zh-CN"/>
              </w:rPr>
              <w:t>SMS</w:t>
            </w:r>
            <w:r>
              <w:rPr>
                <w:rFonts w:hint="eastAsia"/>
              </w:rPr>
              <w:t>：5.3/6.2/7.1.6/7.4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gridBefore w:val="1"/>
          <w:gridAfter w:val="1"/>
          <w:wBefore w:w="5" w:type="dxa"/>
          <w:wAfter w:w="28" w:type="dxa"/>
          <w:trHeight w:val="443" w:hRule="atLeast"/>
        </w:trPr>
        <w:tc>
          <w:tcPr>
            <w:tcW w:w="2214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06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Q5.3</w:t>
            </w:r>
          </w:p>
          <w:p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质量和食品安全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val="en-US" w:eastAsia="zh-CN"/>
              </w:rPr>
              <w:t>5.3条款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809" w:hRule="atLeast"/>
        </w:trPr>
        <w:tc>
          <w:tcPr>
            <w:tcW w:w="2214" w:type="dxa"/>
            <w:vMerge w:val="continue"/>
            <w:shd w:val="clear" w:color="auto" w:fill="auto"/>
          </w:tcPr>
          <w:p/>
        </w:tc>
        <w:tc>
          <w:tcPr>
            <w:tcW w:w="906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与部门职责相关的主要职责是：</w:t>
            </w:r>
          </w:p>
          <w:p>
            <w:pPr>
              <w:pStyle w:val="10"/>
              <w:ind w:firstLine="46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原材料采购管理，合格供方评价管理、负责采购过程中不合格品的管理，接受客户订单、客户订单完成情况跟踪以及产品交付工作；负责顾客满意度调查、顾客抱怨投诉、参与公司组织的撤回召回演练、确认验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443" w:hRule="atLeast"/>
        </w:trPr>
        <w:tc>
          <w:tcPr>
            <w:tcW w:w="2214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质量/食品安全目标及其实现的策划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06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Q6.2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F</w:t>
            </w:r>
            <w:r>
              <w:rPr>
                <w:color w:val="000000"/>
                <w:szCs w:val="21"/>
                <w:highlight w:val="none"/>
              </w:rPr>
              <w:t>6.2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质量与食品安全管理</w:t>
            </w:r>
            <w:r>
              <w:rPr>
                <w:rFonts w:hint="eastAsia"/>
                <w:highlight w:val="none"/>
              </w:rPr>
              <w:t>手册</w:t>
            </w:r>
            <w:r>
              <w:rPr>
                <w:rFonts w:hint="eastAsia" w:ascii="宋体" w:hAnsi="宋体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</w:rPr>
              <w:t>第6.2条款、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杭州美森香料有限公司目标分解及完成情况考核表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822" w:hRule="atLeast"/>
        </w:trPr>
        <w:tc>
          <w:tcPr>
            <w:tcW w:w="221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质量/食品安全</w:t>
            </w:r>
            <w:r>
              <w:rPr>
                <w:rFonts w:hint="eastAsia"/>
                <w:highlight w:val="none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质量/食品安全</w:t>
            </w:r>
            <w:r>
              <w:rPr>
                <w:rFonts w:hint="eastAsia"/>
                <w:highlight w:val="none"/>
              </w:rPr>
              <w:t>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质量/食品安全</w:t>
            </w:r>
            <w:r>
              <w:rPr>
                <w:rFonts w:hint="eastAsia"/>
                <w:highlight w:val="none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6"/>
              <w:gridCol w:w="1864"/>
              <w:gridCol w:w="1100"/>
              <w:gridCol w:w="30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6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质量目标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/食品安全目标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计算方法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责任部门</w:t>
                  </w:r>
                </w:p>
              </w:tc>
              <w:tc>
                <w:tcPr>
                  <w:tcW w:w="3096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2022.09-2023.01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顾客满意度达到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85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分以上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顾客满意度调查统计 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3096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2022.09-2022.11,目标90 分；2022.12-2023.01，在实施中；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每月顾客有效投诉不多于 1 例 </w:t>
                  </w:r>
                </w:p>
                <w:p>
                  <w:pPr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18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实际发生次数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30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合格供方评审率 100% </w:t>
                  </w:r>
                </w:p>
              </w:tc>
              <w:tc>
                <w:tcPr>
                  <w:tcW w:w="18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评审数/总数×100% 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30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2022.09-2022.11,目标100%；2022.12-2023.01，在实施中；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186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0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186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0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目标已实现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，2023年2月目标在实施中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468" w:hRule="atLeast"/>
        </w:trPr>
        <w:tc>
          <w:tcPr>
            <w:tcW w:w="2214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0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Q8.4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</w:t>
            </w:r>
            <w:r>
              <w:rPr>
                <w:rFonts w:hint="eastAsia"/>
                <w:lang w:val="en-US" w:eastAsia="zh-CN"/>
              </w:rPr>
              <w:t>管理程序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不合格品控制程序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物料采购管理规程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>
            <w:pPr>
              <w:pStyle w:val="10"/>
              <w:rPr>
                <w:rFonts w:hint="eastAsia" w:ascii="宋体" w:hAns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1028" w:hRule="atLeast"/>
        </w:trPr>
        <w:tc>
          <w:tcPr>
            <w:tcW w:w="2214" w:type="dxa"/>
            <w:vMerge w:val="continue"/>
            <w:shd w:val="clear" w:color="auto" w:fill="auto"/>
          </w:tcPr>
          <w:p/>
        </w:tc>
        <w:tc>
          <w:tcPr>
            <w:tcW w:w="906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default"/>
                <w:lang w:val="en-US" w:eastAsia="zh-CN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</w:instrText>
            </w:r>
            <w:r>
              <w:rPr>
                <w:rFonts w:hint="eastAsia"/>
                <w:lang w:eastAsia="zh-CN"/>
              </w:rPr>
              <w:instrText xml:space="preserve">,√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 xml:space="preserve">顾客满意调查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 xml:space="preserve">虫害控制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10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从《合格</w:t>
            </w:r>
            <w:r>
              <w:rPr>
                <w:rFonts w:hint="eastAsia"/>
                <w:lang w:eastAsia="zh-CN"/>
              </w:rPr>
              <w:t>供货商信息记录表</w:t>
            </w:r>
            <w:r>
              <w:rPr>
                <w:rFonts w:hint="eastAsia"/>
              </w:rPr>
              <w:t>》中抽取下列证据：</w:t>
            </w:r>
          </w:p>
          <w:p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合格供方名单</w:t>
            </w:r>
            <w:r>
              <w:rPr>
                <w:rFonts w:hint="eastAsia"/>
                <w:u w:val="single"/>
              </w:rPr>
              <w:t xml:space="preserve">  》</w:t>
            </w:r>
            <w:r>
              <w:rPr>
                <w:rFonts w:hint="eastAsia"/>
                <w:u w:val="single"/>
                <w:lang w:val="en-US" w:eastAsia="zh-CN"/>
              </w:rPr>
              <w:t>合格供方50余家</w:t>
            </w:r>
            <w:r>
              <w:rPr>
                <w:rFonts w:hint="eastAsia"/>
                <w:szCs w:val="21"/>
                <w:highlight w:val="none"/>
                <w:u w:val="single"/>
                <w:lang w:eastAsia="zh-CN"/>
              </w:rPr>
              <w:t>【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涵盖了认证产品所需要使用的原辅料等</w:t>
            </w:r>
            <w:r>
              <w:rPr>
                <w:rFonts w:hint="eastAsia"/>
                <w:szCs w:val="21"/>
                <w:highlight w:val="none"/>
                <w:u w:val="single"/>
                <w:lang w:eastAsia="zh-CN"/>
              </w:rPr>
              <w:t>】</w:t>
            </w:r>
            <w:r>
              <w:rPr>
                <w:rFonts w:hint="eastAsia"/>
                <w:u w:val="single"/>
                <w:lang w:val="en-US" w:eastAsia="zh-CN"/>
              </w:rPr>
              <w:t>，随机抽取:</w:t>
            </w:r>
          </w:p>
          <w:p>
            <w:pPr>
              <w:rPr>
                <w:rFonts w:hint="eastAsia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上海妍晓贸易有限公司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丙二醇、三醋酸甘油酯、乙基麦芽酚、甲基环戊稀醇酮、呋喃酮等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91310117MA1J1JJ12L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XXX生产许可证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印刷经营许可证</w:t>
                  </w:r>
                  <w:r>
                    <w:rPr>
                      <w:rFonts w:hint="eastAsia"/>
                    </w:rPr>
                    <w:t xml:space="preserve">》编号：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val="en-US" w:eastAsia="zh-CN"/>
                    </w:rPr>
                    <w:t>: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4-羟基-2,5-二甲基-3（2H）呋喃酮，报告编号：W022061003865,检测单位：上海市质量监督检验技术研究院，报告日期：2022-03-15；检测项目包括4-羟基-2,5-二甲基-3（2H）呋喃酮、熔点、等，检测结论:检测项目符合要求；</w:t>
                  </w:r>
                </w:p>
                <w:p>
                  <w:pPr>
                    <w:pStyle w:val="10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另抽查香兰素（报告编号：spf220784）的外检报告等控制方式同上。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pStyle w:val="10"/>
            </w:pPr>
          </w:p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杭州聚欣源生物科技有限公司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焦糖色（焦亚硫酸铵法）液体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91310116MA1J9UFTXH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食品经营许可备案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印刷经营许可证</w:t>
                  </w:r>
                  <w:r>
                    <w:rPr>
                      <w:rFonts w:hint="eastAsia"/>
                    </w:rPr>
                    <w:t xml:space="preserve">》编号：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val="en-US" w:eastAsia="zh-CN"/>
                    </w:rPr>
                    <w:t>:焦糖色（焦亚硫酸铵法）液体，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报告编号：ASH22-063400-03;食检2022-10-2444；检测单位：通标标准技术服务（上海）有限公司，报告日期：2022-12-06；检测项目包括总砷、二氧化硫、铅、氨氮等等指标，检测结论:监测项目符合要求。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0"/>
            </w:pPr>
          </w:p>
          <w:p>
            <w:pPr>
              <w:pStyle w:val="10"/>
            </w:pPr>
          </w:p>
          <w:p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吹塑桶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南京水杉科技有限公司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叶醇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宁波鑫合炎新材料有限公司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食用酒精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杭州思宇新材料有限公司  </w:t>
            </w:r>
            <w:r>
              <w:rPr>
                <w:rFonts w:hint="eastAsia"/>
              </w:rPr>
              <w:t xml:space="preserve">； </w:t>
            </w:r>
            <w:r>
              <w:rPr>
                <w:rFonts w:hint="eastAsia"/>
                <w:u w:val="single"/>
                <w:lang w:val="en-US" w:eastAsia="zh-CN"/>
              </w:rPr>
              <w:t>新甲基橙皮苷二氢查耳酮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广东金骏康生物技术有限公司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乙酸异丁酸蔗糖酯 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江西天奕香料有限公司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三乙酸甘油酯（三醋酸甘油酯）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江西瑞佳食品添加剂有限公司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食品级丙二醇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上海辰颖贸易有限公司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大豆油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杭州临安丰运贸易有限公司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柠檬醛、癸酸、顺式茉莉酮、β-紫罗兰酮、己醛、辛醛、杨梅醛、2,6-二甲基-5-庚烯醛、橙花叔醇、香叶油、N-甲基邻氨基苯甲酸甲酯、苯甲醇等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重庆正元香料有限公司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乙基麦芽酚、MCP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杭州德奥生物技术有限公司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柠檬油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上海灏杰贸易有限公司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3-乙酰基吡啶、2-乙酰基吡嗪、丙硫醇、2-乙酰基吡咯、2-乙酰基呋喃、对-叔丁基苯乙酸甲酯等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滕州市悟通香精有限责任公司  </w:t>
            </w:r>
            <w:r>
              <w:rPr>
                <w:rFonts w:hint="eastAsia"/>
              </w:rPr>
              <w:t xml:space="preserve">； </w:t>
            </w:r>
            <w:r>
              <w:rPr>
                <w:rFonts w:hint="eastAsia"/>
                <w:u w:val="single"/>
                <w:lang w:val="en-US" w:eastAsia="zh-CN"/>
              </w:rPr>
              <w:t xml:space="preserve">丁酸乙酯、乙酸丁酯、乙酰乙酸乙酯、乙酸苄酯、乙酸己酯、乳酸乙酯、乙酸香叶酯、草莓酸、苯氧乙酸烯丙酯(菠萝醚)、异丁酸、庚酸乙酯、庚酸、丁酸甲酯、丁酸乙酯、丙酸、丁酸、苯乙醇、庚醇、苯甲酸甲酯、丁二酸二乙酯、乙酸异戊酯、十四酸甲酯、桂酸乙酯、丁酸二甲基苄基原酯、乙酸异丁酯、十二酸乙酯、己酸己酯、正己醇、己酸、丁酰乳酸丁酯、丁酸乙酯、乙酸乙酯、2-甲基丁酸乙酯、丙酸乙酯、异戊酸乙酯、乙酸等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浦杰香料（上海）有限公司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薄荷素油 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安徽丰乐香料有限责任公司 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刺槐豆提取物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上海祺源香精香料有限公司 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XXX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XXXX有限公司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产品运输：</w:t>
            </w:r>
            <w:r>
              <w:rPr>
                <w:rFonts w:hint="eastAsia"/>
                <w:u w:val="single"/>
                <w:lang w:val="en-US" w:eastAsia="zh-CN"/>
              </w:rPr>
              <w:t>物流公司：杭州跨行物流有限公司【合同期限：2022-09-01至2023-09-30】，营业执照：91330100MA2J0QTF6A，道路运输许可证：浙交运管许可杭字：330113100579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电梯维保方：房东负责管理，提供了电梯年检报告；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90" w:hRule="atLeast"/>
        </w:trPr>
        <w:tc>
          <w:tcPr>
            <w:tcW w:w="2214" w:type="dxa"/>
            <w:vMerge w:val="continue"/>
            <w:shd w:val="clear" w:color="auto" w:fill="auto"/>
          </w:tcPr>
          <w:p/>
        </w:tc>
        <w:tc>
          <w:tcPr>
            <w:tcW w:w="906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468" w:hRule="atLeast"/>
        </w:trPr>
        <w:tc>
          <w:tcPr>
            <w:tcW w:w="2214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控制类型和程度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906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Q8.4.2</w:t>
            </w:r>
          </w:p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手册8</w:t>
            </w:r>
            <w:r>
              <w:rPr>
                <w:highlight w:val="none"/>
              </w:rPr>
              <w:t>.4</w:t>
            </w:r>
            <w:r>
              <w:rPr>
                <w:rFonts w:hint="eastAsia"/>
                <w:highlight w:val="none"/>
              </w:rPr>
              <w:t>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《采购</w:t>
            </w:r>
            <w:r>
              <w:rPr>
                <w:rFonts w:hint="eastAsia"/>
                <w:highlight w:val="none"/>
                <w:lang w:val="en-US" w:eastAsia="zh-CN"/>
              </w:rPr>
              <w:t>管理程序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合格供方选择与管理程序</w:t>
            </w:r>
            <w:r>
              <w:rPr>
                <w:rFonts w:hint="eastAsia" w:ascii="宋体" w:hAnsi="宋体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物料采购管理规程</w:t>
            </w:r>
            <w:r>
              <w:rPr>
                <w:rFonts w:hint="eastAsia"/>
                <w:highlight w:val="none"/>
                <w:lang w:eastAsia="zh-CN"/>
              </w:rPr>
              <w:t>》、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物料供应商的审计管理规程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不符合</w:t>
            </w:r>
          </w:p>
          <w:p/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90" w:hRule="atLeast"/>
        </w:trPr>
        <w:tc>
          <w:tcPr>
            <w:tcW w:w="221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 xml:space="preserve">对供方控制的类型和程度要求：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充分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highlight w:val="none"/>
              </w:rPr>
            </w:pP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抽查重要供方的评价记录名称：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供应商年度质量评估表</w:t>
            </w:r>
            <w:r>
              <w:rPr>
                <w:rFonts w:hint="eastAsia"/>
                <w:highlight w:val="none"/>
                <w:u w:val="single"/>
              </w:rPr>
              <w:t xml:space="preserve">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 xml:space="preserve">上海祺源香精香料有限公司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 xml:space="preserve">刺槐豆提取物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供货及时、价格合理</w:t>
                  </w:r>
                </w:p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设备水平和状况、测量系统、技术水平、人员素质和能力、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10"/>
              <w:rPr>
                <w:highlight w:val="non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南京水杉科技有限公司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吹塑桶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供货及时、价格合理</w:t>
                  </w:r>
                </w:p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设备水平和状况、测量系统、技术水平、人员素质和能力、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10"/>
              <w:rPr>
                <w:highlight w:val="non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 xml:space="preserve">滕州市悟通香精有限责任公司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3-乙酰基吡啶、2-乙酰基吡嗪、丙硫醇、2-乙酰基吡咯、2-乙酰基呋喃、对-叔丁基苯乙酸甲酯等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供货及时、价格合理</w:t>
                  </w:r>
                </w:p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设备水平和状况、测量系统、技术水平、人员素质和能力、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10"/>
              <w:rPr>
                <w:highlight w:val="non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重庆正元香料有限公司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 xml:space="preserve"> 柠檬醛、癸酸、顺式茉莉酮、β-紫罗兰酮、己醛、辛醛、杨梅醛、2,6-二甲基-5-庚烯醛、橙花叔醇、香叶油、N-甲基邻氨基苯甲酸甲酯、苯甲醇等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供货及时、价格合理</w:t>
                  </w:r>
                </w:p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设备水平和状况、测量系统、技术水平、人员素质和能力、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10"/>
              <w:rPr>
                <w:highlight w:val="none"/>
              </w:rPr>
            </w:pPr>
          </w:p>
          <w:p>
            <w:pPr>
              <w:pStyle w:val="10"/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上海辰颖贸易有限公司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 xml:space="preserve">食品级丙二醇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供货及时、价格合理</w:t>
                  </w:r>
                </w:p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设备水平和状况、测量系统、技术水平、人员素质和能力、交付、守法意识、本行业中的地位、以往业绩、其他顾客满意程度、财务、售后服务、潜在按期高效供货的潜在能力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10"/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同时还抽查了</w:t>
            </w:r>
            <w:r>
              <w:rPr>
                <w:rFonts w:hint="eastAsia"/>
                <w:u w:val="single"/>
                <w:lang w:val="en-US" w:eastAsia="zh-CN"/>
              </w:rPr>
              <w:t xml:space="preserve">乙酸异丁酸蔗糖酯 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江西天奕香料有限公司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三乙酸甘油酯（三醋酸甘油酯）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江西瑞佳食品添加剂有限公司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XXX  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XXXX公司    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XXX  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XXXX公司    </w:t>
            </w:r>
            <w:r>
              <w:rPr>
                <w:rFonts w:hint="eastAsia"/>
                <w:highlight w:val="none"/>
              </w:rPr>
              <w:t>；与上述供方评价和选择控制情况。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一致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</w:rPr>
              <w:t xml:space="preserve">                  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468" w:hRule="atLeast"/>
        </w:trPr>
        <w:tc>
          <w:tcPr>
            <w:tcW w:w="2214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提供给外部供方的信息</w:t>
            </w:r>
          </w:p>
        </w:tc>
        <w:tc>
          <w:tcPr>
            <w:tcW w:w="906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Q8.4.3 </w:t>
            </w:r>
          </w:p>
          <w:p>
            <w:pP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F7.4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Q7.4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手册8</w:t>
            </w:r>
            <w:r>
              <w:rPr>
                <w:highlight w:val="none"/>
              </w:rPr>
              <w:t>.4</w:t>
            </w:r>
            <w:r>
              <w:rPr>
                <w:rFonts w:hint="eastAsia"/>
                <w:highlight w:val="none"/>
              </w:rPr>
              <w:t>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《采购</w:t>
            </w:r>
            <w:r>
              <w:rPr>
                <w:rFonts w:hint="eastAsia"/>
                <w:highlight w:val="none"/>
                <w:lang w:val="en-US" w:eastAsia="zh-CN"/>
              </w:rPr>
              <w:t>管理程序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合格供方选择与管理程序</w:t>
            </w:r>
            <w:r>
              <w:rPr>
                <w:rFonts w:hint="eastAsia" w:ascii="宋体" w:hAnsi="宋体"/>
                <w:highlight w:val="none"/>
                <w:lang w:eastAsia="zh-CN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物料采购管理规程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90" w:hRule="atLeast"/>
        </w:trPr>
        <w:tc>
          <w:tcPr>
            <w:tcW w:w="221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在与外部供方沟通之前，所确定的要求是：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充分适宜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不充分适宜，说明： </w:t>
            </w:r>
            <w:r>
              <w:rPr>
                <w:rFonts w:hint="eastAsia"/>
                <w:highlight w:val="none"/>
                <w:u w:val="single"/>
              </w:rPr>
              <w:t xml:space="preserve">                     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pStyle w:val="1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strike w:val="0"/>
                <w:dstrike w:val="0"/>
                <w:highlight w:val="none"/>
              </w:rPr>
            </w:pPr>
            <w:r>
              <w:rPr>
                <w:rFonts w:hint="eastAsia"/>
                <w:strike w:val="0"/>
                <w:dstrike w:val="0"/>
                <w:highlight w:val="none"/>
              </w:rPr>
              <w:t>抽查</w:t>
            </w:r>
            <w:bookmarkStart w:id="0" w:name="_Hlk55997104"/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strike w:val="0"/>
                <w:dstrike w:val="0"/>
                <w:highlight w:val="none"/>
              </w:rPr>
              <w:t>《采购合同》及《采购计划》</w:t>
            </w:r>
            <w:bookmarkEnd w:id="0"/>
            <w:r>
              <w:rPr>
                <w:rFonts w:hint="eastAsia"/>
                <w:strike w:val="0"/>
                <w:dstrike w:val="0"/>
                <w:highlight w:val="none"/>
              </w:rPr>
              <w:t>。组织与外部供方沟通以下要求：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2608"/>
              <w:gridCol w:w="1666"/>
              <w:gridCol w:w="761"/>
              <w:gridCol w:w="9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strike w:val="0"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</w:rPr>
                    <w:t>采购订单号/日期</w:t>
                  </w:r>
                </w:p>
              </w:tc>
              <w:tc>
                <w:tcPr>
                  <w:tcW w:w="2608" w:type="dxa"/>
                </w:tcPr>
                <w:p>
                  <w:pPr>
                    <w:rPr>
                      <w:rFonts w:hint="default" w:eastAsia="宋体"/>
                      <w:strike w:val="0"/>
                      <w:dstrike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日期：2023年1月3日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日期：2023年1月31日</w:t>
                  </w:r>
                </w:p>
              </w:tc>
              <w:tc>
                <w:tcPr>
                  <w:tcW w:w="1728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日期：2022年11月11日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strike w:val="0"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</w:rPr>
                    <w:t>过程、产品和服务名称</w:t>
                  </w:r>
                </w:p>
              </w:tc>
              <w:tc>
                <w:tcPr>
                  <w:tcW w:w="2608" w:type="dxa"/>
                </w:tcPr>
                <w:p>
                  <w:pPr>
                    <w:rPr>
                      <w:rFonts w:hint="default" w:eastAsia="宋体"/>
                      <w:strike w:val="0"/>
                      <w:dstrike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椒样薄荷油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丁位癸内酯</w:t>
                  </w:r>
                </w:p>
              </w:tc>
              <w:tc>
                <w:tcPr>
                  <w:tcW w:w="1728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  <w:t>无水奶油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strike w:val="0"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</w:rPr>
                    <w:t>过程、产品和服务要求</w:t>
                  </w:r>
                </w:p>
              </w:tc>
              <w:tc>
                <w:tcPr>
                  <w:tcW w:w="2608" w:type="dxa"/>
                </w:tcPr>
                <w:p>
                  <w:pPr>
                    <w:rPr>
                      <w:rFonts w:hint="default" w:eastAsia="宋体"/>
                      <w:strike w:val="0"/>
                      <w:dstrike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符合产品要求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符合产品要求</w:t>
                  </w:r>
                </w:p>
              </w:tc>
              <w:tc>
                <w:tcPr>
                  <w:tcW w:w="1728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符合产品要求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3041" w:type="dxa"/>
                </w:tcPr>
                <w:p>
                  <w:pPr>
                    <w:rPr>
                      <w:strike w:val="0"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</w:rPr>
                    <w:t xml:space="preserve">产品和服务批准； </w:t>
                  </w:r>
                </w:p>
              </w:tc>
              <w:tc>
                <w:tcPr>
                  <w:tcW w:w="2608" w:type="dxa"/>
                </w:tcPr>
                <w:p>
                  <w:pPr>
                    <w:rPr>
                      <w:rFonts w:hint="default" w:eastAsia="宋体"/>
                      <w:strike w:val="0"/>
                      <w:dstrike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符合采购要求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符合采购要求</w:t>
                  </w:r>
                </w:p>
              </w:tc>
              <w:tc>
                <w:tcPr>
                  <w:tcW w:w="1728" w:type="dxa"/>
                  <w:gridSpan w:val="2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符合采购要求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3041" w:type="dxa"/>
                </w:tcPr>
                <w:p>
                  <w:pPr>
                    <w:rPr>
                      <w:strike w:val="0"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</w:rPr>
                    <w:t>方法、过程和设备的批准；</w:t>
                  </w:r>
                </w:p>
              </w:tc>
              <w:tc>
                <w:tcPr>
                  <w:tcW w:w="2608" w:type="dxa"/>
                </w:tcPr>
                <w:p>
                  <w:pPr>
                    <w:rPr>
                      <w:rFonts w:hint="default" w:eastAsia="宋体"/>
                      <w:strike w:val="0"/>
                      <w:dstrike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28" w:type="dxa"/>
                  <w:gridSpan w:val="2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strike w:val="0"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</w:rPr>
                    <w:t>产品和服务的放行的批准</w:t>
                  </w:r>
                </w:p>
              </w:tc>
              <w:tc>
                <w:tcPr>
                  <w:tcW w:w="2608" w:type="dxa"/>
                </w:tcPr>
                <w:p>
                  <w:pPr>
                    <w:rPr>
                      <w:rFonts w:hint="default" w:eastAsia="宋体"/>
                      <w:strike w:val="0"/>
                      <w:dstrike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1728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strike w:val="0"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</w:rPr>
                    <w:t>能力，包括所要求的人员资格</w:t>
                  </w:r>
                </w:p>
              </w:tc>
              <w:tc>
                <w:tcPr>
                  <w:tcW w:w="2608" w:type="dxa"/>
                </w:tcPr>
                <w:p>
                  <w:pPr>
                    <w:rPr>
                      <w:rFonts w:hint="default" w:eastAsia="宋体"/>
                      <w:strike w:val="0"/>
                      <w:dstrike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符合公司对人员能力的要求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符合公司对人员能力的要求</w:t>
                  </w:r>
                </w:p>
              </w:tc>
              <w:tc>
                <w:tcPr>
                  <w:tcW w:w="1728" w:type="dxa"/>
                  <w:gridSpan w:val="2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符合公司对人员能力的要求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strike w:val="0"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</w:rPr>
                    <w:t>外部供方与组织的互动；</w:t>
                  </w:r>
                </w:p>
              </w:tc>
              <w:tc>
                <w:tcPr>
                  <w:tcW w:w="2608" w:type="dxa"/>
                </w:tcPr>
                <w:p>
                  <w:pPr>
                    <w:rPr>
                      <w:rFonts w:hint="default" w:eastAsia="宋体"/>
                      <w:strike w:val="0"/>
                      <w:dstrike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供方负责送货到需方仓库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供方负责送货到需方仓库</w:t>
                  </w:r>
                </w:p>
              </w:tc>
              <w:tc>
                <w:tcPr>
                  <w:tcW w:w="1728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供方负责送货到需方仓库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strike w:val="0"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</w:rPr>
                    <w:t>组织使用的外部供方绩效的控制和监视；</w:t>
                  </w:r>
                </w:p>
              </w:tc>
              <w:tc>
                <w:tcPr>
                  <w:tcW w:w="2608" w:type="dxa"/>
                </w:tcPr>
                <w:p>
                  <w:pPr>
                    <w:rPr>
                      <w:rFonts w:hint="default" w:eastAsia="宋体"/>
                      <w:strike w:val="0"/>
                      <w:dstrike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每年进行1次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每年进行1次</w:t>
                  </w:r>
                </w:p>
              </w:tc>
              <w:tc>
                <w:tcPr>
                  <w:tcW w:w="1728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每年进行1次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strike w:val="0"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</w:rPr>
                    <w:t>组织或其顾客拟在外部供方</w:t>
                  </w:r>
                </w:p>
                <w:p>
                  <w:pPr>
                    <w:rPr>
                      <w:strike w:val="0"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</w:rPr>
                    <w:t>实施的验证或确认活动。</w:t>
                  </w:r>
                </w:p>
              </w:tc>
              <w:tc>
                <w:tcPr>
                  <w:tcW w:w="2608" w:type="dxa"/>
                </w:tcPr>
                <w:p>
                  <w:pPr>
                    <w:rPr>
                      <w:rFonts w:hint="eastAsia" w:eastAsia="宋体"/>
                      <w:strike w:val="0"/>
                      <w:dstrike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不涉及</w:t>
                  </w:r>
                </w:p>
              </w:tc>
              <w:tc>
                <w:tcPr>
                  <w:tcW w:w="16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不涉及</w:t>
                  </w:r>
                </w:p>
              </w:tc>
              <w:tc>
                <w:tcPr>
                  <w:tcW w:w="1728" w:type="dxa"/>
                  <w:gridSpan w:val="2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 w:val="0"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dstrike w:val="0"/>
                      <w:highlight w:val="none"/>
                      <w:lang w:val="en-US" w:eastAsia="zh-CN"/>
                    </w:rPr>
                    <w:t>不涉及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strike w:val="0"/>
                      <w:dstrike w:val="0"/>
                      <w:highlight w:val="yellow"/>
                    </w:rPr>
                  </w:pPr>
                </w:p>
              </w:tc>
              <w:tc>
                <w:tcPr>
                  <w:tcW w:w="2608" w:type="dxa"/>
                </w:tcPr>
                <w:p>
                  <w:pPr>
                    <w:rPr>
                      <w:rFonts w:hint="eastAsia"/>
                      <w:strike w:val="0"/>
                      <w:dstrike w:val="0"/>
                      <w:highlight w:val="yellow"/>
                    </w:rPr>
                  </w:pPr>
                </w:p>
              </w:tc>
              <w:tc>
                <w:tcPr>
                  <w:tcW w:w="2427" w:type="dxa"/>
                  <w:gridSpan w:val="2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  <w:highlight w:val="yellow"/>
                    </w:rPr>
                  </w:pPr>
                </w:p>
              </w:tc>
              <w:tc>
                <w:tcPr>
                  <w:tcW w:w="967" w:type="dxa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strike/>
                      <w:dstrike w:val="0"/>
                      <w:highlight w:val="yellow"/>
                    </w:rPr>
                  </w:pPr>
                </w:p>
              </w:tc>
              <w:tc>
                <w:tcPr>
                  <w:tcW w:w="2608" w:type="dxa"/>
                </w:tcPr>
                <w:p>
                  <w:pPr>
                    <w:rPr>
                      <w:rFonts w:hint="eastAsia"/>
                      <w:strike/>
                      <w:dstrike w:val="0"/>
                      <w:highlight w:val="yellow"/>
                    </w:rPr>
                  </w:pPr>
                </w:p>
              </w:tc>
              <w:tc>
                <w:tcPr>
                  <w:tcW w:w="2427" w:type="dxa"/>
                  <w:gridSpan w:val="2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highlight w:val="yellow"/>
                    </w:rPr>
                  </w:pPr>
                </w:p>
              </w:tc>
              <w:tc>
                <w:tcPr>
                  <w:tcW w:w="967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0EC" w:themeFill="accent4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468" w:hRule="atLeast"/>
        </w:trPr>
        <w:tc>
          <w:tcPr>
            <w:tcW w:w="2214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06" w:type="dxa"/>
            <w:vMerge w:val="restart"/>
            <w:shd w:val="clear" w:color="auto" w:fill="E6E0EC" w:themeFill="accent4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Q8.2.1</w:t>
            </w:r>
          </w:p>
          <w:p>
            <w:pPr>
              <w:pStyle w:val="2"/>
              <w:jc w:val="both"/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745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质量与食品安全管理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与顾客有关过程控制程序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E6E0EC" w:themeFill="accent4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0EC" w:themeFill="accent4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180" w:hRule="atLeast"/>
        </w:trPr>
        <w:tc>
          <w:tcPr>
            <w:tcW w:w="2214" w:type="dxa"/>
            <w:vMerge w:val="continue"/>
            <w:shd w:val="clear" w:color="auto" w:fill="E6E0EC" w:themeFill="accent4" w:themeFillTint="32"/>
          </w:tcPr>
          <w:p/>
        </w:tc>
        <w:tc>
          <w:tcPr>
            <w:tcW w:w="906" w:type="dxa"/>
            <w:vMerge w:val="continue"/>
            <w:shd w:val="clear" w:color="auto" w:fill="E6E0EC" w:themeFill="accent4" w:themeFillTint="32"/>
          </w:tcPr>
          <w:p/>
        </w:tc>
        <w:tc>
          <w:tcPr>
            <w:tcW w:w="745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与顾客沟通的内容包括：</w:t>
            </w:r>
          </w:p>
          <w:p>
            <w:pPr>
              <w:pStyle w:val="10"/>
              <w:rPr>
                <w:rFonts w:hint="eastAsia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218"/>
              <w:gridCol w:w="2040"/>
              <w:gridCol w:w="26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218" w:type="dxa"/>
                </w:tcPr>
                <w:p/>
              </w:tc>
              <w:tc>
                <w:tcPr>
                  <w:tcW w:w="2040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667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21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0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667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采购订单》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  <w:p>
                  <w:pPr>
                    <w:pStyle w:val="10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21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0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667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采购订单》、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销售单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等</w:t>
                  </w:r>
                </w:p>
                <w:p>
                  <w:pPr>
                    <w:pStyle w:val="1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21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0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6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顾客满意度调查</w:t>
                  </w:r>
                  <w:r>
                    <w:rPr>
                      <w:rFonts w:hint="eastAsia"/>
                      <w:lang w:eastAsia="zh-CN"/>
                    </w:rPr>
                    <w:t>》、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顾客投诉处理单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21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>
                  <w:pPr>
                    <w:pStyle w:val="10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4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电话/现场沟通</w:t>
                  </w:r>
                </w:p>
              </w:tc>
              <w:tc>
                <w:tcPr>
                  <w:tcW w:w="26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 审核周期内暂未发生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21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04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面对面或者电话等</w:t>
                  </w:r>
                </w:p>
              </w:tc>
              <w:tc>
                <w:tcPr>
                  <w:tcW w:w="26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在MSDS和安全标签中包括：火灾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有安全应急预案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E6E0EC" w:themeFill="accent4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0EC" w:themeFill="accent4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468" w:hRule="atLeast"/>
        </w:trPr>
        <w:tc>
          <w:tcPr>
            <w:tcW w:w="2214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06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与顾客有关过程控制程序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E6E0EC" w:themeFill="accent4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0EC" w:themeFill="accent4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668" w:hRule="atLeast"/>
        </w:trPr>
        <w:tc>
          <w:tcPr>
            <w:tcW w:w="2214" w:type="dxa"/>
            <w:vMerge w:val="continue"/>
            <w:shd w:val="clear" w:color="auto" w:fill="E6E0EC" w:themeFill="accent4" w:themeFillTint="32"/>
          </w:tcPr>
          <w:p/>
        </w:tc>
        <w:tc>
          <w:tcPr>
            <w:tcW w:w="906" w:type="dxa"/>
            <w:vMerge w:val="continue"/>
            <w:shd w:val="clear" w:color="auto" w:fill="E6E0EC" w:themeFill="accent4" w:themeFillTint="32"/>
          </w:tcPr>
          <w:p/>
        </w:tc>
        <w:tc>
          <w:tcPr>
            <w:tcW w:w="745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食品安全国家标准、GB</w:t>
            </w:r>
            <w:r>
              <w:rPr>
                <w:rFonts w:hint="eastAsia"/>
                <w:u w:val="single"/>
                <w:lang w:val="en-US" w:eastAsia="zh-CN"/>
              </w:rPr>
              <w:t xml:space="preserve">30616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等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顾客</w:t>
            </w:r>
            <w:r>
              <w:rPr>
                <w:rFonts w:hint="eastAsia"/>
                <w:u w:val="single"/>
                <w:lang w:val="en-US" w:eastAsia="zh-CN"/>
              </w:rPr>
              <w:t>特殊</w:t>
            </w:r>
            <w:r>
              <w:rPr>
                <w:rFonts w:hint="eastAsia"/>
                <w:u w:val="single"/>
              </w:rPr>
              <w:t>要求</w:t>
            </w:r>
            <w:r>
              <w:rPr>
                <w:rFonts w:hint="eastAsia"/>
                <w:u w:val="single"/>
                <w:lang w:eastAsia="zh-CN"/>
              </w:rPr>
              <w:t>【</w:t>
            </w:r>
            <w:r>
              <w:rPr>
                <w:rFonts w:hint="eastAsia"/>
                <w:u w:val="single"/>
                <w:lang w:val="en-US" w:eastAsia="zh-CN"/>
              </w:rPr>
              <w:t>暂无特殊要求</w:t>
            </w:r>
            <w:r>
              <w:rPr>
                <w:rFonts w:hint="eastAsia"/>
                <w:u w:val="single"/>
                <w:lang w:eastAsia="zh-CN"/>
              </w:rPr>
              <w:t>】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  <w:p>
            <w:pPr>
              <w:rPr>
                <w:rFonts w:hint="eastAsia"/>
                <w:u w:val="single"/>
              </w:rPr>
            </w:pPr>
          </w:p>
          <w:p>
            <w:r>
              <w:rPr>
                <w:rFonts w:hint="eastAsia"/>
                <w:lang w:val="en-US" w:eastAsia="zh-CN"/>
              </w:rPr>
              <w:t>提供的产品和服务能够满足所声明的要求的证据，如：</w:t>
            </w:r>
            <w:r>
              <w:rPr>
                <w:rFonts w:hint="eastAsia"/>
                <w:u w:val="single"/>
                <w:lang w:val="en-US" w:eastAsia="zh-CN"/>
              </w:rPr>
              <w:t>《采购订单》、《浙食链系统》、《出厂检验报告》等</w:t>
            </w:r>
            <w:r>
              <w:rPr>
                <w:rFonts w:hint="eastAsia"/>
                <w:u w:val="single"/>
              </w:rPr>
              <w:t xml:space="preserve">      </w:t>
            </w:r>
          </w:p>
        </w:tc>
        <w:tc>
          <w:tcPr>
            <w:tcW w:w="1585" w:type="dxa"/>
            <w:vMerge w:val="continue"/>
            <w:shd w:val="clear" w:color="auto" w:fill="E6E0EC" w:themeFill="accent4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0EC" w:themeFill="accent4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468" w:hRule="atLeast"/>
        </w:trPr>
        <w:tc>
          <w:tcPr>
            <w:tcW w:w="2214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06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与顾客有关过程控制程序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E6E0EC" w:themeFill="accent4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0EC" w:themeFill="accent4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765" w:hRule="atLeast"/>
        </w:trPr>
        <w:tc>
          <w:tcPr>
            <w:tcW w:w="2214" w:type="dxa"/>
            <w:vMerge w:val="continue"/>
            <w:shd w:val="clear" w:color="auto" w:fill="E6E0EC" w:themeFill="accent4" w:themeFillTint="32"/>
          </w:tcPr>
          <w:p/>
        </w:tc>
        <w:tc>
          <w:tcPr>
            <w:tcW w:w="906" w:type="dxa"/>
            <w:vMerge w:val="continue"/>
            <w:shd w:val="clear" w:color="auto" w:fill="E6E0EC" w:themeFill="accent4" w:themeFillTint="32"/>
          </w:tcPr>
          <w:p/>
        </w:tc>
        <w:tc>
          <w:tcPr>
            <w:tcW w:w="745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56"/>
              <w:gridCol w:w="48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56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88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产品质量要求、交货期及交货地点、结算方式、产品质量验收标准及方法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56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88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确保产品质量和安全，符合客户订单的要求，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56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88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产品符合企业内控指标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56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88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u w:val="single"/>
                    </w:rPr>
                    <w:t>食品安全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法</w:t>
                  </w:r>
                  <w:r>
                    <w:rPr>
                      <w:rFonts w:hint="eastAsia"/>
                      <w:u w:val="single"/>
                    </w:rPr>
                    <w:t>、GB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30616-2020 </w:t>
                  </w:r>
                  <w:r>
                    <w:rPr>
                      <w:rFonts w:hint="eastAsia"/>
                      <w:sz w:val="21"/>
                      <w:szCs w:val="21"/>
                      <w:u w:val="single"/>
                      <w:lang w:val="en-US" w:eastAsia="zh-CN"/>
                    </w:rPr>
                    <w:t>等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156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887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56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887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2"/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抽取产品和服务要求的评审相关记录名称：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采购订单 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8"/>
              <w:tblW w:w="90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2"/>
              <w:gridCol w:w="1618"/>
              <w:gridCol w:w="1088"/>
              <w:gridCol w:w="1221"/>
              <w:gridCol w:w="1014"/>
              <w:gridCol w:w="27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</w:trPr>
              <w:tc>
                <w:tcPr>
                  <w:tcW w:w="1322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18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088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规格型号</w:t>
                  </w:r>
                </w:p>
              </w:tc>
              <w:tc>
                <w:tcPr>
                  <w:tcW w:w="1221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数量</w:t>
                  </w:r>
                  <w:r>
                    <w:rPr>
                      <w:highlight w:val="none"/>
                    </w:rPr>
                    <w:t>/</w:t>
                  </w:r>
                  <w:r>
                    <w:rPr>
                      <w:rFonts w:hint="eastAsia"/>
                      <w:highlight w:val="none"/>
                    </w:rPr>
                    <w:t>金</w:t>
                  </w:r>
                  <w:r>
                    <w:rPr>
                      <w:highlight w:val="none"/>
                    </w:rPr>
                    <w:t>额</w:t>
                  </w:r>
                </w:p>
              </w:tc>
              <w:tc>
                <w:tcPr>
                  <w:tcW w:w="1014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实际交付日期</w:t>
                  </w:r>
                </w:p>
              </w:tc>
              <w:tc>
                <w:tcPr>
                  <w:tcW w:w="2793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客</w:t>
                  </w:r>
                  <w:r>
                    <w:rPr>
                      <w:highlight w:val="none"/>
                    </w:rPr>
                    <w:t>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</w:trPr>
              <w:tc>
                <w:tcPr>
                  <w:tcW w:w="1322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2022-10-24 </w:t>
                  </w:r>
                </w:p>
              </w:tc>
              <w:tc>
                <w:tcPr>
                  <w:tcW w:w="161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牛油果香精、黄金芒果香精</w:t>
                  </w:r>
                </w:p>
              </w:tc>
              <w:tc>
                <w:tcPr>
                  <w:tcW w:w="1088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各40kg</w:t>
                  </w:r>
                </w:p>
              </w:tc>
              <w:tc>
                <w:tcPr>
                  <w:tcW w:w="1221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合计11760元</w:t>
                  </w:r>
                </w:p>
              </w:tc>
              <w:tc>
                <w:tcPr>
                  <w:tcW w:w="1014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按照客户订单执行</w:t>
                  </w:r>
                </w:p>
              </w:tc>
              <w:tc>
                <w:tcPr>
                  <w:tcW w:w="2793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深圳市安盛科技电子贸易有限公（订单编号：CGDD-20221024-00020）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</w:trPr>
              <w:tc>
                <w:tcPr>
                  <w:tcW w:w="1322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2022-11-22</w:t>
                  </w:r>
                </w:p>
              </w:tc>
              <w:tc>
                <w:tcPr>
                  <w:tcW w:w="161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椰子水香精、覆盆子香精</w:t>
                  </w:r>
                </w:p>
              </w:tc>
              <w:tc>
                <w:tcPr>
                  <w:tcW w:w="1088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各10kg</w:t>
                  </w:r>
                </w:p>
              </w:tc>
              <w:tc>
                <w:tcPr>
                  <w:tcW w:w="1221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合计3450元</w:t>
                  </w:r>
                </w:p>
              </w:tc>
              <w:tc>
                <w:tcPr>
                  <w:tcW w:w="1014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按照客户订单执行</w:t>
                  </w:r>
                </w:p>
              </w:tc>
              <w:tc>
                <w:tcPr>
                  <w:tcW w:w="2793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深圳市安盛科技电子贸易有限公（订单编号：CGDD-20221122-014）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32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2022-09-26</w:t>
                  </w:r>
                </w:p>
              </w:tc>
              <w:tc>
                <w:tcPr>
                  <w:tcW w:w="161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蓝莓香精、茉莉香精</w:t>
                  </w:r>
                </w:p>
              </w:tc>
              <w:tc>
                <w:tcPr>
                  <w:tcW w:w="1088" w:type="dxa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30kg，10kg</w:t>
                  </w:r>
                </w:p>
              </w:tc>
              <w:tc>
                <w:tcPr>
                  <w:tcW w:w="1221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合计4392元</w:t>
                  </w:r>
                </w:p>
              </w:tc>
              <w:tc>
                <w:tcPr>
                  <w:tcW w:w="101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按照客户订单执行</w:t>
                  </w:r>
                </w:p>
              </w:tc>
              <w:tc>
                <w:tcPr>
                  <w:tcW w:w="2793" w:type="dxa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深圳市艾普生物科技有限公司（订单编号：P00RD004312）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8" w:hRule="atLeast"/>
              </w:trPr>
              <w:tc>
                <w:tcPr>
                  <w:tcW w:w="1322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2222-10-19</w:t>
                  </w:r>
                </w:p>
              </w:tc>
              <w:tc>
                <w:tcPr>
                  <w:tcW w:w="161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草莓香精、树莓香精、西瓜香精、汽水香精等</w:t>
                  </w:r>
                </w:p>
              </w:tc>
              <w:tc>
                <w:tcPr>
                  <w:tcW w:w="108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300kg，300kg，160kg，60kg等</w:t>
                  </w:r>
                </w:p>
              </w:tc>
              <w:tc>
                <w:tcPr>
                  <w:tcW w:w="1221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合计139779元</w:t>
                  </w:r>
                </w:p>
              </w:tc>
              <w:tc>
                <w:tcPr>
                  <w:tcW w:w="1014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按照客户订单执行</w:t>
                  </w:r>
                </w:p>
              </w:tc>
              <w:tc>
                <w:tcPr>
                  <w:tcW w:w="2793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深圳市悦拓生物科技有限公司（订单编号：YT20221019007）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322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18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8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21" w:type="dxa"/>
                </w:tcPr>
                <w:p>
                  <w:pPr>
                    <w:jc w:val="center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9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与先前合同或订单的要求存在差异，有关事项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已得到解决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未解决，说明</w:t>
            </w:r>
            <w:r>
              <w:rPr>
                <w:rFonts w:hint="eastAsia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对顾客没有提供形成文件的要求，在接受顾客要求前应对顾客要求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进行确认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未进行确认，说明</w:t>
            </w:r>
            <w:r>
              <w:rPr>
                <w:rFonts w:hint="eastAsia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暂无需要沟通解决的问题</w:t>
            </w:r>
            <w:r>
              <w:rPr>
                <w:rFonts w:hint="eastAsia"/>
                <w:highlight w:val="none"/>
                <w:u w:val="single"/>
              </w:rPr>
              <w:t xml:space="preserve">        </w:t>
            </w:r>
            <w:r>
              <w:rPr>
                <w:rFonts w:hint="eastAsia"/>
                <w:highlight w:val="none"/>
              </w:rPr>
              <w:t xml:space="preserve">。 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网上销售——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已存在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不存在 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不适用</w:t>
            </w:r>
          </w:p>
          <w:p>
            <w:pPr>
              <w:pStyle w:val="2"/>
              <w:rPr>
                <w:rFonts w:hint="eastAsia"/>
                <w:highlight w:val="yellow"/>
                <w:lang w:eastAsia="zh-CN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查看公司网站的产品信息，如产品目录：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不适用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具备提供产品或服务的能力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  <w:shd w:val="clear" w:color="auto" w:fill="E6E0EC" w:themeFill="accent4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0EC" w:themeFill="accent4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468" w:hRule="atLeast"/>
        </w:trPr>
        <w:tc>
          <w:tcPr>
            <w:tcW w:w="2214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06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顾客要求评审程序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E6E0EC" w:themeFill="accent4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0EC" w:themeFill="accent4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629" w:hRule="atLeast"/>
        </w:trPr>
        <w:tc>
          <w:tcPr>
            <w:tcW w:w="2214" w:type="dxa"/>
            <w:vMerge w:val="continue"/>
            <w:shd w:val="clear" w:color="auto" w:fill="E6E0EC" w:themeFill="accent4" w:themeFillTint="32"/>
          </w:tcPr>
          <w:p/>
        </w:tc>
        <w:tc>
          <w:tcPr>
            <w:tcW w:w="906" w:type="dxa"/>
            <w:vMerge w:val="continue"/>
            <w:shd w:val="clear" w:color="auto" w:fill="E6E0EC" w:themeFill="accent4" w:themeFillTint="32"/>
          </w:tcPr>
          <w:p/>
        </w:tc>
        <w:tc>
          <w:tcPr>
            <w:tcW w:w="745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数量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审核周期内</w:t>
            </w:r>
            <w:r>
              <w:rPr>
                <w:rFonts w:hint="eastAsia"/>
                <w:u w:val="single"/>
              </w:rPr>
              <w:t>未发生变更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  <w:shd w:val="clear" w:color="auto" w:fill="E6E0EC" w:themeFill="accent4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19" w:type="dxa"/>
            <w:gridSpan w:val="2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06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.5</w:t>
            </w:r>
            <w:r>
              <w:rPr>
                <w:rFonts w:hint="eastAsia"/>
              </w:rPr>
              <w:t>条款、口《产品/服务提供控制程序》</w:t>
            </w:r>
          </w:p>
        </w:tc>
        <w:tc>
          <w:tcPr>
            <w:tcW w:w="1613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2219" w:type="dxa"/>
            <w:gridSpan w:val="2"/>
            <w:vMerge w:val="continue"/>
          </w:tcPr>
          <w:p/>
        </w:tc>
        <w:tc>
          <w:tcPr>
            <w:tcW w:w="90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异常情况处理：（审核周期内，未发生）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613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19" w:type="dxa"/>
            <w:gridSpan w:val="2"/>
            <w:vMerge w:val="continue"/>
          </w:tcPr>
          <w:p/>
        </w:tc>
        <w:tc>
          <w:tcPr>
            <w:tcW w:w="90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防护得当（不涉及）</w:t>
            </w:r>
          </w:p>
          <w:p/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防护得当（不涉及）</w:t>
            </w:r>
          </w:p>
          <w:p>
            <w:pPr>
              <w:pStyle w:val="2"/>
              <w:ind w:left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</w:rPr>
              <w:t>主要在供销部通过档案进行管理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有合同/订单等证据</w:t>
            </w:r>
            <w:bookmarkStart w:id="1" w:name="_GoBack"/>
            <w:bookmarkEnd w:id="1"/>
          </w:p>
        </w:tc>
        <w:tc>
          <w:tcPr>
            <w:tcW w:w="1613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0EC" w:themeFill="accent4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468" w:hRule="atLeast"/>
        </w:trPr>
        <w:tc>
          <w:tcPr>
            <w:tcW w:w="2214" w:type="dxa"/>
            <w:vMerge w:val="restart"/>
            <w:shd w:val="clear" w:color="auto" w:fill="E6E0EC" w:themeFill="accent4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交付后的活动</w:t>
            </w:r>
          </w:p>
        </w:tc>
        <w:tc>
          <w:tcPr>
            <w:tcW w:w="906" w:type="dxa"/>
            <w:vMerge w:val="restart"/>
            <w:shd w:val="clear" w:color="auto" w:fill="E6E0EC" w:themeFill="accent4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Q8.5.5 </w:t>
            </w:r>
          </w:p>
        </w:tc>
        <w:tc>
          <w:tcPr>
            <w:tcW w:w="745" w:type="dxa"/>
            <w:shd w:val="clear" w:color="auto" w:fill="E6E0EC" w:themeFill="accent4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手册8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顾客要求评审程序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服务管理程序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E6E0EC" w:themeFill="accent4" w:themeFillTint="32"/>
          </w:tcPr>
          <w:p>
            <w:pPr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fldChar w:fldCharType="begin"/>
            </w:r>
            <w:r>
              <w:rPr>
                <w:rFonts w:ascii="宋体" w:hAnsi="宋体"/>
                <w:color w:val="auto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)</w:instrText>
            </w:r>
            <w:r>
              <w:rPr>
                <w:rFonts w:ascii="宋体" w:hAnsi="宋体"/>
                <w:color w:val="auto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highlight w:val="none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0EC" w:themeFill="accent4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765" w:hRule="atLeast"/>
        </w:trPr>
        <w:tc>
          <w:tcPr>
            <w:tcW w:w="2214" w:type="dxa"/>
            <w:vMerge w:val="continue"/>
            <w:shd w:val="clear" w:color="auto" w:fill="E6E0EC" w:themeFill="accent4" w:themeFillTint="32"/>
          </w:tcPr>
          <w:p>
            <w:pPr>
              <w:rPr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E6E0EC" w:themeFill="accent4" w:themeFillTint="32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E6E0EC" w:themeFill="accent4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交付后服务的内容：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技术咨询/培训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安装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调试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维修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</w:instrText>
            </w:r>
            <w:r>
              <w:rPr>
                <w:rFonts w:hint="eastAsia"/>
                <w:highlight w:val="none"/>
              </w:rPr>
              <w:instrText xml:space="preserve">eq \o\ac(□</w:instrText>
            </w:r>
            <w:r>
              <w:rPr>
                <w:rFonts w:hint="eastAsia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/>
                <w:highlight w:val="none"/>
              </w:rPr>
              <w:instrText xml:space="preserve">)</w:instrText>
            </w:r>
            <w:r>
              <w:rPr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回收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最终报废处置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其他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 xml:space="preserve">退换货  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pStyle w:val="1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抽取交付后的活动控制相关记录名称：《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顾客投诉处理报告单</w:t>
            </w:r>
            <w:r>
              <w:rPr>
                <w:rFonts w:hint="eastAsia"/>
                <w:highlight w:val="none"/>
                <w:u w:val="single"/>
              </w:rPr>
              <w:t xml:space="preserve">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highlight w:val="none"/>
                      <w:lang w:val="en-US" w:eastAsia="zh-CN"/>
                    </w:rPr>
                    <w:t>2022-11-15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highlight w:val="none"/>
                      <w:lang w:val="en-US" w:eastAsia="zh-CN"/>
                    </w:rPr>
                    <w:t>B2012咖啡香精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highlight w:val="none"/>
                      <w:lang w:val="en-US" w:eastAsia="zh-CN"/>
                    </w:rPr>
                    <w:t>远程电话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highlight w:val="none"/>
                      <w:lang w:val="en-US" w:eastAsia="zh-CN"/>
                    </w:rPr>
                    <w:t>货跟样品香气不一样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highlight w:val="none"/>
                      <w:lang w:val="en-US" w:eastAsia="zh-CN"/>
                    </w:rPr>
                    <w:t>2022-11-15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highlight w:val="none"/>
                      <w:lang w:val="en-US" w:eastAsia="zh-CN"/>
                    </w:rPr>
                    <w:t>给客户退货，并发新货，客户基本满意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  <w:shd w:val="clear" w:color="auto" w:fill="E6E0EC" w:themeFill="accent4" w:themeFillTint="32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0EC" w:themeFill="accent4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486" w:hRule="atLeast"/>
        </w:trPr>
        <w:tc>
          <w:tcPr>
            <w:tcW w:w="2214" w:type="dxa"/>
            <w:vMerge w:val="restart"/>
            <w:shd w:val="clear" w:color="auto" w:fill="E6E0EC" w:themeFill="accent4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顾客满意</w:t>
            </w:r>
          </w:p>
        </w:tc>
        <w:tc>
          <w:tcPr>
            <w:tcW w:w="906" w:type="dxa"/>
            <w:vMerge w:val="restart"/>
            <w:shd w:val="clear" w:color="auto" w:fill="E6E0EC" w:themeFill="accent4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Q9.1.2</w:t>
            </w:r>
          </w:p>
        </w:tc>
        <w:tc>
          <w:tcPr>
            <w:tcW w:w="745" w:type="dxa"/>
            <w:shd w:val="clear" w:color="auto" w:fill="E6E0EC" w:themeFill="accent4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《顾客满意度测量控制程序》</w:t>
            </w:r>
          </w:p>
        </w:tc>
        <w:tc>
          <w:tcPr>
            <w:tcW w:w="1585" w:type="dxa"/>
            <w:vMerge w:val="restart"/>
            <w:shd w:val="clear" w:color="auto" w:fill="E6E0EC" w:themeFill="accent4" w:themeFillTint="32"/>
          </w:tcPr>
          <w:p>
            <w:pPr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fldChar w:fldCharType="begin"/>
            </w:r>
            <w:r>
              <w:rPr>
                <w:rFonts w:ascii="宋体" w:hAnsi="宋体"/>
                <w:color w:val="auto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)</w:instrText>
            </w:r>
            <w:r>
              <w:rPr>
                <w:rFonts w:ascii="宋体" w:hAnsi="宋体"/>
                <w:color w:val="auto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highlight w:val="none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0EC" w:themeFill="accent4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931" w:hRule="atLeast"/>
        </w:trPr>
        <w:tc>
          <w:tcPr>
            <w:tcW w:w="2214" w:type="dxa"/>
            <w:vMerge w:val="continue"/>
            <w:shd w:val="clear" w:color="auto" w:fill="E6E0EC" w:themeFill="accent4" w:themeFillTint="32"/>
          </w:tcPr>
          <w:p>
            <w:pPr>
              <w:rPr>
                <w:highlight w:val="none"/>
              </w:rPr>
            </w:pPr>
          </w:p>
        </w:tc>
        <w:tc>
          <w:tcPr>
            <w:tcW w:w="906" w:type="dxa"/>
            <w:vMerge w:val="continue"/>
            <w:shd w:val="clear" w:color="auto" w:fill="E6E0EC" w:themeFill="accent4" w:themeFillTint="32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E6E0EC" w:themeFill="accent4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color w:val="000000"/>
                <w:szCs w:val="18"/>
                <w:highlight w:val="none"/>
              </w:rPr>
              <w:t>自管理体系建立后/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556"/>
              <w:gridCol w:w="3990"/>
              <w:gridCol w:w="15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顾客满意获取方法</w:t>
                  </w:r>
                </w:p>
              </w:tc>
              <w:tc>
                <w:tcPr>
                  <w:tcW w:w="15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获取周期</w:t>
                  </w:r>
                </w:p>
              </w:tc>
              <w:tc>
                <w:tcPr>
                  <w:tcW w:w="39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评价概述或结果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顾客调查</w:t>
                  </w:r>
                </w:p>
              </w:tc>
              <w:tc>
                <w:tcPr>
                  <w:tcW w:w="15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399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份问卷；收回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份 ，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顾客满意度调查表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》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结果：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顾客基本满意。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顾客对交付产品或服务的反馈</w:t>
                  </w:r>
                </w:p>
              </w:tc>
              <w:tc>
                <w:tcPr>
                  <w:tcW w:w="15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每批</w:t>
                  </w:r>
                </w:p>
              </w:tc>
              <w:tc>
                <w:tcPr>
                  <w:tcW w:w="399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发生过1次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顾客座谈</w:t>
                  </w:r>
                </w:p>
              </w:tc>
              <w:tc>
                <w:tcPr>
                  <w:tcW w:w="155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399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市场占有率分析</w:t>
                  </w:r>
                </w:p>
              </w:tc>
              <w:tc>
                <w:tcPr>
                  <w:tcW w:w="155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39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顾客赞扬</w:t>
                  </w:r>
                </w:p>
              </w:tc>
              <w:tc>
                <w:tcPr>
                  <w:tcW w:w="15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随时</w:t>
                  </w:r>
                </w:p>
              </w:tc>
              <w:tc>
                <w:tcPr>
                  <w:tcW w:w="39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没有发生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担保索赔</w:t>
                  </w:r>
                </w:p>
              </w:tc>
              <w:tc>
                <w:tcPr>
                  <w:tcW w:w="15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每批</w:t>
                  </w:r>
                </w:p>
              </w:tc>
              <w:tc>
                <w:tcPr>
                  <w:tcW w:w="39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经销商报告</w:t>
                  </w:r>
                </w:p>
              </w:tc>
              <w:tc>
                <w:tcPr>
                  <w:tcW w:w="15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399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E6E0EC" w:themeFill="accent4" w:themeFillTint="32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28" w:type="dxa"/>
          <w:trHeight w:val="90" w:hRule="atLeast"/>
        </w:trPr>
        <w:tc>
          <w:tcPr>
            <w:tcW w:w="2214" w:type="dxa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06" w:type="dxa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585" w:type="dxa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7678420</wp:posOffset>
              </wp:positionH>
              <wp:positionV relativeFrom="paragraph">
                <wp:posOffset>194310</wp:posOffset>
              </wp:positionV>
              <wp:extent cx="1497965" cy="256540"/>
              <wp:effectExtent l="0" t="0" r="635" b="1016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04.6pt;margin-top:15.3pt;height:20.2pt;width:117.95pt;z-index:251660288;mso-width-relative:page;mso-height-relative:page;" fillcolor="#FFFFFF" filled="t" stroked="f" coordsize="21600,21600" o:gfxdata="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mi8V/2AAAAAsBAAAPAAAAAAAAAAEAIAAAACIAAABkcnMvZG93bnJl&#10;di54bWxQSwECFAAUAAAACACHTuJA7dtsHcQBAAB3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-20320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  <w:docVar w:name="KSO_WPS_MARK_KEY" w:val="a261673c-fb91-4830-80ef-98a3b752b56a"/>
  </w:docVars>
  <w:rsids>
    <w:rsidRoot w:val="009973B4"/>
    <w:rsid w:val="000237F6"/>
    <w:rsid w:val="0003373A"/>
    <w:rsid w:val="000400E2"/>
    <w:rsid w:val="00062E46"/>
    <w:rsid w:val="000B79E3"/>
    <w:rsid w:val="000E3204"/>
    <w:rsid w:val="000E6B21"/>
    <w:rsid w:val="00122075"/>
    <w:rsid w:val="00171679"/>
    <w:rsid w:val="001773AF"/>
    <w:rsid w:val="001A2D7F"/>
    <w:rsid w:val="001A51B0"/>
    <w:rsid w:val="001F36D0"/>
    <w:rsid w:val="00210204"/>
    <w:rsid w:val="00221B13"/>
    <w:rsid w:val="00241DEF"/>
    <w:rsid w:val="00243015"/>
    <w:rsid w:val="0027309B"/>
    <w:rsid w:val="002939AD"/>
    <w:rsid w:val="002C664E"/>
    <w:rsid w:val="00305BEA"/>
    <w:rsid w:val="00314AF6"/>
    <w:rsid w:val="00337922"/>
    <w:rsid w:val="00340867"/>
    <w:rsid w:val="00355667"/>
    <w:rsid w:val="00362B03"/>
    <w:rsid w:val="00380837"/>
    <w:rsid w:val="003A198A"/>
    <w:rsid w:val="003D08C9"/>
    <w:rsid w:val="00410914"/>
    <w:rsid w:val="0048201E"/>
    <w:rsid w:val="004B5C09"/>
    <w:rsid w:val="004C0B44"/>
    <w:rsid w:val="00536930"/>
    <w:rsid w:val="00564E53"/>
    <w:rsid w:val="00565EE9"/>
    <w:rsid w:val="005B5BD8"/>
    <w:rsid w:val="005D5659"/>
    <w:rsid w:val="00600C20"/>
    <w:rsid w:val="0063353F"/>
    <w:rsid w:val="00644FE2"/>
    <w:rsid w:val="00646668"/>
    <w:rsid w:val="0067640C"/>
    <w:rsid w:val="00681BAF"/>
    <w:rsid w:val="00690136"/>
    <w:rsid w:val="006E33B6"/>
    <w:rsid w:val="006E678B"/>
    <w:rsid w:val="006E7B1D"/>
    <w:rsid w:val="007115EB"/>
    <w:rsid w:val="007757F3"/>
    <w:rsid w:val="007C1B48"/>
    <w:rsid w:val="007E3B15"/>
    <w:rsid w:val="007E6AEB"/>
    <w:rsid w:val="00826637"/>
    <w:rsid w:val="00851CEC"/>
    <w:rsid w:val="008973EE"/>
    <w:rsid w:val="00921913"/>
    <w:rsid w:val="009532DC"/>
    <w:rsid w:val="00971600"/>
    <w:rsid w:val="00972F81"/>
    <w:rsid w:val="009973B4"/>
    <w:rsid w:val="009C28C1"/>
    <w:rsid w:val="009E6741"/>
    <w:rsid w:val="009F486D"/>
    <w:rsid w:val="009F7EED"/>
    <w:rsid w:val="00A31DEF"/>
    <w:rsid w:val="00A557F6"/>
    <w:rsid w:val="00A80636"/>
    <w:rsid w:val="00AA760D"/>
    <w:rsid w:val="00AF0AAB"/>
    <w:rsid w:val="00B5672F"/>
    <w:rsid w:val="00B835FE"/>
    <w:rsid w:val="00BB72B1"/>
    <w:rsid w:val="00BF597E"/>
    <w:rsid w:val="00C51A36"/>
    <w:rsid w:val="00C55228"/>
    <w:rsid w:val="00C579AA"/>
    <w:rsid w:val="00C63768"/>
    <w:rsid w:val="00CB3731"/>
    <w:rsid w:val="00CD141B"/>
    <w:rsid w:val="00CD5FC0"/>
    <w:rsid w:val="00CE315A"/>
    <w:rsid w:val="00D06F59"/>
    <w:rsid w:val="00D8388C"/>
    <w:rsid w:val="00DC5FE3"/>
    <w:rsid w:val="00DD53EE"/>
    <w:rsid w:val="00DD601F"/>
    <w:rsid w:val="00DD7454"/>
    <w:rsid w:val="00DE3E05"/>
    <w:rsid w:val="00E2733D"/>
    <w:rsid w:val="00E6224C"/>
    <w:rsid w:val="00E82C36"/>
    <w:rsid w:val="00E848FE"/>
    <w:rsid w:val="00E97B0A"/>
    <w:rsid w:val="00EB0164"/>
    <w:rsid w:val="00ED0F62"/>
    <w:rsid w:val="00EF6744"/>
    <w:rsid w:val="00F8074F"/>
    <w:rsid w:val="00FC1366"/>
    <w:rsid w:val="00FF72CC"/>
    <w:rsid w:val="01212A83"/>
    <w:rsid w:val="01260C71"/>
    <w:rsid w:val="012D092D"/>
    <w:rsid w:val="01D274B5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C6170"/>
    <w:rsid w:val="050D3D1E"/>
    <w:rsid w:val="05107A08"/>
    <w:rsid w:val="05231C26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87161D"/>
    <w:rsid w:val="06994A8D"/>
    <w:rsid w:val="06AA7E97"/>
    <w:rsid w:val="06ED612A"/>
    <w:rsid w:val="08767210"/>
    <w:rsid w:val="08851DD7"/>
    <w:rsid w:val="08C22483"/>
    <w:rsid w:val="08ED1EE8"/>
    <w:rsid w:val="08FB4323"/>
    <w:rsid w:val="09005957"/>
    <w:rsid w:val="096333C5"/>
    <w:rsid w:val="09933EF9"/>
    <w:rsid w:val="09AA0CA5"/>
    <w:rsid w:val="09EF285E"/>
    <w:rsid w:val="09FA6045"/>
    <w:rsid w:val="0A0F142E"/>
    <w:rsid w:val="0A147CC9"/>
    <w:rsid w:val="0A1C56C1"/>
    <w:rsid w:val="0A3B44BE"/>
    <w:rsid w:val="0A904067"/>
    <w:rsid w:val="0ACA6ED2"/>
    <w:rsid w:val="0ACE51B6"/>
    <w:rsid w:val="0AEF4D8D"/>
    <w:rsid w:val="0B5A6731"/>
    <w:rsid w:val="0BE64DFF"/>
    <w:rsid w:val="0BFB50F5"/>
    <w:rsid w:val="0C5423F7"/>
    <w:rsid w:val="0C8009B8"/>
    <w:rsid w:val="0C913FB2"/>
    <w:rsid w:val="0CC102DA"/>
    <w:rsid w:val="0D181113"/>
    <w:rsid w:val="0D1E4D9B"/>
    <w:rsid w:val="0D3E2310"/>
    <w:rsid w:val="0D4D1326"/>
    <w:rsid w:val="0D6A2C36"/>
    <w:rsid w:val="0DB35CC0"/>
    <w:rsid w:val="0E49595F"/>
    <w:rsid w:val="0E8B5ACB"/>
    <w:rsid w:val="0EB8524B"/>
    <w:rsid w:val="0EC82C9D"/>
    <w:rsid w:val="0F112C5A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21C04"/>
    <w:rsid w:val="11BD2BE2"/>
    <w:rsid w:val="11BE2038"/>
    <w:rsid w:val="11DC0AC4"/>
    <w:rsid w:val="11E2439D"/>
    <w:rsid w:val="12563B2D"/>
    <w:rsid w:val="12953212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066C0E"/>
    <w:rsid w:val="145B46D3"/>
    <w:rsid w:val="14A05802"/>
    <w:rsid w:val="14BF72A8"/>
    <w:rsid w:val="14C400FD"/>
    <w:rsid w:val="14DA3C5B"/>
    <w:rsid w:val="14F1297E"/>
    <w:rsid w:val="14F26225"/>
    <w:rsid w:val="15023387"/>
    <w:rsid w:val="15051B66"/>
    <w:rsid w:val="151414F9"/>
    <w:rsid w:val="15167847"/>
    <w:rsid w:val="154C7AB0"/>
    <w:rsid w:val="155F4281"/>
    <w:rsid w:val="1580220E"/>
    <w:rsid w:val="15BC540D"/>
    <w:rsid w:val="16210B83"/>
    <w:rsid w:val="16583F2B"/>
    <w:rsid w:val="169D3E09"/>
    <w:rsid w:val="16AB3CAD"/>
    <w:rsid w:val="16DF14C5"/>
    <w:rsid w:val="16E341B9"/>
    <w:rsid w:val="16F10A78"/>
    <w:rsid w:val="16F60A4C"/>
    <w:rsid w:val="17226BDD"/>
    <w:rsid w:val="17446813"/>
    <w:rsid w:val="176D1242"/>
    <w:rsid w:val="177551EA"/>
    <w:rsid w:val="179B1D36"/>
    <w:rsid w:val="17C079EC"/>
    <w:rsid w:val="17F76BA3"/>
    <w:rsid w:val="182A66F0"/>
    <w:rsid w:val="184D1C21"/>
    <w:rsid w:val="186A6524"/>
    <w:rsid w:val="186F767B"/>
    <w:rsid w:val="187F0353"/>
    <w:rsid w:val="188852B3"/>
    <w:rsid w:val="18AE41EE"/>
    <w:rsid w:val="18E725C6"/>
    <w:rsid w:val="18E935BC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975B8D"/>
    <w:rsid w:val="1BF54651"/>
    <w:rsid w:val="1C392A3A"/>
    <w:rsid w:val="1CB1322F"/>
    <w:rsid w:val="1D171355"/>
    <w:rsid w:val="1D1B443C"/>
    <w:rsid w:val="1D4C7A3F"/>
    <w:rsid w:val="1D4D4A00"/>
    <w:rsid w:val="1D7A3AD2"/>
    <w:rsid w:val="1DC4038A"/>
    <w:rsid w:val="1DF36090"/>
    <w:rsid w:val="1DFE25B1"/>
    <w:rsid w:val="1E1D5C58"/>
    <w:rsid w:val="1E277D75"/>
    <w:rsid w:val="1E511FFA"/>
    <w:rsid w:val="1E752FA2"/>
    <w:rsid w:val="1E9A57F3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03038"/>
    <w:rsid w:val="20272451"/>
    <w:rsid w:val="203255D2"/>
    <w:rsid w:val="20403C64"/>
    <w:rsid w:val="20482782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7B12FA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6C2ADB"/>
    <w:rsid w:val="27CF15FE"/>
    <w:rsid w:val="27D42EE9"/>
    <w:rsid w:val="27E10A81"/>
    <w:rsid w:val="27FE6486"/>
    <w:rsid w:val="280B3F2E"/>
    <w:rsid w:val="281E23C5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E9514C"/>
    <w:rsid w:val="2B0D2F04"/>
    <w:rsid w:val="2B1D2572"/>
    <w:rsid w:val="2B206A2D"/>
    <w:rsid w:val="2B474354"/>
    <w:rsid w:val="2B4C1179"/>
    <w:rsid w:val="2BD60481"/>
    <w:rsid w:val="2BEA3FA7"/>
    <w:rsid w:val="2C2E44D4"/>
    <w:rsid w:val="2C5D192B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B04157"/>
    <w:rsid w:val="30C71DD4"/>
    <w:rsid w:val="30D2231F"/>
    <w:rsid w:val="30DC7CB1"/>
    <w:rsid w:val="30ED30CC"/>
    <w:rsid w:val="31064141"/>
    <w:rsid w:val="317D3F5C"/>
    <w:rsid w:val="31B477DB"/>
    <w:rsid w:val="31B67BE2"/>
    <w:rsid w:val="31CA71DD"/>
    <w:rsid w:val="324E5138"/>
    <w:rsid w:val="325906DB"/>
    <w:rsid w:val="328B2DCA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4004B6"/>
    <w:rsid w:val="384B6092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078BC"/>
    <w:rsid w:val="39D7104B"/>
    <w:rsid w:val="3A3E0D9F"/>
    <w:rsid w:val="3A5573DE"/>
    <w:rsid w:val="3A6D71A6"/>
    <w:rsid w:val="3AAB1306"/>
    <w:rsid w:val="3AB94550"/>
    <w:rsid w:val="3ABD0173"/>
    <w:rsid w:val="3ACE23E2"/>
    <w:rsid w:val="3B227AA7"/>
    <w:rsid w:val="3B31777F"/>
    <w:rsid w:val="3B4241C0"/>
    <w:rsid w:val="3B5F0280"/>
    <w:rsid w:val="3BEE1D6F"/>
    <w:rsid w:val="3BF1473C"/>
    <w:rsid w:val="3CA475E5"/>
    <w:rsid w:val="3CA717F2"/>
    <w:rsid w:val="3CC56579"/>
    <w:rsid w:val="3D600DA0"/>
    <w:rsid w:val="3DAB460B"/>
    <w:rsid w:val="3DDA7DB2"/>
    <w:rsid w:val="3E342793"/>
    <w:rsid w:val="3E3C5235"/>
    <w:rsid w:val="3E872D9B"/>
    <w:rsid w:val="3EA34B57"/>
    <w:rsid w:val="3EEF1E6E"/>
    <w:rsid w:val="3F654598"/>
    <w:rsid w:val="3FDD27F6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4A567F5"/>
    <w:rsid w:val="453B1EBC"/>
    <w:rsid w:val="455F6217"/>
    <w:rsid w:val="45635AEC"/>
    <w:rsid w:val="45911437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8171BF"/>
    <w:rsid w:val="47BB044C"/>
    <w:rsid w:val="48262DE5"/>
    <w:rsid w:val="49C0281D"/>
    <w:rsid w:val="49E449BF"/>
    <w:rsid w:val="49EC77B8"/>
    <w:rsid w:val="49ED5B1C"/>
    <w:rsid w:val="4AD45EF1"/>
    <w:rsid w:val="4AE04A18"/>
    <w:rsid w:val="4AEC627C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CE84F66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C41575"/>
    <w:rsid w:val="4FCE178A"/>
    <w:rsid w:val="503C3BCC"/>
    <w:rsid w:val="505C4971"/>
    <w:rsid w:val="505C727A"/>
    <w:rsid w:val="50C41CF1"/>
    <w:rsid w:val="51217DA6"/>
    <w:rsid w:val="51294703"/>
    <w:rsid w:val="51425A27"/>
    <w:rsid w:val="5158757E"/>
    <w:rsid w:val="51DF30E7"/>
    <w:rsid w:val="521A5D1E"/>
    <w:rsid w:val="5232051D"/>
    <w:rsid w:val="523624DE"/>
    <w:rsid w:val="52A23F56"/>
    <w:rsid w:val="52B00B24"/>
    <w:rsid w:val="52BA5471"/>
    <w:rsid w:val="52D871F4"/>
    <w:rsid w:val="52F263D6"/>
    <w:rsid w:val="53024EB7"/>
    <w:rsid w:val="53261795"/>
    <w:rsid w:val="53953BE7"/>
    <w:rsid w:val="53C354C8"/>
    <w:rsid w:val="53F51637"/>
    <w:rsid w:val="54124FEF"/>
    <w:rsid w:val="541C4B67"/>
    <w:rsid w:val="543656F9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6C677A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133668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C358C"/>
    <w:rsid w:val="601E0F43"/>
    <w:rsid w:val="60596F8D"/>
    <w:rsid w:val="608075E1"/>
    <w:rsid w:val="60E9316D"/>
    <w:rsid w:val="61326FB1"/>
    <w:rsid w:val="61384C31"/>
    <w:rsid w:val="61C8337C"/>
    <w:rsid w:val="61E77A7E"/>
    <w:rsid w:val="622A4138"/>
    <w:rsid w:val="62385483"/>
    <w:rsid w:val="62385A6C"/>
    <w:rsid w:val="62876D77"/>
    <w:rsid w:val="62AE02B5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7E745F"/>
    <w:rsid w:val="64A537DD"/>
    <w:rsid w:val="64B96E85"/>
    <w:rsid w:val="64BB6795"/>
    <w:rsid w:val="64C36B3C"/>
    <w:rsid w:val="64D069A0"/>
    <w:rsid w:val="64E375F7"/>
    <w:rsid w:val="64EC1190"/>
    <w:rsid w:val="64F27E75"/>
    <w:rsid w:val="65067C78"/>
    <w:rsid w:val="65662197"/>
    <w:rsid w:val="658C1A47"/>
    <w:rsid w:val="658C79F9"/>
    <w:rsid w:val="65A33DF6"/>
    <w:rsid w:val="65BE04E1"/>
    <w:rsid w:val="65F429F0"/>
    <w:rsid w:val="665A6FDB"/>
    <w:rsid w:val="66B368AE"/>
    <w:rsid w:val="66B47BD2"/>
    <w:rsid w:val="66B532F3"/>
    <w:rsid w:val="66C2760F"/>
    <w:rsid w:val="66E93B58"/>
    <w:rsid w:val="675A3B6C"/>
    <w:rsid w:val="67791A4D"/>
    <w:rsid w:val="67AF7DB6"/>
    <w:rsid w:val="680564C6"/>
    <w:rsid w:val="681B3F7A"/>
    <w:rsid w:val="68233428"/>
    <w:rsid w:val="68B54AF7"/>
    <w:rsid w:val="68CA009F"/>
    <w:rsid w:val="68DC0EF8"/>
    <w:rsid w:val="68DD04C8"/>
    <w:rsid w:val="695B5920"/>
    <w:rsid w:val="69B35A0D"/>
    <w:rsid w:val="69CC607C"/>
    <w:rsid w:val="69EA1163"/>
    <w:rsid w:val="69F96768"/>
    <w:rsid w:val="6A287F98"/>
    <w:rsid w:val="6A715206"/>
    <w:rsid w:val="6AB40496"/>
    <w:rsid w:val="6ABD1D5E"/>
    <w:rsid w:val="6AF33939"/>
    <w:rsid w:val="6B795D62"/>
    <w:rsid w:val="6B9149FE"/>
    <w:rsid w:val="6BC747F5"/>
    <w:rsid w:val="6BD35CE4"/>
    <w:rsid w:val="6C3014BE"/>
    <w:rsid w:val="6C5D414F"/>
    <w:rsid w:val="6C761A36"/>
    <w:rsid w:val="6CA324B4"/>
    <w:rsid w:val="6CDE17FD"/>
    <w:rsid w:val="6D1159BD"/>
    <w:rsid w:val="6D1D2C91"/>
    <w:rsid w:val="6D232D3C"/>
    <w:rsid w:val="6D2E2789"/>
    <w:rsid w:val="6D2F5D1E"/>
    <w:rsid w:val="6D792112"/>
    <w:rsid w:val="6E641038"/>
    <w:rsid w:val="6EBD0EA6"/>
    <w:rsid w:val="6F104060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610DF5"/>
    <w:rsid w:val="75DB13A5"/>
    <w:rsid w:val="75E552E3"/>
    <w:rsid w:val="7648538B"/>
    <w:rsid w:val="7651480A"/>
    <w:rsid w:val="76577132"/>
    <w:rsid w:val="76BD747C"/>
    <w:rsid w:val="76CD52EB"/>
    <w:rsid w:val="76FE004A"/>
    <w:rsid w:val="77462C4C"/>
    <w:rsid w:val="77A268F6"/>
    <w:rsid w:val="77CC3658"/>
    <w:rsid w:val="77F24622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342BE7"/>
    <w:rsid w:val="79826449"/>
    <w:rsid w:val="79D339B9"/>
    <w:rsid w:val="7A200C95"/>
    <w:rsid w:val="7A594332"/>
    <w:rsid w:val="7A5E3891"/>
    <w:rsid w:val="7A8564DB"/>
    <w:rsid w:val="7AC22B97"/>
    <w:rsid w:val="7B1F77A4"/>
    <w:rsid w:val="7B292799"/>
    <w:rsid w:val="7C090682"/>
    <w:rsid w:val="7C6A6CA8"/>
    <w:rsid w:val="7CE61EFF"/>
    <w:rsid w:val="7CF04E00"/>
    <w:rsid w:val="7D41026F"/>
    <w:rsid w:val="7D59343F"/>
    <w:rsid w:val="7D7879BA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3462</Characters>
  <Lines>28</Lines>
  <Paragraphs>8</Paragraphs>
  <TotalTime>1</TotalTime>
  <ScaleCrop>false</ScaleCrop>
  <LinksUpToDate>false</LinksUpToDate>
  <CharactersWithSpaces>4061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2023-02-13T02:17:42Z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97717F66DA4B4C0F9790462C7C7A768B</vt:lpwstr>
  </property>
</Properties>
</file>