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360" w:lineRule="auto"/>
              <w:jc w:val="center"/>
              <w:rPr>
                <w:sz w:val="24"/>
                <w:szCs w:val="24"/>
              </w:rPr>
            </w:pPr>
            <w:r>
              <w:rPr>
                <w:rFonts w:hint="eastAsia"/>
                <w:sz w:val="24"/>
                <w:szCs w:val="24"/>
              </w:rPr>
              <w:t>过程与活动、</w:t>
            </w:r>
          </w:p>
          <w:p>
            <w:pPr>
              <w:spacing w:line="360" w:lineRule="auto"/>
              <w:jc w:val="center"/>
            </w:pPr>
            <w:r>
              <w:rPr>
                <w:rFonts w:hint="eastAsia"/>
                <w:sz w:val="24"/>
                <w:szCs w:val="24"/>
              </w:rPr>
              <w:t>抽样计划</w:t>
            </w:r>
          </w:p>
        </w:tc>
        <w:tc>
          <w:tcPr>
            <w:tcW w:w="960" w:type="dxa"/>
            <w:vMerge w:val="restart"/>
            <w:vAlign w:val="center"/>
          </w:tcPr>
          <w:p>
            <w:pPr>
              <w:spacing w:line="360" w:lineRule="auto"/>
              <w:rPr>
                <w:sz w:val="24"/>
                <w:szCs w:val="24"/>
              </w:rPr>
            </w:pPr>
            <w:r>
              <w:rPr>
                <w:rFonts w:hint="eastAsia"/>
                <w:sz w:val="24"/>
                <w:szCs w:val="24"/>
              </w:rPr>
              <w:t>涉及</w:t>
            </w:r>
          </w:p>
          <w:p>
            <w:pPr>
              <w:spacing w:line="360" w:lineRule="auto"/>
            </w:pPr>
            <w:r>
              <w:rPr>
                <w:rFonts w:hint="eastAsia"/>
                <w:sz w:val="24"/>
                <w:szCs w:val="24"/>
              </w:rPr>
              <w:t>条款</w:t>
            </w:r>
          </w:p>
        </w:tc>
        <w:tc>
          <w:tcPr>
            <w:tcW w:w="10004" w:type="dxa"/>
            <w:vAlign w:val="center"/>
          </w:tcPr>
          <w:p>
            <w:pPr>
              <w:spacing w:line="360" w:lineRule="auto"/>
              <w:rPr>
                <w:rFonts w:hint="default" w:eastAsia="宋体"/>
                <w:sz w:val="24"/>
                <w:szCs w:val="24"/>
                <w:lang w:val="en-US" w:eastAsia="zh-CN"/>
              </w:rPr>
            </w:pPr>
            <w:r>
              <w:rPr>
                <w:rFonts w:hint="eastAsia"/>
                <w:sz w:val="24"/>
                <w:szCs w:val="24"/>
              </w:rPr>
              <w:t>受审核部门：</w:t>
            </w:r>
            <w:r>
              <w:rPr>
                <w:rFonts w:hint="eastAsia"/>
                <w:sz w:val="24"/>
                <w:szCs w:val="24"/>
                <w:lang w:val="en-US" w:eastAsia="zh-CN"/>
              </w:rPr>
              <w:t>生产部</w:t>
            </w:r>
            <w:r>
              <w:rPr>
                <w:rFonts w:hint="eastAsia"/>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徐珲</w:t>
            </w:r>
            <w:r>
              <w:rPr>
                <w:rFonts w:hint="eastAsia"/>
                <w:sz w:val="24"/>
                <w:szCs w:val="24"/>
              </w:rPr>
              <w:t xml:space="preserve">  </w:t>
            </w:r>
            <w:r>
              <w:rPr>
                <w:rFonts w:hint="eastAsia"/>
                <w:sz w:val="24"/>
                <w:szCs w:val="24"/>
                <w:lang w:val="en-US" w:eastAsia="zh-CN"/>
              </w:rPr>
              <w:t xml:space="preserve">    </w:t>
            </w:r>
            <w:r>
              <w:rPr>
                <w:rFonts w:hint="eastAsia"/>
                <w:sz w:val="24"/>
                <w:szCs w:val="24"/>
              </w:rPr>
              <w:t>陪同人员：</w:t>
            </w:r>
            <w:r>
              <w:rPr>
                <w:rFonts w:hint="eastAsia"/>
                <w:sz w:val="24"/>
                <w:szCs w:val="24"/>
                <w:lang w:val="en-US" w:eastAsia="zh-CN"/>
              </w:rPr>
              <w:t>牟翠蓉</w:t>
            </w:r>
          </w:p>
        </w:tc>
        <w:tc>
          <w:tcPr>
            <w:tcW w:w="1585" w:type="dxa"/>
            <w:vMerge w:val="restart"/>
            <w:vAlign w:val="center"/>
          </w:tcPr>
          <w:p>
            <w:pPr>
              <w:spacing w:line="36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pPr>
          </w:p>
        </w:tc>
        <w:tc>
          <w:tcPr>
            <w:tcW w:w="960" w:type="dxa"/>
            <w:vMerge w:val="continue"/>
            <w:vAlign w:val="center"/>
          </w:tcPr>
          <w:p>
            <w:pPr>
              <w:spacing w:line="360" w:lineRule="auto"/>
            </w:pPr>
          </w:p>
        </w:tc>
        <w:tc>
          <w:tcPr>
            <w:tcW w:w="10004" w:type="dxa"/>
            <w:vAlign w:val="center"/>
          </w:tcPr>
          <w:p>
            <w:pPr>
              <w:spacing w:before="120" w:line="360" w:lineRule="auto"/>
            </w:pPr>
            <w:r>
              <w:rPr>
                <w:rFonts w:hint="eastAsia"/>
                <w:sz w:val="24"/>
                <w:szCs w:val="24"/>
              </w:rPr>
              <w:t>审核员：</w:t>
            </w:r>
            <w:r>
              <w:rPr>
                <w:rFonts w:hint="eastAsia"/>
                <w:sz w:val="24"/>
                <w:szCs w:val="24"/>
                <w:lang w:val="en-US" w:eastAsia="zh-CN"/>
              </w:rPr>
              <w:t>郭力</w:t>
            </w:r>
            <w:r>
              <w:rPr>
                <w:rFonts w:hint="eastAsia"/>
                <w:sz w:val="24"/>
                <w:szCs w:val="24"/>
              </w:rPr>
              <w:t xml:space="preserve">  </w:t>
            </w:r>
            <w:r>
              <w:rPr>
                <w:rFonts w:hint="eastAsia"/>
                <w:sz w:val="24"/>
                <w:szCs w:val="24"/>
                <w:lang w:val="en-US" w:eastAsia="zh-CN"/>
              </w:rPr>
              <w:t xml:space="preserve">        </w:t>
            </w:r>
            <w:r>
              <w:rPr>
                <w:rFonts w:hint="eastAsia"/>
                <w:sz w:val="24"/>
                <w:szCs w:val="24"/>
              </w:rPr>
              <w:t>审核时</w:t>
            </w:r>
            <w:r>
              <w:rPr>
                <w:rFonts w:hint="eastAsia" w:ascii="Times New Roman" w:hAnsi="Times New Roman" w:eastAsia="宋体" w:cs="Times New Roman"/>
                <w:sz w:val="24"/>
                <w:szCs w:val="24"/>
              </w:rPr>
              <w:t>间：202</w:t>
            </w:r>
            <w:r>
              <w:rPr>
                <w:rFonts w:hint="eastAsia" w:cs="Times New Roman"/>
                <w:sz w:val="24"/>
                <w:szCs w:val="24"/>
                <w:lang w:val="en-US" w:eastAsia="zh-CN"/>
              </w:rPr>
              <w:t>3</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w:t>
            </w:r>
            <w:r>
              <w:rPr>
                <w:rFonts w:hint="eastAsia" w:cs="Times New Roman"/>
                <w:sz w:val="24"/>
                <w:szCs w:val="24"/>
                <w:lang w:val="en-US" w:eastAsia="zh-CN"/>
              </w:rPr>
              <w:t>1</w:t>
            </w:r>
            <w:r>
              <w:rPr>
                <w:rFonts w:hint="eastAsia" w:ascii="Times New Roman" w:hAnsi="Times New Roman" w:eastAsia="宋体" w:cs="Times New Roman"/>
                <w:sz w:val="24"/>
                <w:szCs w:val="24"/>
              </w:rPr>
              <w:t>日</w:t>
            </w:r>
          </w:p>
        </w:tc>
        <w:tc>
          <w:tcPr>
            <w:tcW w:w="1585" w:type="dxa"/>
            <w:vMerge w:val="continue"/>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pPr>
          </w:p>
        </w:tc>
        <w:tc>
          <w:tcPr>
            <w:tcW w:w="960" w:type="dxa"/>
            <w:vMerge w:val="continue"/>
            <w:vAlign w:val="center"/>
          </w:tcPr>
          <w:p>
            <w:pPr>
              <w:spacing w:line="360" w:lineRule="auto"/>
            </w:pPr>
          </w:p>
        </w:tc>
        <w:tc>
          <w:tcPr>
            <w:tcW w:w="10004" w:type="dxa"/>
            <w:vAlign w:val="center"/>
          </w:tcPr>
          <w:p>
            <w:pPr>
              <w:adjustRightInd w:val="0"/>
              <w:snapToGrid w:val="0"/>
              <w:spacing w:line="320" w:lineRule="exact"/>
              <w:ind w:right="105" w:rightChars="50"/>
              <w:textAlignment w:val="baseline"/>
              <w:rPr>
                <w:rFonts w:hint="eastAsia" w:ascii="宋体" w:hAnsi="宋体" w:cs="Arial"/>
                <w:sz w:val="21"/>
                <w:szCs w:val="21"/>
                <w:lang w:eastAsia="zh-CN"/>
              </w:rPr>
            </w:pPr>
            <w:r>
              <w:rPr>
                <w:rFonts w:hint="eastAsia"/>
                <w:sz w:val="24"/>
                <w:szCs w:val="24"/>
              </w:rPr>
              <w:t>审核条款：</w:t>
            </w:r>
            <w:r>
              <w:rPr>
                <w:rFonts w:ascii="宋体" w:hAnsi="宋体" w:cs="Arial"/>
                <w:b/>
                <w:bCs/>
                <w:sz w:val="21"/>
                <w:szCs w:val="21"/>
              </w:rPr>
              <w:t>QMS</w:t>
            </w:r>
            <w:r>
              <w:rPr>
                <w:rFonts w:ascii="宋体" w:hAnsi="宋体" w:cs="Arial"/>
                <w:sz w:val="21"/>
                <w:szCs w:val="21"/>
              </w:rPr>
              <w:t>:5.3</w:t>
            </w:r>
            <w:r>
              <w:rPr>
                <w:rFonts w:hint="eastAsia" w:ascii="宋体" w:hAnsi="宋体" w:cs="Arial"/>
                <w:sz w:val="21"/>
                <w:szCs w:val="21"/>
              </w:rPr>
              <w:t>组织的岗位、职责和权限、</w:t>
            </w:r>
            <w:r>
              <w:rPr>
                <w:rFonts w:ascii="宋体" w:hAnsi="宋体" w:cs="Arial"/>
                <w:sz w:val="21"/>
                <w:szCs w:val="21"/>
              </w:rPr>
              <w:t>6.2</w:t>
            </w:r>
            <w:r>
              <w:rPr>
                <w:rFonts w:hint="eastAsia" w:ascii="宋体" w:hAnsi="宋体" w:cs="Arial"/>
                <w:sz w:val="21"/>
                <w:szCs w:val="21"/>
              </w:rPr>
              <w:t>质量目标</w:t>
            </w:r>
            <w:r>
              <w:rPr>
                <w:rFonts w:hint="eastAsia" w:ascii="宋体" w:hAnsi="宋体" w:cs="Arial"/>
                <w:sz w:val="21"/>
                <w:szCs w:val="21"/>
                <w:lang w:eastAsia="zh-CN"/>
              </w:rPr>
              <w:t>、</w:t>
            </w:r>
            <w:r>
              <w:rPr>
                <w:rFonts w:ascii="宋体" w:hAnsi="宋体" w:cs="Arial"/>
                <w:sz w:val="21"/>
                <w:szCs w:val="21"/>
              </w:rPr>
              <w:t>7.1.5</w:t>
            </w:r>
            <w:r>
              <w:rPr>
                <w:rFonts w:hint="eastAsia" w:ascii="宋体" w:hAnsi="宋体" w:cs="Arial"/>
                <w:sz w:val="21"/>
                <w:szCs w:val="21"/>
              </w:rPr>
              <w:t>监视和测量资源、8.1运行策划和控制、8.3产品和服务的设计和开发不适用确认、8.5.1生产和服务提供的控制、8.5.2产品标识和可追朔性</w:t>
            </w:r>
            <w:r>
              <w:rPr>
                <w:rFonts w:hint="eastAsia" w:ascii="宋体" w:hAnsi="宋体" w:cs="Arial"/>
                <w:sz w:val="21"/>
                <w:szCs w:val="21"/>
                <w:lang w:eastAsia="zh-CN"/>
              </w:rPr>
              <w:t>、</w:t>
            </w:r>
            <w:r>
              <w:rPr>
                <w:rFonts w:hint="eastAsia" w:ascii="宋体" w:hAnsi="宋体" w:cs="Arial"/>
                <w:sz w:val="21"/>
                <w:szCs w:val="21"/>
              </w:rPr>
              <w:t>8.5.4产品防护、8.5.6生产和服务提供的更改控制</w:t>
            </w:r>
            <w:r>
              <w:rPr>
                <w:rFonts w:hint="eastAsia" w:ascii="宋体" w:hAnsi="宋体" w:cs="Arial"/>
                <w:sz w:val="21"/>
                <w:szCs w:val="21"/>
                <w:lang w:eastAsia="zh-CN"/>
              </w:rPr>
              <w:t>、</w:t>
            </w:r>
            <w:r>
              <w:rPr>
                <w:rFonts w:hint="eastAsia" w:ascii="宋体" w:hAnsi="宋体" w:cs="Arial"/>
                <w:sz w:val="21"/>
                <w:szCs w:val="21"/>
              </w:rPr>
              <w:t>8.6产品和服务的放行、8.7不合格输出的控制</w:t>
            </w:r>
          </w:p>
          <w:p>
            <w:pPr>
              <w:adjustRightInd w:val="0"/>
              <w:snapToGrid w:val="0"/>
              <w:spacing w:line="320" w:lineRule="exact"/>
              <w:ind w:right="105" w:rightChars="50"/>
              <w:textAlignment w:val="baseline"/>
              <w:rPr>
                <w:sz w:val="24"/>
                <w:szCs w:val="24"/>
              </w:rPr>
            </w:pPr>
            <w:r>
              <w:rPr>
                <w:rFonts w:ascii="宋体" w:hAnsi="宋体" w:cs="Arial"/>
                <w:b/>
                <w:bCs/>
                <w:sz w:val="21"/>
                <w:szCs w:val="21"/>
              </w:rPr>
              <w:t>E</w:t>
            </w:r>
            <w:r>
              <w:rPr>
                <w:rFonts w:hint="eastAsia" w:ascii="宋体" w:hAnsi="宋体" w:cs="Arial"/>
                <w:b/>
                <w:bCs/>
                <w:sz w:val="21"/>
                <w:szCs w:val="21"/>
                <w:lang w:val="en-US" w:eastAsia="zh-CN"/>
              </w:rPr>
              <w:t>O</w:t>
            </w:r>
            <w:r>
              <w:rPr>
                <w:rFonts w:ascii="宋体" w:hAnsi="宋体" w:cs="Arial"/>
                <w:sz w:val="21"/>
                <w:szCs w:val="21"/>
              </w:rPr>
              <w:t>: 5.3</w:t>
            </w:r>
            <w:r>
              <w:rPr>
                <w:rFonts w:hint="eastAsia" w:ascii="宋体" w:hAnsi="宋体" w:cs="Arial"/>
                <w:sz w:val="21"/>
                <w:szCs w:val="21"/>
              </w:rPr>
              <w:t>组织的岗位、职责和权限、</w:t>
            </w:r>
            <w:r>
              <w:rPr>
                <w:rFonts w:ascii="宋体" w:hAnsi="宋体" w:cs="Arial"/>
                <w:sz w:val="21"/>
                <w:szCs w:val="21"/>
              </w:rPr>
              <w:t>6.2</w:t>
            </w:r>
            <w:r>
              <w:rPr>
                <w:rFonts w:hint="eastAsia" w:ascii="宋体" w:hAnsi="宋体" w:cs="Arial"/>
                <w:sz w:val="21"/>
                <w:szCs w:val="21"/>
              </w:rPr>
              <w:t>环境与职业健康安全目标、</w:t>
            </w:r>
            <w:r>
              <w:rPr>
                <w:rFonts w:ascii="宋体" w:hAnsi="宋体" w:cs="Arial"/>
                <w:sz w:val="21"/>
                <w:szCs w:val="21"/>
                <w:u w:val="none"/>
              </w:rPr>
              <w:t>6.1.2</w:t>
            </w:r>
            <w:r>
              <w:rPr>
                <w:rFonts w:hint="eastAsia" w:ascii="宋体" w:hAnsi="宋体" w:cs="Arial"/>
                <w:sz w:val="21"/>
                <w:szCs w:val="21"/>
                <w:u w:val="none"/>
              </w:rPr>
              <w:t>环境因素</w:t>
            </w:r>
            <w:r>
              <w:rPr>
                <w:rFonts w:ascii="宋体" w:hAnsi="宋体" w:cs="Arial"/>
                <w:sz w:val="21"/>
                <w:szCs w:val="21"/>
                <w:u w:val="none"/>
              </w:rPr>
              <w:t>/</w:t>
            </w:r>
            <w:r>
              <w:rPr>
                <w:rFonts w:hint="eastAsia" w:ascii="宋体" w:hAnsi="宋体" w:cs="Arial"/>
                <w:sz w:val="21"/>
                <w:szCs w:val="21"/>
                <w:u w:val="none"/>
              </w:rPr>
              <w:t>危险源辨识与评价、</w:t>
            </w:r>
            <w:r>
              <w:rPr>
                <w:rFonts w:ascii="宋体" w:hAnsi="宋体" w:cs="Arial"/>
                <w:sz w:val="21"/>
                <w:szCs w:val="21"/>
                <w:u w:val="none"/>
              </w:rPr>
              <w:t>8.1</w:t>
            </w:r>
            <w:r>
              <w:rPr>
                <w:rFonts w:hint="eastAsia" w:ascii="宋体" w:hAnsi="宋体" w:cs="Arial"/>
                <w:sz w:val="21"/>
                <w:szCs w:val="21"/>
                <w:u w:val="none"/>
              </w:rPr>
              <w:t>运行策划和控制、</w:t>
            </w:r>
            <w:r>
              <w:rPr>
                <w:rFonts w:ascii="宋体" w:hAnsi="宋体" w:cs="Arial"/>
                <w:sz w:val="21"/>
                <w:szCs w:val="21"/>
                <w:u w:val="none"/>
              </w:rPr>
              <w:t>8.2</w:t>
            </w:r>
            <w:r>
              <w:rPr>
                <w:rFonts w:hint="eastAsia" w:ascii="宋体" w:hAnsi="宋体" w:cs="Arial"/>
                <w:sz w:val="21"/>
                <w:szCs w:val="21"/>
                <w:u w:val="none"/>
              </w:rPr>
              <w:t>应急准备和响应</w:t>
            </w:r>
          </w:p>
        </w:tc>
        <w:tc>
          <w:tcPr>
            <w:tcW w:w="1585" w:type="dxa"/>
            <w:vMerge w:val="continue"/>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pPr>
            <w:r>
              <w:rPr>
                <w:rFonts w:hint="eastAsia" w:ascii="宋体" w:hAnsi="宋体" w:cs="Arial"/>
                <w:szCs w:val="21"/>
              </w:rPr>
              <w:t>组织的岗位、职责和权限</w:t>
            </w:r>
          </w:p>
        </w:tc>
        <w:tc>
          <w:tcPr>
            <w:tcW w:w="960" w:type="dxa"/>
          </w:tcPr>
          <w:p>
            <w:pPr>
              <w:spacing w:line="360" w:lineRule="auto"/>
            </w:pPr>
            <w:r>
              <w:rPr>
                <w:rFonts w:ascii="宋体" w:hAnsi="宋体" w:cs="Arial"/>
                <w:szCs w:val="21"/>
              </w:rPr>
              <w:t>Q</w:t>
            </w:r>
            <w:r>
              <w:rPr>
                <w:rFonts w:hint="eastAsia" w:ascii="宋体" w:hAnsi="宋体" w:cs="Arial"/>
                <w:szCs w:val="21"/>
                <w:lang w:val="en-US" w:eastAsia="zh-CN"/>
              </w:rPr>
              <w:t>E0</w:t>
            </w:r>
            <w:r>
              <w:rPr>
                <w:rFonts w:ascii="宋体" w:hAnsi="宋体" w:cs="Arial"/>
                <w:szCs w:val="21"/>
              </w:rPr>
              <w:t>:5.3</w:t>
            </w:r>
            <w:r>
              <w:t xml:space="preserve"> </w:t>
            </w:r>
          </w:p>
        </w:tc>
        <w:tc>
          <w:tcPr>
            <w:tcW w:w="10004" w:type="dxa"/>
          </w:tcPr>
          <w:p>
            <w:pPr>
              <w:spacing w:line="360" w:lineRule="auto"/>
              <w:ind w:firstLine="420" w:firstLineChars="200"/>
              <w:rPr>
                <w:rFonts w:ascii="宋体" w:hAnsi="宋体" w:cs="宋体"/>
                <w:szCs w:val="21"/>
              </w:rPr>
            </w:pPr>
            <w:r>
              <w:rPr>
                <w:rFonts w:hint="eastAsia" w:ascii="宋体" w:hAnsi="宋体" w:cs="宋体"/>
                <w:szCs w:val="21"/>
                <w:lang w:eastAsia="zh-CN"/>
              </w:rPr>
              <w:t>生产部</w:t>
            </w:r>
            <w:r>
              <w:rPr>
                <w:rFonts w:hint="eastAsia" w:ascii="宋体" w:hAnsi="宋体" w:cs="宋体"/>
                <w:szCs w:val="21"/>
              </w:rPr>
              <w:t>按照公司领导要求，做好公司职能和岗位的具体确定，对从事供</w:t>
            </w:r>
            <w:r>
              <w:rPr>
                <w:rFonts w:hint="eastAsia" w:ascii="宋体" w:hAnsi="宋体" w:cs="宋体"/>
                <w:szCs w:val="21"/>
                <w:lang w:eastAsia="zh-CN"/>
              </w:rPr>
              <w:t>出版物专项排版、制版、装订；出版物、包装装潢印刷品、其他印刷品数字印刷</w:t>
            </w:r>
            <w:r>
              <w:rPr>
                <w:rFonts w:hint="eastAsia" w:ascii="宋体" w:hAnsi="宋体" w:cs="宋体"/>
                <w:szCs w:val="21"/>
              </w:rPr>
              <w:t>有关的管理、执行和验证人员规定其职责、权限及其相互关系，以实现公司管理方针和管理目标。</w:t>
            </w:r>
          </w:p>
          <w:p>
            <w:pPr>
              <w:spacing w:line="360" w:lineRule="auto"/>
              <w:ind w:firstLine="420" w:firstLineChars="200"/>
              <w:rPr>
                <w:rFonts w:ascii="宋体" w:hAnsi="宋体" w:cs="宋体"/>
                <w:szCs w:val="21"/>
              </w:rPr>
            </w:pPr>
            <w:r>
              <w:rPr>
                <w:rFonts w:hint="eastAsia" w:ascii="宋体" w:hAnsi="宋体" w:cs="宋体"/>
                <w:szCs w:val="21"/>
                <w:lang w:val="en-US" w:eastAsia="zh-CN"/>
              </w:rPr>
              <w:t>生产部</w:t>
            </w:r>
            <w:r>
              <w:rPr>
                <w:rFonts w:hint="eastAsia" w:ascii="宋体" w:hAnsi="宋体" w:cs="宋体"/>
                <w:szCs w:val="21"/>
              </w:rPr>
              <w:t>负责人：</w:t>
            </w:r>
            <w:r>
              <w:rPr>
                <w:rFonts w:hint="eastAsia" w:ascii="宋体" w:hAnsi="宋体" w:cs="宋体"/>
                <w:szCs w:val="21"/>
                <w:lang w:val="en-US" w:eastAsia="zh-CN"/>
              </w:rPr>
              <w:t>徐珲</w:t>
            </w:r>
            <w:r>
              <w:rPr>
                <w:rFonts w:hint="eastAsia" w:ascii="宋体" w:hAnsi="宋体" w:cs="宋体"/>
                <w:szCs w:val="21"/>
              </w:rPr>
              <w:t>。在手册中确定了</w:t>
            </w:r>
            <w:r>
              <w:rPr>
                <w:rFonts w:hint="eastAsia" w:ascii="宋体" w:hAnsi="宋体" w:cs="宋体"/>
                <w:szCs w:val="21"/>
                <w:lang w:eastAsia="zh-CN"/>
              </w:rPr>
              <w:t>生产部</w:t>
            </w:r>
            <w:r>
              <w:rPr>
                <w:rFonts w:hint="eastAsia" w:ascii="宋体" w:hAnsi="宋体" w:cs="宋体"/>
                <w:szCs w:val="21"/>
              </w:rPr>
              <w:t>的职能，人员职责、权限和相互关系。</w:t>
            </w:r>
          </w:p>
          <w:p>
            <w:pPr>
              <w:spacing w:line="360" w:lineRule="auto"/>
              <w:ind w:firstLine="420" w:firstLineChars="200"/>
              <w:rPr>
                <w:rFonts w:ascii="宋体" w:hAnsi="宋体" w:cs="宋体"/>
                <w:szCs w:val="21"/>
              </w:rPr>
            </w:pPr>
            <w:r>
              <w:rPr>
                <w:rFonts w:hint="eastAsia" w:ascii="宋体" w:hAnsi="宋体" w:cs="宋体"/>
                <w:szCs w:val="21"/>
              </w:rPr>
              <w:t>询问</w:t>
            </w:r>
            <w:r>
              <w:rPr>
                <w:rFonts w:hint="eastAsia" w:ascii="宋体" w:hAnsi="宋体" w:cs="宋体"/>
                <w:szCs w:val="21"/>
                <w:lang w:val="en-US" w:eastAsia="zh-CN"/>
              </w:rPr>
              <w:t>生产部</w:t>
            </w:r>
            <w:r>
              <w:rPr>
                <w:rFonts w:hint="eastAsia" w:ascii="宋体" w:hAnsi="宋体" w:cs="宋体"/>
                <w:szCs w:val="21"/>
              </w:rPr>
              <w:t>人员，基本清楚本部门职责。</w:t>
            </w:r>
          </w:p>
          <w:p>
            <w:pPr>
              <w:spacing w:line="360" w:lineRule="auto"/>
              <w:ind w:firstLine="420"/>
              <w:rPr>
                <w:b/>
                <w:color w:val="000000"/>
                <w:szCs w:val="21"/>
              </w:rPr>
            </w:pPr>
            <w:r>
              <w:rPr>
                <w:rFonts w:hint="eastAsia" w:ascii="宋体" w:hAnsi="宋体" w:cs="宋体"/>
                <w:szCs w:val="21"/>
              </w:rPr>
              <w:t>现有上述管理人员配置满足要求，配有与工作相关的电脑、打/复印机、传真机等设施。</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2160" w:type="dxa"/>
          </w:tcPr>
          <w:p>
            <w:pPr>
              <w:spacing w:line="360" w:lineRule="auto"/>
            </w:pPr>
            <w:r>
              <w:rPr>
                <w:rFonts w:hint="eastAsia" w:ascii="宋体" w:hAnsi="宋体" w:cs="Arial"/>
                <w:szCs w:val="21"/>
              </w:rPr>
              <w:t>质量、环境与职业健康安全目标</w:t>
            </w:r>
          </w:p>
        </w:tc>
        <w:tc>
          <w:tcPr>
            <w:tcW w:w="960" w:type="dxa"/>
          </w:tcPr>
          <w:p>
            <w:pPr>
              <w:spacing w:line="360" w:lineRule="auto"/>
            </w:pPr>
            <w:r>
              <w:rPr>
                <w:rFonts w:ascii="宋体" w:hAnsi="宋体" w:cs="Arial"/>
                <w:szCs w:val="21"/>
              </w:rPr>
              <w:t>Q</w:t>
            </w:r>
            <w:r>
              <w:rPr>
                <w:rFonts w:hint="eastAsia" w:ascii="宋体" w:hAnsi="宋体" w:cs="Arial"/>
                <w:szCs w:val="21"/>
                <w:lang w:val="en-US" w:eastAsia="zh-CN"/>
              </w:rPr>
              <w:t>E0</w:t>
            </w:r>
            <w:r>
              <w:rPr>
                <w:rFonts w:ascii="宋体" w:hAnsi="宋体" w:cs="Arial"/>
                <w:szCs w:val="21"/>
              </w:rPr>
              <w:t>:6.2</w:t>
            </w:r>
          </w:p>
        </w:tc>
        <w:tc>
          <w:tcPr>
            <w:tcW w:w="10004" w:type="dxa"/>
          </w:tcPr>
          <w:p>
            <w:pPr>
              <w:snapToGrid w:val="0"/>
              <w:spacing w:line="360" w:lineRule="auto"/>
              <w:ind w:firstLine="420" w:firstLineChars="200"/>
              <w:rPr>
                <w:rFonts w:hint="default"/>
                <w:lang w:val="en-US" w:eastAsia="zh-CN"/>
              </w:rPr>
            </w:pPr>
            <w:r>
              <w:rPr>
                <w:rFonts w:hint="eastAsia"/>
                <w:lang w:eastAsia="zh-CN"/>
              </w:rPr>
              <w:t>涉及生产部的质量、环境和职业健康安全管理目标及完成情况：</w:t>
            </w:r>
            <w:r>
              <w:rPr>
                <w:rFonts w:hint="eastAsia"/>
                <w:lang w:val="en-US" w:eastAsia="zh-CN"/>
              </w:rPr>
              <w:t xml:space="preserve">            完成情况</w:t>
            </w:r>
          </w:p>
          <w:p>
            <w:pPr>
              <w:pStyle w:val="2"/>
              <w:rPr>
                <w:rFonts w:hint="eastAsia"/>
                <w:lang w:eastAsia="zh-CN"/>
              </w:rPr>
            </w:pPr>
            <w:r>
              <w:rPr>
                <w:rFonts w:hint="eastAsia"/>
                <w:lang w:eastAsia="zh-CN"/>
              </w:rPr>
              <w:t>1)产品一次交验合格率100%；</w:t>
            </w:r>
            <w:r>
              <w:rPr>
                <w:rFonts w:hint="eastAsia"/>
                <w:lang w:val="en-US" w:eastAsia="zh-CN"/>
              </w:rPr>
              <w:t xml:space="preserve">                                    </w:t>
            </w:r>
            <w:r>
              <w:rPr>
                <w:rFonts w:hint="eastAsia"/>
                <w:lang w:eastAsia="zh-CN"/>
              </w:rPr>
              <w:t>100，达成</w:t>
            </w:r>
          </w:p>
          <w:p>
            <w:pPr>
              <w:pStyle w:val="2"/>
              <w:rPr>
                <w:rFonts w:hint="eastAsia"/>
                <w:lang w:eastAsia="zh-CN"/>
              </w:rPr>
            </w:pPr>
            <w:r>
              <w:rPr>
                <w:rFonts w:hint="eastAsia"/>
                <w:lang w:eastAsia="zh-CN"/>
              </w:rPr>
              <w:t>2）设备完好率98%；</w:t>
            </w:r>
            <w:r>
              <w:rPr>
                <w:rFonts w:hint="eastAsia"/>
                <w:lang w:val="en-US" w:eastAsia="zh-CN"/>
              </w:rPr>
              <w:t xml:space="preserve">                                          </w:t>
            </w:r>
            <w:r>
              <w:rPr>
                <w:rFonts w:hint="eastAsia"/>
                <w:lang w:eastAsia="zh-CN"/>
              </w:rPr>
              <w:t>达标排放，达成</w:t>
            </w:r>
          </w:p>
          <w:p>
            <w:pPr>
              <w:pStyle w:val="2"/>
              <w:rPr>
                <w:rFonts w:hint="eastAsia"/>
                <w:lang w:eastAsia="zh-CN"/>
              </w:rPr>
            </w:pPr>
            <w:r>
              <w:rPr>
                <w:rFonts w:hint="eastAsia"/>
                <w:lang w:eastAsia="zh-CN"/>
              </w:rPr>
              <w:t>3）噪声、废水、废气排放符合所在地标准；</w:t>
            </w:r>
            <w:r>
              <w:rPr>
                <w:rFonts w:hint="eastAsia"/>
                <w:lang w:val="en-US" w:eastAsia="zh-CN"/>
              </w:rPr>
              <w:t xml:space="preserve">                      </w:t>
            </w:r>
            <w:r>
              <w:rPr>
                <w:rFonts w:hint="eastAsia"/>
                <w:lang w:eastAsia="zh-CN"/>
              </w:rPr>
              <w:t>分类处理率100%，达成</w:t>
            </w:r>
          </w:p>
          <w:p>
            <w:pPr>
              <w:pStyle w:val="2"/>
              <w:rPr>
                <w:rFonts w:hint="eastAsia"/>
                <w:lang w:eastAsia="zh-CN"/>
              </w:rPr>
            </w:pPr>
            <w:r>
              <w:rPr>
                <w:rFonts w:hint="eastAsia"/>
                <w:lang w:eastAsia="zh-CN"/>
              </w:rPr>
              <w:t>4）避免危险有害废弃物违规排放，按规定对其分类处理率100%；适用法规标准符合率100%达成</w:t>
            </w:r>
          </w:p>
          <w:p>
            <w:pPr>
              <w:pStyle w:val="2"/>
              <w:rPr>
                <w:rFonts w:hint="eastAsia"/>
                <w:lang w:eastAsia="zh-CN"/>
              </w:rPr>
            </w:pPr>
            <w:r>
              <w:rPr>
                <w:rFonts w:hint="eastAsia"/>
                <w:lang w:eastAsia="zh-CN"/>
              </w:rPr>
              <w:t>5）重大环境污染事故为零；</w:t>
            </w:r>
            <w:r>
              <w:rPr>
                <w:rFonts w:hint="eastAsia"/>
                <w:lang w:val="en-US" w:eastAsia="zh-CN"/>
              </w:rPr>
              <w:t xml:space="preserve">                                    </w:t>
            </w:r>
            <w:r>
              <w:rPr>
                <w:rFonts w:hint="eastAsia"/>
                <w:lang w:eastAsia="zh-CN"/>
              </w:rPr>
              <w:t>环境污染事故零，达成</w:t>
            </w:r>
          </w:p>
          <w:p>
            <w:pPr>
              <w:pStyle w:val="2"/>
              <w:rPr>
                <w:rFonts w:hint="eastAsia"/>
                <w:lang w:eastAsia="zh-CN"/>
              </w:rPr>
            </w:pPr>
            <w:r>
              <w:rPr>
                <w:rFonts w:hint="eastAsia"/>
                <w:lang w:eastAsia="zh-CN"/>
              </w:rPr>
              <w:t>6）确保相关方在环保及职业健康安全方面零投诉；</w:t>
            </w:r>
            <w:r>
              <w:rPr>
                <w:rFonts w:hint="eastAsia"/>
                <w:lang w:val="en-US" w:eastAsia="zh-CN"/>
              </w:rPr>
              <w:t xml:space="preserve">                     </w:t>
            </w:r>
            <w:r>
              <w:rPr>
                <w:rFonts w:hint="eastAsia"/>
                <w:lang w:eastAsia="zh-CN"/>
              </w:rPr>
              <w:t>零投诉，达成</w:t>
            </w:r>
          </w:p>
          <w:p>
            <w:pPr>
              <w:pStyle w:val="2"/>
              <w:rPr>
                <w:rFonts w:hint="default"/>
                <w:lang w:val="en-US" w:eastAsia="zh-CN"/>
              </w:rPr>
            </w:pPr>
            <w:r>
              <w:rPr>
                <w:rFonts w:hint="eastAsia"/>
                <w:lang w:eastAsia="zh-CN"/>
              </w:rPr>
              <w:t>7）年度火灾和重大安全事故（死亡、重伤）发生率为零；</w:t>
            </w:r>
            <w:r>
              <w:rPr>
                <w:rFonts w:hint="eastAsia"/>
                <w:lang w:val="en-US" w:eastAsia="zh-CN"/>
              </w:rPr>
              <w:t xml:space="preserve">               </w:t>
            </w:r>
            <w:r>
              <w:rPr>
                <w:rFonts w:hint="eastAsia"/>
                <w:lang w:eastAsia="zh-CN"/>
              </w:rPr>
              <w:t>安全事故零，达成</w:t>
            </w:r>
          </w:p>
          <w:p>
            <w:pPr>
              <w:pStyle w:val="2"/>
              <w:spacing w:line="360" w:lineRule="auto"/>
              <w:rPr>
                <w:rFonts w:hint="default"/>
                <w:lang w:val="en-US" w:eastAsia="zh-CN"/>
              </w:rPr>
            </w:pPr>
            <w:r>
              <w:rPr>
                <w:rFonts w:hint="eastAsia"/>
                <w:lang w:eastAsia="zh-CN"/>
              </w:rPr>
              <w:t>抽查</w:t>
            </w:r>
            <w:r>
              <w:rPr>
                <w:rFonts w:hint="eastAsia"/>
                <w:lang w:val="en-US" w:eastAsia="zh-CN"/>
              </w:rPr>
              <w:t>2021年12月19日目标考核情况，已经达成目标。</w:t>
            </w:r>
          </w:p>
          <w:p>
            <w:pPr>
              <w:pStyle w:val="2"/>
              <w:rPr>
                <w:rFonts w:hint="eastAsia" w:ascii="宋体" w:hAnsi="宋体" w:eastAsia="宋体" w:cs="Times New Roman"/>
                <w:sz w:val="21"/>
                <w:szCs w:val="21"/>
                <w:lang w:val="en-US" w:eastAsia="zh-CN"/>
              </w:rPr>
            </w:pPr>
            <w:r>
              <w:rPr>
                <w:rFonts w:hint="eastAsia" w:ascii="宋体" w:hAnsi="宋体"/>
                <w:sz w:val="21"/>
                <w:szCs w:val="21"/>
                <w:lang w:val="en-US" w:eastAsia="zh-CN"/>
              </w:rPr>
              <w:t>考核</w:t>
            </w:r>
            <w:r>
              <w:rPr>
                <w:rFonts w:hint="eastAsia" w:ascii="宋体" w:hAnsi="宋体" w:eastAsia="宋体" w:cs="Times New Roman"/>
                <w:sz w:val="21"/>
                <w:szCs w:val="21"/>
                <w:lang w:val="en-US" w:eastAsia="zh-CN"/>
              </w:rPr>
              <w:t>人：</w:t>
            </w:r>
            <w:r>
              <w:rPr>
                <w:rFonts w:hint="eastAsia" w:ascii="宋体" w:hAnsi="宋体" w:eastAsia="宋体" w:cs="宋体"/>
                <w:sz w:val="21"/>
                <w:szCs w:val="21"/>
                <w:lang w:val="en-US" w:eastAsia="zh-CN"/>
              </w:rPr>
              <w:t>牟翠蓉</w:t>
            </w:r>
            <w:r>
              <w:rPr>
                <w:rFonts w:hint="eastAsia" w:ascii="宋体" w:hAnsi="宋体" w:eastAsia="宋体" w:cs="Times New Roman"/>
                <w:sz w:val="21"/>
                <w:szCs w:val="21"/>
                <w:lang w:val="en-US" w:eastAsia="zh-CN"/>
              </w:rPr>
              <w:t xml:space="preserve">     审核：</w:t>
            </w:r>
            <w:r>
              <w:rPr>
                <w:rFonts w:hint="eastAsia" w:ascii="宋体" w:hAnsi="宋体" w:cs="Times New Roman"/>
                <w:sz w:val="21"/>
                <w:szCs w:val="21"/>
                <w:lang w:val="en-US" w:eastAsia="zh-CN"/>
              </w:rPr>
              <w:t>安华翠</w:t>
            </w:r>
            <w:r>
              <w:rPr>
                <w:rFonts w:hint="eastAsia" w:ascii="宋体" w:hAnsi="宋体" w:eastAsia="宋体" w:cs="Times New Roman"/>
                <w:sz w:val="21"/>
                <w:szCs w:val="21"/>
                <w:lang w:val="en-US" w:eastAsia="zh-CN"/>
              </w:rPr>
              <w:t xml:space="preserve">      日期：2021年12月19日</w:t>
            </w:r>
          </w:p>
          <w:p>
            <w:pPr>
              <w:pStyle w:val="2"/>
              <w:rPr>
                <w:rFonts w:hint="default"/>
                <w:lang w:val="en-US" w:eastAsia="zh-CN"/>
              </w:rPr>
            </w:pPr>
            <w:r>
              <w:rPr>
                <w:rFonts w:hint="eastAsia" w:ascii="宋体" w:hAnsi="宋体" w:eastAsia="宋体" w:cs="Times New Roman"/>
                <w:sz w:val="21"/>
                <w:szCs w:val="21"/>
                <w:lang w:val="en-US" w:eastAsia="zh-CN"/>
              </w:rPr>
              <w:t>环境目标管理方案执行情况见6.1.2条款。</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2160" w:type="dxa"/>
            <w:vAlign w:val="top"/>
          </w:tcPr>
          <w:p>
            <w:pPr>
              <w:spacing w:line="360" w:lineRule="auto"/>
              <w:rPr>
                <w:rFonts w:hint="eastAsia" w:ascii="宋体" w:hAnsi="宋体" w:eastAsia="宋体" w:cs="Arial"/>
                <w:szCs w:val="21"/>
              </w:rPr>
            </w:pPr>
            <w:r>
              <w:rPr>
                <w:rFonts w:hint="eastAsia" w:ascii="宋体" w:hAnsi="宋体" w:eastAsia="宋体" w:cs="Arial"/>
                <w:szCs w:val="21"/>
              </w:rPr>
              <w:t>基础设施</w:t>
            </w:r>
          </w:p>
          <w:p>
            <w:pPr>
              <w:spacing w:line="360" w:lineRule="auto"/>
              <w:rPr>
                <w:rFonts w:hint="eastAsia" w:ascii="宋体" w:hAnsi="宋体" w:eastAsia="宋体" w:cs="Arial"/>
                <w:szCs w:val="21"/>
              </w:rPr>
            </w:pPr>
            <w:r>
              <w:rPr>
                <w:rFonts w:hint="eastAsia" w:ascii="宋体" w:hAnsi="宋体" w:eastAsia="宋体" w:cs="Arial"/>
                <w:szCs w:val="21"/>
              </w:rPr>
              <w:t>过程运行环境</w:t>
            </w:r>
          </w:p>
          <w:p>
            <w:pPr>
              <w:spacing w:line="360" w:lineRule="auto"/>
              <w:rPr>
                <w:rFonts w:hint="eastAsia" w:ascii="宋体" w:hAnsi="宋体" w:eastAsia="宋体" w:cs="Arial"/>
                <w:szCs w:val="21"/>
              </w:rPr>
            </w:pPr>
            <w:r>
              <w:rPr>
                <w:rFonts w:hint="eastAsia" w:ascii="宋体" w:hAnsi="宋体" w:eastAsia="宋体" w:cs="Arial"/>
                <w:szCs w:val="21"/>
              </w:rPr>
              <w:t>监视和测量资源管理管理</w:t>
            </w:r>
          </w:p>
        </w:tc>
        <w:tc>
          <w:tcPr>
            <w:tcW w:w="960" w:type="dxa"/>
            <w:vAlign w:val="top"/>
          </w:tcPr>
          <w:p>
            <w:pPr>
              <w:spacing w:line="360" w:lineRule="auto"/>
              <w:rPr>
                <w:rFonts w:hint="eastAsia" w:ascii="宋体" w:hAnsi="宋体" w:eastAsia="宋体" w:cs="Arial"/>
                <w:szCs w:val="21"/>
              </w:rPr>
            </w:pPr>
            <w:r>
              <w:rPr>
                <w:rFonts w:hint="eastAsia" w:ascii="宋体" w:hAnsi="宋体" w:eastAsia="宋体" w:cs="Arial"/>
                <w:szCs w:val="21"/>
              </w:rPr>
              <w:t>Q7.1.3</w:t>
            </w:r>
          </w:p>
          <w:p>
            <w:pPr>
              <w:spacing w:line="360" w:lineRule="auto"/>
              <w:rPr>
                <w:rFonts w:hint="eastAsia" w:ascii="宋体" w:hAnsi="宋体" w:eastAsia="宋体" w:cs="Arial"/>
                <w:szCs w:val="21"/>
                <w:lang w:val="en-US" w:eastAsia="zh-CN"/>
              </w:rPr>
            </w:pPr>
            <w:r>
              <w:rPr>
                <w:rFonts w:hint="eastAsia" w:ascii="宋体" w:hAnsi="宋体" w:eastAsia="宋体" w:cs="Arial"/>
                <w:szCs w:val="21"/>
              </w:rPr>
              <w:t>Q7.1.</w:t>
            </w:r>
            <w:r>
              <w:rPr>
                <w:rFonts w:hint="eastAsia" w:ascii="宋体" w:hAnsi="宋体" w:eastAsia="宋体" w:cs="Arial"/>
                <w:szCs w:val="21"/>
                <w:lang w:val="en-US" w:eastAsia="zh-CN"/>
              </w:rPr>
              <w:t>4</w:t>
            </w:r>
          </w:p>
          <w:p>
            <w:pPr>
              <w:spacing w:line="360" w:lineRule="auto"/>
              <w:rPr>
                <w:rFonts w:hint="eastAsia" w:ascii="宋体" w:hAnsi="宋体" w:eastAsia="宋体" w:cs="Arial"/>
                <w:szCs w:val="21"/>
              </w:rPr>
            </w:pPr>
            <w:r>
              <w:rPr>
                <w:rFonts w:hint="eastAsia" w:ascii="宋体" w:hAnsi="宋体" w:eastAsia="宋体" w:cs="Arial"/>
                <w:szCs w:val="21"/>
              </w:rPr>
              <w:t>Q7.1.5</w:t>
            </w:r>
          </w:p>
        </w:tc>
        <w:tc>
          <w:tcPr>
            <w:tcW w:w="10004" w:type="dxa"/>
          </w:tcPr>
          <w:p>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rPr>
              <w:t>组织提供的</w:t>
            </w:r>
            <w:r>
              <w:rPr>
                <w:rFonts w:hint="eastAsia"/>
                <w:color w:val="000000"/>
                <w:szCs w:val="21"/>
                <w:lang w:val="en-US" w:eastAsia="zh-CN"/>
              </w:rPr>
              <w:t>出版物专项排版、制版、装订；出版物、包装装潢印刷品、其他印刷品数字印刷</w:t>
            </w:r>
            <w:r>
              <w:rPr>
                <w:rFonts w:hint="eastAsia"/>
                <w:color w:val="000000"/>
                <w:szCs w:val="21"/>
              </w:rPr>
              <w:t>，</w:t>
            </w:r>
            <w:r>
              <w:rPr>
                <w:rFonts w:hint="eastAsia" w:ascii="宋体" w:hAnsi="宋体" w:cs="宋体"/>
                <w:szCs w:val="21"/>
              </w:rPr>
              <w:t>在手册中7</w:t>
            </w:r>
            <w:r>
              <w:rPr>
                <w:rFonts w:ascii="宋体" w:hAnsi="宋体" w:cs="宋体"/>
                <w:szCs w:val="21"/>
              </w:rPr>
              <w:t>.1.3</w:t>
            </w:r>
            <w:r>
              <w:rPr>
                <w:rFonts w:hint="eastAsia" w:ascii="宋体" w:hAnsi="宋体" w:cs="宋体"/>
                <w:szCs w:val="21"/>
              </w:rPr>
              <w:t>中对基础设施，</w:t>
            </w:r>
            <w:r>
              <w:rPr>
                <w:rFonts w:hint="eastAsia" w:ascii="宋体" w:hAnsi="宋体" w:cs="Arial"/>
                <w:sz w:val="21"/>
                <w:szCs w:val="21"/>
              </w:rPr>
              <w:t>7.1.4过程运行环境</w:t>
            </w:r>
            <w:r>
              <w:rPr>
                <w:rFonts w:hint="eastAsia" w:ascii="宋体" w:hAnsi="宋体" w:cs="Arial"/>
                <w:sz w:val="21"/>
                <w:szCs w:val="21"/>
                <w:lang w:eastAsia="zh-CN"/>
              </w:rPr>
              <w:t>，</w:t>
            </w:r>
            <w:r>
              <w:rPr>
                <w:rFonts w:hint="eastAsia" w:ascii="宋体" w:hAnsi="宋体" w:cs="宋体"/>
                <w:szCs w:val="21"/>
              </w:rPr>
              <w:t>7</w:t>
            </w:r>
            <w:r>
              <w:rPr>
                <w:rFonts w:ascii="宋体" w:hAnsi="宋体" w:cs="宋体"/>
                <w:szCs w:val="21"/>
              </w:rPr>
              <w:t>.1.5</w:t>
            </w:r>
            <w:r>
              <w:rPr>
                <w:rFonts w:hint="eastAsia" w:ascii="宋体" w:hAnsi="宋体" w:cs="宋体"/>
                <w:szCs w:val="21"/>
              </w:rPr>
              <w:t>中对监视和测量资源管理进行了规定</w:t>
            </w:r>
            <w:r>
              <w:rPr>
                <w:rFonts w:hint="eastAsia" w:ascii="宋体" w:hAnsi="宋体" w:cs="宋体"/>
                <w:szCs w:val="21"/>
                <w:lang w:eastAsia="zh-CN"/>
              </w:rPr>
              <w:t>；</w:t>
            </w:r>
            <w:r>
              <w:rPr>
                <w:rFonts w:hint="eastAsia" w:ascii="宋体" w:hAnsi="宋体" w:cs="宋体"/>
                <w:szCs w:val="21"/>
                <w:lang w:val="en-US" w:eastAsia="zh-CN"/>
              </w:rPr>
              <w:t>地址为：甘肃省兰州市城关区皋兰路街道平凉路366号2楼，租赁方为：甘肃省通信产业物业管理有限公司，面积共226平面，其中办公区50平面，库房10平面，生产区：168平面。其中水电、物业、消防、垃圾等由物业统一管理。</w:t>
            </w:r>
            <w:r>
              <w:rPr>
                <w:rFonts w:hint="eastAsia" w:ascii="宋体" w:hAnsi="宋体" w:cs="宋体"/>
                <w:color w:val="auto"/>
                <w:sz w:val="21"/>
                <w:szCs w:val="21"/>
                <w:lang w:val="en-US" w:eastAsia="zh-CN"/>
              </w:rPr>
              <w:t>租赁见附件。</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rPr>
              <w:t>现场查看所涉及的设备情况，</w:t>
            </w:r>
            <w:r>
              <w:rPr>
                <w:rFonts w:hint="eastAsia"/>
                <w:color w:val="000000"/>
                <w:szCs w:val="21"/>
                <w:lang w:val="en-US" w:eastAsia="zh-CN"/>
              </w:rPr>
              <w:t>印刷</w:t>
            </w:r>
            <w:r>
              <w:rPr>
                <w:rFonts w:hint="eastAsia" w:ascii="宋体" w:hAnsi="宋体" w:cs="宋体"/>
                <w:szCs w:val="21"/>
              </w:rPr>
              <w:t>过程中使用的设备：计算机5台、黑白数码多功能机、数码多功能机、彩色数码印刷机、多功能传真一体机</w:t>
            </w:r>
            <w:r>
              <w:rPr>
                <w:rFonts w:hint="eastAsia" w:ascii="宋体" w:hAnsi="宋体" w:cs="宋体"/>
                <w:szCs w:val="21"/>
                <w:lang w:eastAsia="zh-CN"/>
              </w:rPr>
              <w:t>、</w:t>
            </w:r>
            <w:r>
              <w:rPr>
                <w:rFonts w:hint="eastAsia" w:ascii="宋体" w:hAnsi="宋体" w:cs="宋体"/>
                <w:szCs w:val="21"/>
              </w:rPr>
              <w:t>覆膜机、全自动订折机、无线胶订机、液压切纸机、山华牌打包机</w:t>
            </w:r>
            <w:r>
              <w:rPr>
                <w:rFonts w:hint="eastAsia" w:ascii="宋体" w:hAnsi="宋体" w:cs="宋体"/>
                <w:szCs w:val="21"/>
                <w:lang w:eastAsia="zh-CN"/>
              </w:rPr>
              <w:t>、</w:t>
            </w:r>
            <w:r>
              <w:rPr>
                <w:rFonts w:hint="eastAsia" w:ascii="宋体" w:hAnsi="宋体" w:cs="宋体"/>
                <w:szCs w:val="21"/>
              </w:rPr>
              <w:t>半自动覆膜机、</w:t>
            </w:r>
            <w:r>
              <w:rPr>
                <w:rFonts w:hint="eastAsia" w:ascii="宋体" w:hAnsi="宋体" w:cs="宋体"/>
                <w:szCs w:val="21"/>
                <w:lang w:val="en-US" w:eastAsia="zh-CN"/>
              </w:rPr>
              <w:t>通风</w:t>
            </w:r>
            <w:r>
              <w:rPr>
                <w:rFonts w:hint="eastAsia" w:ascii="宋体" w:hAnsi="宋体" w:cs="宋体"/>
                <w:szCs w:val="21"/>
              </w:rPr>
              <w:t>设备</w:t>
            </w:r>
            <w:r>
              <w:rPr>
                <w:rFonts w:hint="eastAsia" w:ascii="宋体" w:hAnsi="宋体" w:cs="宋体"/>
                <w:sz w:val="21"/>
                <w:szCs w:val="21"/>
              </w:rPr>
              <w:t>；</w:t>
            </w:r>
            <w:r>
              <w:rPr>
                <w:rFonts w:hint="eastAsia" w:ascii="宋体" w:hAnsi="宋体" w:cs="宋体"/>
                <w:sz w:val="21"/>
                <w:szCs w:val="21"/>
                <w:lang w:val="en-US" w:eastAsia="zh-CN"/>
              </w:rPr>
              <w:t>办公场所配置了电脑、打印机、文件柜等办公所必须的设备设施。</w:t>
            </w:r>
            <w:r>
              <w:rPr>
                <w:rFonts w:hint="eastAsia" w:ascii="宋体" w:hAnsi="宋体" w:cs="宋体"/>
                <w:szCs w:val="21"/>
                <w:lang w:val="en-US" w:eastAsia="zh-CN"/>
              </w:rPr>
              <w:t>查看了设备的保养情况：</w:t>
            </w:r>
          </w:p>
          <w:p>
            <w:pPr>
              <w:pStyle w:val="2"/>
              <w:rPr>
                <w:rFonts w:hint="eastAsia"/>
                <w:lang w:val="en-US" w:eastAsia="zh-CN"/>
              </w:rPr>
            </w:pPr>
            <w:r>
              <w:rPr>
                <w:rFonts w:hint="eastAsia"/>
                <w:lang w:val="en-US" w:eastAsia="zh-CN"/>
              </w:rPr>
              <w:t>查切纸机维护维修记录：</w:t>
            </w:r>
          </w:p>
          <w:p>
            <w:pPr>
              <w:pStyle w:val="2"/>
              <w:rPr>
                <w:rFonts w:hint="eastAsia"/>
                <w:lang w:val="en-US" w:eastAsia="zh-CN"/>
              </w:rPr>
            </w:pPr>
            <w:r>
              <w:rPr>
                <w:rFonts w:hint="eastAsia"/>
                <w:lang w:val="en-US" w:eastAsia="zh-CN"/>
              </w:rPr>
              <w:t>维修时间：2022年8月15日</w:t>
            </w:r>
          </w:p>
          <w:p>
            <w:pPr>
              <w:pStyle w:val="2"/>
              <w:rPr>
                <w:rFonts w:hint="eastAsia"/>
                <w:lang w:val="en-US" w:eastAsia="zh-CN"/>
              </w:rPr>
            </w:pPr>
            <w:r>
              <w:rPr>
                <w:rFonts w:hint="eastAsia"/>
                <w:lang w:val="en-US" w:eastAsia="zh-CN"/>
              </w:rPr>
              <w:t>维护维修情况记录：</w:t>
            </w:r>
          </w:p>
          <w:p>
            <w:pPr>
              <w:pStyle w:val="2"/>
              <w:rPr>
                <w:rFonts w:hint="default"/>
                <w:lang w:val="en-US" w:eastAsia="zh-CN"/>
              </w:rPr>
            </w:pPr>
            <w:r>
              <w:rPr>
                <w:rFonts w:hint="eastAsia"/>
                <w:lang w:val="en-US" w:eastAsia="zh-CN"/>
              </w:rPr>
              <w:t>更换刀片一个，磨刀一次</w:t>
            </w:r>
          </w:p>
          <w:p>
            <w:pPr>
              <w:pStyle w:val="2"/>
              <w:numPr>
                <w:ilvl w:val="0"/>
                <w:numId w:val="0"/>
              </w:numPr>
              <w:rPr>
                <w:rFonts w:hint="eastAsia"/>
                <w:lang w:val="en-US" w:eastAsia="zh-CN"/>
              </w:rPr>
            </w:pPr>
            <w:r>
              <w:rPr>
                <w:rFonts w:hint="eastAsia"/>
                <w:lang w:val="en-US" w:eastAsia="zh-CN"/>
              </w:rPr>
              <w:t>维护维修结果：正常使用。</w:t>
            </w:r>
          </w:p>
          <w:p>
            <w:pPr>
              <w:pStyle w:val="2"/>
              <w:numPr>
                <w:ilvl w:val="0"/>
                <w:numId w:val="0"/>
              </w:numPr>
              <w:rPr>
                <w:rFonts w:hint="eastAsia"/>
                <w:lang w:val="en-US" w:eastAsia="zh-CN"/>
              </w:rPr>
            </w:pPr>
            <w:r>
              <w:rPr>
                <w:rFonts w:hint="eastAsia"/>
                <w:lang w:val="en-US" w:eastAsia="zh-CN"/>
              </w:rPr>
              <w:t xml:space="preserve">维护维修人：郭婉涛、陈维雄    验收人：徐珲     </w:t>
            </w:r>
          </w:p>
          <w:p>
            <w:pPr>
              <w:pStyle w:val="2"/>
              <w:rPr>
                <w:rFonts w:hint="default"/>
                <w:lang w:val="en-US" w:eastAsia="zh-CN"/>
              </w:rPr>
            </w:pPr>
            <w:r>
              <w:rPr>
                <w:rFonts w:hint="eastAsia"/>
                <w:lang w:val="en-US" w:eastAsia="zh-CN"/>
              </w:rPr>
              <w:t>设备均有保养，设备情况完好，符合生产要求。现场查看企业无特种设备，货物搬运使用人力手动小板车。</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现场查看：公司</w:t>
            </w:r>
            <w:r>
              <w:rPr>
                <w:rFonts w:hint="eastAsia" w:ascii="宋体" w:hAnsi="宋体" w:eastAsia="宋体" w:cs="宋体"/>
                <w:szCs w:val="21"/>
                <w:lang w:val="en-US" w:eastAsia="zh-CN"/>
              </w:rPr>
              <w:t>管理</w:t>
            </w:r>
            <w:r>
              <w:rPr>
                <w:rFonts w:hint="eastAsia" w:ascii="宋体" w:hAnsi="宋体" w:eastAsia="宋体" w:cs="宋体"/>
                <w:szCs w:val="21"/>
              </w:rPr>
              <w:t>手册7.1.4章节，规定了现场过程运行环境的控制要求。</w:t>
            </w:r>
          </w:p>
          <w:p>
            <w:pPr>
              <w:spacing w:line="360" w:lineRule="auto"/>
              <w:ind w:firstLine="420" w:firstLineChars="200"/>
              <w:rPr>
                <w:rFonts w:hint="eastAsia" w:ascii="宋体" w:hAnsi="宋体" w:eastAsia="宋体" w:cs="宋体"/>
                <w:szCs w:val="21"/>
              </w:rPr>
            </w:pPr>
            <w:r>
              <w:rPr>
                <w:rFonts w:hint="eastAsia" w:ascii="宋体" w:hAnsi="宋体" w:cs="宋体"/>
                <w:szCs w:val="21"/>
                <w:lang w:val="en-US" w:eastAsia="zh-CN"/>
              </w:rPr>
              <w:t>印刷厂房</w:t>
            </w:r>
            <w:r>
              <w:rPr>
                <w:rFonts w:hint="eastAsia" w:ascii="宋体" w:hAnsi="宋体" w:eastAsia="宋体" w:cs="宋体"/>
                <w:szCs w:val="21"/>
              </w:rPr>
              <w:t>的现场，无温度/湿度度等特殊环境控制要求，查看</w:t>
            </w:r>
            <w:r>
              <w:rPr>
                <w:rFonts w:hint="eastAsia" w:ascii="宋体" w:hAnsi="宋体" w:cs="宋体"/>
                <w:szCs w:val="21"/>
                <w:lang w:val="en-US" w:eastAsia="zh-CN"/>
              </w:rPr>
              <w:t>工作区域</w:t>
            </w:r>
            <w:r>
              <w:rPr>
                <w:rFonts w:hint="eastAsia" w:ascii="宋体" w:hAnsi="宋体" w:eastAsia="宋体" w:cs="宋体"/>
                <w:szCs w:val="21"/>
              </w:rPr>
              <w:t>，环境整洁，通道宽畅，采光良好，作业区域划分清晰，</w:t>
            </w:r>
            <w:r>
              <w:rPr>
                <w:rFonts w:hint="eastAsia" w:ascii="宋体" w:hAnsi="宋体" w:eastAsia="宋体" w:cs="宋体"/>
                <w:szCs w:val="21"/>
                <w:lang w:val="en-US" w:eastAsia="zh-CN"/>
              </w:rPr>
              <w:t>按照</w:t>
            </w:r>
            <w:r>
              <w:rPr>
                <w:rFonts w:hint="eastAsia" w:ascii="宋体" w:hAnsi="宋体" w:cs="宋体"/>
                <w:szCs w:val="21"/>
                <w:lang w:val="en-US" w:eastAsia="zh-CN"/>
              </w:rPr>
              <w:t>业务洽谈区、广告车间、装订车间等</w:t>
            </w:r>
            <w:r>
              <w:rPr>
                <w:rFonts w:hint="eastAsia" w:ascii="宋体" w:hAnsi="宋体" w:eastAsia="宋体" w:cs="宋体"/>
                <w:szCs w:val="21"/>
                <w:lang w:val="en-US" w:eastAsia="zh-CN"/>
              </w:rPr>
              <w:t>区域划分</w:t>
            </w:r>
            <w:r>
              <w:rPr>
                <w:rFonts w:hint="eastAsia" w:ascii="宋体" w:hAnsi="宋体" w:eastAsia="宋体" w:cs="宋体"/>
                <w:szCs w:val="21"/>
              </w:rPr>
              <w:t>，符合规定要求。</w:t>
            </w:r>
          </w:p>
          <w:p>
            <w:pPr>
              <w:spacing w:line="360" w:lineRule="auto"/>
              <w:ind w:firstLine="420" w:firstLineChars="200"/>
              <w:rPr>
                <w:rFonts w:hint="default" w:ascii="宋体" w:hAnsi="宋体" w:eastAsia="宋体" w:cs="宋体"/>
                <w:szCs w:val="21"/>
                <w:lang w:val="en-US" w:eastAsia="zh-CN"/>
              </w:rPr>
            </w:pPr>
            <w:r>
              <w:rPr>
                <w:rFonts w:hint="eastAsia" w:ascii="宋体" w:hAnsi="宋体" w:eastAsia="宋体" w:cs="宋体"/>
                <w:szCs w:val="21"/>
                <w:lang w:eastAsia="zh-CN"/>
              </w:rPr>
              <w:drawing>
                <wp:inline distT="0" distB="0" distL="114300" distR="114300">
                  <wp:extent cx="2609215" cy="1957070"/>
                  <wp:effectExtent l="0" t="0" r="6985" b="11430"/>
                  <wp:docPr id="22" name="图片 22" descr="90358037dad6248ad352f68e0295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0358037dad6248ad352f68e0295dc2"/>
                          <pic:cNvPicPr>
                            <a:picLocks noChangeAspect="1"/>
                          </pic:cNvPicPr>
                        </pic:nvPicPr>
                        <pic:blipFill>
                          <a:blip r:embed="rId6"/>
                          <a:stretch>
                            <a:fillRect/>
                          </a:stretch>
                        </pic:blipFill>
                        <pic:spPr>
                          <a:xfrm>
                            <a:off x="0" y="0"/>
                            <a:ext cx="2609215" cy="1957070"/>
                          </a:xfrm>
                          <a:prstGeom prst="rect">
                            <a:avLst/>
                          </a:prstGeom>
                        </pic:spPr>
                      </pic:pic>
                    </a:graphicData>
                  </a:graphic>
                </wp:inline>
              </w:drawing>
            </w:r>
            <w:r>
              <w:rPr>
                <w:rFonts w:hint="eastAsia" w:ascii="宋体" w:hAnsi="宋体" w:cs="宋体"/>
                <w:szCs w:val="21"/>
                <w:lang w:val="en-US" w:eastAsia="zh-CN"/>
              </w:rPr>
              <w:t xml:space="preserve">  </w:t>
            </w:r>
            <w:r>
              <w:rPr>
                <w:rFonts w:hint="default" w:ascii="宋体" w:hAnsi="宋体" w:eastAsia="宋体" w:cs="宋体"/>
                <w:szCs w:val="21"/>
                <w:lang w:val="en-US" w:eastAsia="zh-CN"/>
              </w:rPr>
              <w:drawing>
                <wp:inline distT="0" distB="0" distL="114300" distR="114300">
                  <wp:extent cx="2639695" cy="1979930"/>
                  <wp:effectExtent l="0" t="0" r="1905" b="1270"/>
                  <wp:docPr id="27" name="图片 27" descr="c64c50ae77fb13779d31d3f3b39c4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64c50ae77fb13779d31d3f3b39c4f2"/>
                          <pic:cNvPicPr>
                            <a:picLocks noChangeAspect="1"/>
                          </pic:cNvPicPr>
                        </pic:nvPicPr>
                        <pic:blipFill>
                          <a:blip r:embed="rId7"/>
                          <a:stretch>
                            <a:fillRect/>
                          </a:stretch>
                        </pic:blipFill>
                        <pic:spPr>
                          <a:xfrm>
                            <a:off x="0" y="0"/>
                            <a:ext cx="2639695" cy="1979930"/>
                          </a:xfrm>
                          <a:prstGeom prst="rect">
                            <a:avLst/>
                          </a:prstGeom>
                        </pic:spPr>
                      </pic:pic>
                    </a:graphicData>
                  </a:graphic>
                </wp:inline>
              </w:drawing>
            </w:r>
          </w:p>
          <w:p>
            <w:pPr>
              <w:pStyle w:val="5"/>
              <w:rPr>
                <w:rFonts w:hint="eastAsia" w:ascii="宋体" w:hAnsi="宋体" w:eastAsia="宋体" w:cs="宋体"/>
                <w:szCs w:val="21"/>
              </w:rPr>
            </w:pPr>
            <w:r>
              <w:rPr>
                <w:rFonts w:hint="eastAsia" w:ascii="宋体" w:hAnsi="宋体" w:eastAsia="宋体" w:cs="宋体"/>
                <w:szCs w:val="21"/>
                <w:lang w:eastAsia="zh-CN"/>
              </w:rPr>
              <w:drawing>
                <wp:anchor distT="0" distB="0" distL="114300" distR="114300" simplePos="0" relativeHeight="251661312" behindDoc="0" locked="0" layoutInCell="1" allowOverlap="1">
                  <wp:simplePos x="0" y="0"/>
                  <wp:positionH relativeFrom="column">
                    <wp:posOffset>190500</wp:posOffset>
                  </wp:positionH>
                  <wp:positionV relativeFrom="paragraph">
                    <wp:posOffset>127635</wp:posOffset>
                  </wp:positionV>
                  <wp:extent cx="2841625" cy="1917065"/>
                  <wp:effectExtent l="0" t="0" r="3175" b="635"/>
                  <wp:wrapNone/>
                  <wp:docPr id="28" name="图片 28" descr="a10bdedccbf8c3106270b34748c7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10bdedccbf8c3106270b34748c79f8"/>
                          <pic:cNvPicPr>
                            <a:picLocks noChangeAspect="1"/>
                          </pic:cNvPicPr>
                        </pic:nvPicPr>
                        <pic:blipFill>
                          <a:blip r:embed="rId8"/>
                          <a:stretch>
                            <a:fillRect/>
                          </a:stretch>
                        </pic:blipFill>
                        <pic:spPr>
                          <a:xfrm>
                            <a:off x="0" y="0"/>
                            <a:ext cx="2841625" cy="1917065"/>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62336" behindDoc="0" locked="0" layoutInCell="1" allowOverlap="1">
                  <wp:simplePos x="0" y="0"/>
                  <wp:positionH relativeFrom="column">
                    <wp:posOffset>3130550</wp:posOffset>
                  </wp:positionH>
                  <wp:positionV relativeFrom="paragraph">
                    <wp:posOffset>127000</wp:posOffset>
                  </wp:positionV>
                  <wp:extent cx="2562225" cy="1922145"/>
                  <wp:effectExtent l="0" t="0" r="3175" b="8255"/>
                  <wp:wrapNone/>
                  <wp:docPr id="29" name="图片 29" descr="8520af46affa4a45b1e9a826dd8f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520af46affa4a45b1e9a826dd8fe29"/>
                          <pic:cNvPicPr>
                            <a:picLocks noChangeAspect="1"/>
                          </pic:cNvPicPr>
                        </pic:nvPicPr>
                        <pic:blipFill>
                          <a:blip r:embed="rId9"/>
                          <a:stretch>
                            <a:fillRect/>
                          </a:stretch>
                        </pic:blipFill>
                        <pic:spPr>
                          <a:xfrm>
                            <a:off x="0" y="0"/>
                            <a:ext cx="2562225" cy="1922145"/>
                          </a:xfrm>
                          <a:prstGeom prst="rect">
                            <a:avLst/>
                          </a:prstGeom>
                        </pic:spPr>
                      </pic:pic>
                    </a:graphicData>
                  </a:graphic>
                </wp:anchor>
              </w:drawing>
            </w:r>
          </w:p>
          <w:p>
            <w:pPr>
              <w:pStyle w:val="5"/>
              <w:rPr>
                <w:rFonts w:hint="eastAsia" w:ascii="宋体" w:hAnsi="宋体" w:eastAsia="宋体" w:cs="宋体"/>
                <w:szCs w:val="21"/>
                <w:lang w:eastAsia="zh-CN"/>
              </w:rPr>
            </w:pPr>
          </w:p>
          <w:p>
            <w:pPr>
              <w:pStyle w:val="5"/>
              <w:rPr>
                <w:rFonts w:hint="eastAsia" w:ascii="宋体" w:hAnsi="宋体" w:eastAsia="宋体" w:cs="宋体"/>
                <w:szCs w:val="21"/>
                <w:lang w:eastAsia="zh-CN"/>
              </w:rPr>
            </w:pPr>
          </w:p>
          <w:p>
            <w:pPr>
              <w:pStyle w:val="5"/>
              <w:rPr>
                <w:rFonts w:hint="eastAsia" w:ascii="宋体" w:hAnsi="宋体" w:eastAsia="宋体" w:cs="宋体"/>
                <w:szCs w:val="21"/>
              </w:rPr>
            </w:pPr>
          </w:p>
          <w:p>
            <w:pPr>
              <w:pStyle w:val="5"/>
              <w:rPr>
                <w:rFonts w:hint="eastAsia" w:ascii="宋体" w:hAnsi="宋体" w:eastAsia="宋体" w:cs="宋体"/>
                <w:szCs w:val="21"/>
              </w:rPr>
            </w:pPr>
          </w:p>
          <w:p>
            <w:pPr>
              <w:pStyle w:val="5"/>
              <w:rPr>
                <w:rFonts w:hint="eastAsia" w:ascii="宋体" w:hAnsi="宋体" w:eastAsia="宋体" w:cs="宋体"/>
                <w:szCs w:val="21"/>
              </w:rPr>
            </w:pPr>
          </w:p>
          <w:p>
            <w:pPr>
              <w:pStyle w:val="5"/>
              <w:rPr>
                <w:rFonts w:hint="eastAsia" w:ascii="宋体" w:hAnsi="宋体" w:eastAsia="宋体" w:cs="宋体"/>
                <w:szCs w:val="21"/>
              </w:rPr>
            </w:pPr>
          </w:p>
          <w:p>
            <w:pPr>
              <w:pStyle w:val="5"/>
              <w:rPr>
                <w:rFonts w:hint="eastAsia" w:ascii="宋体" w:hAnsi="宋体" w:eastAsia="宋体" w:cs="宋体"/>
                <w:szCs w:val="21"/>
                <w:lang w:eastAsia="zh-CN"/>
              </w:rPr>
            </w:pPr>
          </w:p>
          <w:p>
            <w:pPr>
              <w:pStyle w:val="5"/>
              <w:rPr>
                <w:rFonts w:hint="eastAsia" w:ascii="宋体" w:hAnsi="宋体" w:eastAsia="宋体" w:cs="宋体"/>
                <w:szCs w:val="21"/>
              </w:rPr>
            </w:pPr>
          </w:p>
          <w:p>
            <w:pPr>
              <w:pStyle w:val="5"/>
              <w:rPr>
                <w:rFonts w:hint="eastAsia" w:ascii="宋体" w:hAnsi="宋体" w:eastAsia="宋体" w:cs="宋体"/>
                <w:szCs w:val="21"/>
              </w:rPr>
            </w:pPr>
            <w:r>
              <w:rPr>
                <w:rFonts w:hint="default" w:ascii="宋体" w:hAnsi="宋体" w:eastAsia="宋体" w:cs="宋体"/>
                <w:szCs w:val="21"/>
                <w:lang w:val="en-US" w:eastAsia="zh-CN"/>
              </w:rPr>
              <w:drawing>
                <wp:anchor distT="0" distB="0" distL="114300" distR="114300" simplePos="0" relativeHeight="251664384" behindDoc="0" locked="0" layoutInCell="1" allowOverlap="1">
                  <wp:simplePos x="0" y="0"/>
                  <wp:positionH relativeFrom="column">
                    <wp:posOffset>3143250</wp:posOffset>
                  </wp:positionH>
                  <wp:positionV relativeFrom="paragraph">
                    <wp:posOffset>140335</wp:posOffset>
                  </wp:positionV>
                  <wp:extent cx="2769870" cy="1868805"/>
                  <wp:effectExtent l="0" t="0" r="11430" b="10795"/>
                  <wp:wrapNone/>
                  <wp:docPr id="31" name="图片 31" descr="a75be796151589e5808d2435dad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75be796151589e5808d2435dad1761"/>
                          <pic:cNvPicPr>
                            <a:picLocks noChangeAspect="1"/>
                          </pic:cNvPicPr>
                        </pic:nvPicPr>
                        <pic:blipFill>
                          <a:blip r:embed="rId10"/>
                          <a:stretch>
                            <a:fillRect/>
                          </a:stretch>
                        </pic:blipFill>
                        <pic:spPr>
                          <a:xfrm>
                            <a:off x="0" y="0"/>
                            <a:ext cx="2769870" cy="1868805"/>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63360" behindDoc="0" locked="0" layoutInCell="1" allowOverlap="1">
                  <wp:simplePos x="0" y="0"/>
                  <wp:positionH relativeFrom="column">
                    <wp:posOffset>158750</wp:posOffset>
                  </wp:positionH>
                  <wp:positionV relativeFrom="paragraph">
                    <wp:posOffset>118110</wp:posOffset>
                  </wp:positionV>
                  <wp:extent cx="2799080" cy="1889125"/>
                  <wp:effectExtent l="0" t="0" r="7620" b="3175"/>
                  <wp:wrapNone/>
                  <wp:docPr id="30" name="图片 30" descr="4205ed5646cb42e11e61ca48d1bc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205ed5646cb42e11e61ca48d1bc66e"/>
                          <pic:cNvPicPr>
                            <a:picLocks noChangeAspect="1"/>
                          </pic:cNvPicPr>
                        </pic:nvPicPr>
                        <pic:blipFill>
                          <a:blip r:embed="rId11"/>
                          <a:stretch>
                            <a:fillRect/>
                          </a:stretch>
                        </pic:blipFill>
                        <pic:spPr>
                          <a:xfrm>
                            <a:off x="0" y="0"/>
                            <a:ext cx="2799080" cy="1889125"/>
                          </a:xfrm>
                          <a:prstGeom prst="rect">
                            <a:avLst/>
                          </a:prstGeom>
                        </pic:spPr>
                      </pic:pic>
                    </a:graphicData>
                  </a:graphic>
                </wp:anchor>
              </w:drawing>
            </w:r>
          </w:p>
          <w:p>
            <w:pPr>
              <w:pStyle w:val="5"/>
              <w:rPr>
                <w:rFonts w:hint="eastAsia" w:ascii="宋体" w:hAnsi="宋体" w:eastAsia="宋体" w:cs="宋体"/>
                <w:szCs w:val="21"/>
                <w:lang w:eastAsia="zh-CN"/>
              </w:rPr>
            </w:pPr>
          </w:p>
          <w:p>
            <w:pPr>
              <w:pStyle w:val="5"/>
              <w:rPr>
                <w:rFonts w:hint="eastAsia" w:ascii="宋体" w:hAnsi="宋体" w:eastAsia="宋体" w:cs="宋体"/>
                <w:szCs w:val="21"/>
                <w:lang w:eastAsia="zh-CN"/>
              </w:rPr>
            </w:pPr>
          </w:p>
          <w:p>
            <w:pPr>
              <w:pStyle w:val="5"/>
              <w:rPr>
                <w:rFonts w:hint="eastAsia" w:ascii="宋体" w:hAnsi="宋体" w:eastAsia="宋体" w:cs="宋体"/>
                <w:szCs w:val="21"/>
                <w:lang w:eastAsia="zh-CN"/>
              </w:rPr>
            </w:pPr>
          </w:p>
          <w:p>
            <w:pPr>
              <w:pStyle w:val="5"/>
              <w:rPr>
                <w:rFonts w:hint="eastAsia" w:ascii="宋体" w:hAnsi="宋体" w:eastAsia="宋体" w:cs="宋体"/>
                <w:szCs w:val="21"/>
              </w:rPr>
            </w:pPr>
          </w:p>
          <w:p>
            <w:pPr>
              <w:pStyle w:val="5"/>
              <w:rPr>
                <w:rFonts w:hint="eastAsia" w:ascii="宋体" w:hAnsi="宋体" w:eastAsia="宋体" w:cs="宋体"/>
                <w:szCs w:val="21"/>
              </w:rPr>
            </w:pPr>
          </w:p>
          <w:p>
            <w:pPr>
              <w:pStyle w:val="5"/>
              <w:rPr>
                <w:rFonts w:hint="eastAsia" w:ascii="宋体" w:hAnsi="宋体" w:eastAsia="宋体" w:cs="宋体"/>
                <w:szCs w:val="21"/>
              </w:rPr>
            </w:pPr>
          </w:p>
          <w:p>
            <w:pPr>
              <w:pStyle w:val="5"/>
              <w:rPr>
                <w:rFonts w:hint="eastAsia" w:ascii="宋体" w:hAnsi="宋体" w:eastAsia="宋体" w:cs="宋体"/>
                <w:szCs w:val="21"/>
              </w:rPr>
            </w:pPr>
          </w:p>
          <w:p>
            <w:pPr>
              <w:pStyle w:val="5"/>
              <w:rPr>
                <w:rFonts w:hint="default" w:ascii="宋体" w:hAnsi="宋体" w:eastAsia="宋体" w:cs="宋体"/>
                <w:sz w:val="21"/>
                <w:szCs w:val="21"/>
                <w:lang w:val="en-US"/>
              </w:rPr>
            </w:pPr>
            <w:r>
              <w:rPr>
                <w:rFonts w:hint="eastAsia" w:ascii="宋体" w:hAnsi="宋体" w:cs="宋体"/>
                <w:szCs w:val="21"/>
                <w:lang w:val="en-US" w:eastAsia="zh-CN"/>
              </w:rPr>
              <w:t xml:space="preserve">   </w:t>
            </w:r>
            <w:r>
              <w:rPr>
                <w:rFonts w:hint="eastAsia" w:ascii="宋体" w:hAnsi="宋体" w:eastAsia="宋体" w:cs="宋体"/>
                <w:kern w:val="2"/>
                <w:sz w:val="21"/>
                <w:szCs w:val="21"/>
                <w:lang w:val="en-US" w:eastAsia="zh-CN" w:bidi="ar-SA"/>
              </w:rPr>
              <w:t>提供了监视测量设备涉及钢直尺</w:t>
            </w:r>
            <w:r>
              <w:rPr>
                <w:rFonts w:hint="eastAsia" w:ascii="宋体" w:hAnsi="宋体" w:cs="宋体"/>
                <w:kern w:val="2"/>
                <w:sz w:val="21"/>
                <w:szCs w:val="21"/>
                <w:lang w:val="en-US" w:eastAsia="zh-CN" w:bidi="ar-SA"/>
              </w:rPr>
              <w:t>、千分尺</w:t>
            </w:r>
            <w:r>
              <w:rPr>
                <w:rFonts w:hint="eastAsia" w:ascii="宋体" w:hAnsi="宋体" w:eastAsia="宋体" w:cs="宋体"/>
                <w:kern w:val="2"/>
                <w:sz w:val="21"/>
                <w:szCs w:val="21"/>
                <w:lang w:val="en-US" w:eastAsia="zh-CN" w:bidi="ar-SA"/>
              </w:rPr>
              <w:t>等，询问计量器具管理情况，目前计量器具配备基本充分，日常由操作人员进行使用。钢直尺于202</w:t>
            </w:r>
            <w:r>
              <w:rPr>
                <w:rFonts w:hint="eastAsia" w:ascii="宋体" w:hAnsi="宋体" w:cs="宋体"/>
                <w:kern w:val="2"/>
                <w:sz w:val="21"/>
                <w:szCs w:val="21"/>
                <w:lang w:val="en-US" w:eastAsia="zh-CN" w:bidi="ar-SA"/>
              </w:rPr>
              <w:t>3</w:t>
            </w:r>
            <w:r>
              <w:rPr>
                <w:rFonts w:hint="eastAsia" w:ascii="宋体" w:hAnsi="宋体" w:eastAsia="宋体" w:cs="宋体"/>
                <w:kern w:val="2"/>
                <w:sz w:val="21"/>
                <w:szCs w:val="21"/>
                <w:lang w:val="en-US" w:eastAsia="zh-CN" w:bidi="ar-SA"/>
              </w:rPr>
              <w:t>年1月在甘肃省计量研究院进行了校准，详见附件。</w:t>
            </w:r>
          </w:p>
        </w:tc>
        <w:tc>
          <w:tcPr>
            <w:tcW w:w="1585" w:type="dxa"/>
          </w:tcPr>
          <w:p>
            <w:pPr>
              <w:spacing w:line="360" w:lineRule="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160" w:type="dxa"/>
            <w:vAlign w:val="top"/>
          </w:tcPr>
          <w:p>
            <w:pPr>
              <w:snapToGrid w:val="0"/>
              <w:spacing w:line="360" w:lineRule="auto"/>
              <w:jc w:val="left"/>
              <w:rPr>
                <w:rFonts w:hint="eastAsia" w:ascii="宋体" w:hAnsi="宋体" w:eastAsia="宋体" w:cs="宋体"/>
                <w:szCs w:val="21"/>
              </w:rPr>
            </w:pPr>
            <w:r>
              <w:rPr>
                <w:rFonts w:hint="eastAsia" w:ascii="宋体" w:hAnsi="宋体" w:eastAsia="宋体" w:cs="宋体"/>
                <w:szCs w:val="21"/>
              </w:rPr>
              <w:t>运行策划和控制</w:t>
            </w:r>
          </w:p>
        </w:tc>
        <w:tc>
          <w:tcPr>
            <w:tcW w:w="960" w:type="dxa"/>
            <w:vAlign w:val="top"/>
          </w:tcPr>
          <w:p>
            <w:pPr>
              <w:snapToGrid w:val="0"/>
              <w:spacing w:line="360" w:lineRule="auto"/>
              <w:jc w:val="left"/>
              <w:rPr>
                <w:rFonts w:hint="eastAsia" w:ascii="宋体" w:hAnsi="宋体" w:eastAsia="宋体" w:cs="宋体"/>
                <w:szCs w:val="21"/>
              </w:rPr>
            </w:pPr>
            <w:r>
              <w:rPr>
                <w:rFonts w:hint="eastAsia" w:ascii="宋体" w:hAnsi="宋体" w:eastAsia="宋体" w:cs="宋体"/>
                <w:szCs w:val="21"/>
                <w:lang w:val="en-US" w:eastAsia="zh-CN"/>
              </w:rPr>
              <w:t>Q</w:t>
            </w:r>
            <w:r>
              <w:rPr>
                <w:rFonts w:hint="eastAsia" w:ascii="宋体" w:hAnsi="宋体" w:eastAsia="宋体" w:cs="宋体"/>
                <w:szCs w:val="21"/>
              </w:rPr>
              <w:t>8.1</w:t>
            </w:r>
          </w:p>
        </w:tc>
        <w:tc>
          <w:tcPr>
            <w:tcW w:w="10004" w:type="dxa"/>
            <w:vAlign w:val="top"/>
          </w:tcPr>
          <w:p>
            <w:pPr>
              <w:snapToGrid w:val="0"/>
              <w:spacing w:line="360" w:lineRule="auto"/>
              <w:ind w:firstLine="420" w:firstLineChars="200"/>
              <w:rPr>
                <w:rFonts w:hint="eastAsia" w:ascii="宋体" w:hAnsi="宋体" w:eastAsia="宋体" w:cs="宋体"/>
                <w:szCs w:val="21"/>
              </w:rPr>
            </w:pPr>
            <w:r>
              <w:rPr>
                <w:rFonts w:hint="eastAsia" w:ascii="宋体" w:hAnsi="宋体" w:cs="宋体"/>
                <w:szCs w:val="21"/>
                <w:lang w:val="en-US" w:eastAsia="zh-CN"/>
              </w:rPr>
              <w:t>出版物专项排版、制版、装订；出版物、包装装潢印刷品、其他印刷品数字印刷</w:t>
            </w:r>
            <w:r>
              <w:rPr>
                <w:rFonts w:hint="eastAsia" w:ascii="宋体" w:hAnsi="宋体" w:eastAsia="宋体" w:cs="宋体"/>
                <w:szCs w:val="21"/>
              </w:rPr>
              <w:t>的策划主要由</w:t>
            </w:r>
            <w:r>
              <w:rPr>
                <w:rFonts w:hint="eastAsia" w:ascii="宋体" w:hAnsi="宋体" w:cs="宋体"/>
                <w:szCs w:val="21"/>
                <w:lang w:eastAsia="zh-CN"/>
              </w:rPr>
              <w:t>生产部</w:t>
            </w:r>
            <w:r>
              <w:rPr>
                <w:rFonts w:hint="eastAsia" w:ascii="宋体" w:hAnsi="宋体" w:eastAsia="宋体" w:cs="宋体"/>
                <w:szCs w:val="21"/>
              </w:rPr>
              <w:t>负责人完成，过程策划包含了实现产品所需达到的质量目标和要求，公司主要依据</w:t>
            </w:r>
            <w:r>
              <w:rPr>
                <w:rFonts w:hint="eastAsia" w:ascii="宋体" w:hAnsi="宋体" w:eastAsia="宋体" w:cs="宋体"/>
                <w:szCs w:val="21"/>
                <w:lang w:val="en-US" w:eastAsia="zh-CN"/>
              </w:rPr>
              <w:t>国家标准</w:t>
            </w:r>
            <w:r>
              <w:rPr>
                <w:rFonts w:hint="eastAsia" w:ascii="宋体" w:hAnsi="宋体" w:eastAsia="宋体" w:cs="宋体"/>
                <w:szCs w:val="21"/>
                <w:lang w:eastAsia="zh-CN"/>
              </w:rPr>
              <w:t>、</w:t>
            </w:r>
            <w:r>
              <w:rPr>
                <w:rFonts w:hint="eastAsia" w:ascii="宋体" w:hAnsi="宋体" w:eastAsia="宋体" w:cs="宋体"/>
                <w:szCs w:val="21"/>
                <w:lang w:val="en-US" w:eastAsia="zh-CN"/>
              </w:rPr>
              <w:t>客户要求</w:t>
            </w:r>
            <w:r>
              <w:rPr>
                <w:rFonts w:hint="eastAsia" w:ascii="宋体" w:hAnsi="宋体" w:eastAsia="宋体" w:cs="宋体"/>
                <w:szCs w:val="21"/>
                <w:lang w:eastAsia="zh-CN"/>
              </w:rPr>
              <w:t>，数字印刷 书刊印制信息交换规范CY/T 246-2021、数字印刷质量要求及检验方法GB/T 33259-2016、数字印刷 喷墨印刷图像质量属性的测试方法GB/T 36598-2018</w:t>
            </w:r>
            <w:r>
              <w:rPr>
                <w:rFonts w:hint="eastAsia" w:ascii="宋体" w:hAnsi="宋体" w:cs="宋体"/>
                <w:szCs w:val="21"/>
                <w:lang w:eastAsia="zh-CN"/>
              </w:rPr>
              <w:t>、</w:t>
            </w:r>
            <w:r>
              <w:rPr>
                <w:rFonts w:hint="eastAsia" w:ascii="宋体" w:hAnsi="宋体" w:eastAsia="宋体" w:cs="宋体"/>
                <w:szCs w:val="21"/>
                <w:lang w:eastAsia="zh-CN"/>
              </w:rPr>
              <w:t>《印刷业管理条例》、GB/T 9851.5-2008印刷技术术语 平版印刷术语、GB/T788-1999图书和杂志开本及其幅面尺寸、CY/T5-1999平版印刷品质量要求及检验方法CY/T15-95平装书刊质量分级与检验方法、CY/T 16-1995 精装书刊质量分级与检验方法、CY/T7-1991 印后加工质量要求及检验方法CY/T12-1995 书刊印刷品检验抽样规则</w:t>
            </w:r>
            <w:r>
              <w:rPr>
                <w:rFonts w:hint="eastAsia" w:ascii="宋体" w:hAnsi="宋体" w:eastAsia="宋体" w:cs="宋体"/>
                <w:szCs w:val="21"/>
                <w:lang w:val="en-US" w:eastAsia="zh-CN"/>
              </w:rPr>
              <w:t>等</w:t>
            </w:r>
            <w:r>
              <w:rPr>
                <w:rFonts w:hint="eastAsia" w:ascii="宋体" w:hAnsi="宋体" w:eastAsia="宋体" w:cs="宋体"/>
                <w:szCs w:val="21"/>
              </w:rPr>
              <w:t>进行</w:t>
            </w:r>
            <w:r>
              <w:rPr>
                <w:rFonts w:hint="eastAsia" w:ascii="宋体" w:hAnsi="宋体" w:cs="宋体"/>
                <w:szCs w:val="21"/>
                <w:lang w:val="en-US" w:eastAsia="zh-CN"/>
              </w:rPr>
              <w:t>印刷</w:t>
            </w:r>
            <w:r>
              <w:rPr>
                <w:rFonts w:hint="eastAsia" w:ascii="宋体" w:hAnsi="宋体" w:eastAsia="宋体" w:cs="宋体"/>
                <w:szCs w:val="21"/>
              </w:rPr>
              <w:t>，编制了相应的过程文件：</w:t>
            </w:r>
          </w:p>
          <w:p>
            <w:pPr>
              <w:snapToGrid w:val="0"/>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rPr>
              <w:t>编制了</w:t>
            </w:r>
            <w:r>
              <w:rPr>
                <w:rFonts w:hint="eastAsia" w:ascii="宋体" w:hAnsi="宋体" w:eastAsia="宋体" w:cs="宋体"/>
                <w:szCs w:val="21"/>
                <w:lang w:val="en-US" w:eastAsia="zh-CN"/>
              </w:rPr>
              <w:t>服务</w:t>
            </w:r>
            <w:r>
              <w:rPr>
                <w:rFonts w:hint="eastAsia" w:ascii="宋体" w:hAnsi="宋体" w:eastAsia="宋体" w:cs="宋体"/>
                <w:szCs w:val="21"/>
              </w:rPr>
              <w:t>过程流程</w:t>
            </w:r>
            <w:r>
              <w:rPr>
                <w:rFonts w:hint="eastAsia" w:ascii="宋体" w:hAnsi="宋体" w:eastAsia="宋体" w:cs="宋体"/>
                <w:szCs w:val="21"/>
                <w:lang w:eastAsia="zh-CN"/>
              </w:rPr>
              <w:t>：</w:t>
            </w:r>
            <w:r>
              <w:rPr>
                <w:rFonts w:hint="eastAsia" w:ascii="宋体" w:hAnsi="宋体" w:eastAsia="宋体" w:cs="宋体"/>
                <w:szCs w:val="21"/>
                <w:lang w:val="en-US" w:eastAsia="zh-CN"/>
              </w:rPr>
              <w:t>与顾客接洽-根据客户需求定制产品-排版-制作样稿-客户确认-签订合同-根据合同生成数码工序交接单-制版（印刷制版外包）-数字印刷（烫金、模切外包）-装订-质检-出厂.</w:t>
            </w:r>
          </w:p>
          <w:p>
            <w:pPr>
              <w:pStyle w:val="2"/>
              <w:rPr>
                <w:rFonts w:hint="default"/>
                <w:color w:val="auto"/>
                <w:lang w:val="en-US" w:eastAsia="zh-CN"/>
              </w:rPr>
            </w:pPr>
            <w:r>
              <w:rPr>
                <w:rFonts w:hint="eastAsia" w:ascii="宋体" w:hAnsi="宋体" w:cs="宋体"/>
                <w:color w:val="auto"/>
                <w:szCs w:val="21"/>
                <w:lang w:val="en-US" w:eastAsia="zh-CN"/>
              </w:rPr>
              <w:t>制版流程：排版-电子制版-CTP制版/烫金制版/模切版（外包）</w:t>
            </w:r>
          </w:p>
          <w:p>
            <w:pPr>
              <w:pStyle w:val="2"/>
              <w:spacing w:line="360" w:lineRule="auto"/>
              <w:rPr>
                <w:rFonts w:hint="eastAsia" w:ascii="Times New Roman" w:hAnsi="Times New Roman" w:eastAsia="宋体" w:cs="Times New Roman"/>
                <w:lang w:val="en-US" w:eastAsia="zh-CN"/>
              </w:rPr>
            </w:pPr>
            <w:r>
              <w:rPr>
                <w:rFonts w:hint="eastAsia"/>
                <w:lang w:val="en-US" w:eastAsia="zh-CN"/>
              </w:rPr>
              <w:t>关键过程：</w:t>
            </w:r>
            <w:r>
              <w:rPr>
                <w:rFonts w:hint="eastAsia" w:ascii="Times New Roman" w:hAnsi="Times New Roman" w:eastAsia="宋体" w:cs="Times New Roman"/>
                <w:lang w:val="en-US" w:eastAsia="zh-CN"/>
              </w:rPr>
              <w:t>印刷过程</w:t>
            </w:r>
          </w:p>
          <w:p>
            <w:pPr>
              <w:pStyle w:val="2"/>
              <w:spacing w:line="360" w:lineRule="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企业使用ERP系统进行物料、生产管理。</w:t>
            </w:r>
          </w:p>
          <w:p>
            <w:pPr>
              <w:pStyle w:val="2"/>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 组织通过产品特性，生产车间通过下达的《</w:t>
            </w:r>
            <w:r>
              <w:rPr>
                <w:rFonts w:hint="eastAsia" w:cs="Times New Roman"/>
                <w:lang w:val="en-US" w:eastAsia="zh-CN"/>
              </w:rPr>
              <w:t>数码工序交接单</w:t>
            </w:r>
            <w:r>
              <w:rPr>
                <w:rFonts w:hint="eastAsia" w:ascii="Times New Roman" w:hAnsi="Times New Roman" w:eastAsia="宋体" w:cs="Times New Roman"/>
                <w:lang w:val="en-US" w:eastAsia="zh-CN"/>
              </w:rPr>
              <w:t>》获得表述产品特性的信息。</w:t>
            </w:r>
          </w:p>
          <w:p>
            <w:pPr>
              <w:pStyle w:val="2"/>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b) 组织编制了产品的作业指导书等文件：《甘肃东麟文化产业有限公司质量标准》、《东麟文化主要岗位任职要求》《管理制度》等。规定了服务的验收准则，文件中描述了各工序的工艺内容和控制指标，作为操作人员的作业指南。</w:t>
            </w:r>
          </w:p>
          <w:p>
            <w:pPr>
              <w:pStyle w:val="2"/>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c) 组织为生产配备了适宜的生产设备，现场观察所有生产设备黑白数码多功能机、数码多功能机、彩色数码印刷机、多功能传真一体机</w:t>
            </w:r>
            <w:r>
              <w:rPr>
                <w:rFonts w:hint="eastAsia" w:cs="Times New Roman"/>
                <w:lang w:val="en-US" w:eastAsia="zh-CN"/>
              </w:rPr>
              <w:t>、</w:t>
            </w:r>
            <w:r>
              <w:rPr>
                <w:rFonts w:hint="eastAsia" w:ascii="Times New Roman" w:hAnsi="Times New Roman" w:eastAsia="宋体" w:cs="Times New Roman"/>
                <w:lang w:val="en-US" w:eastAsia="zh-CN"/>
              </w:rPr>
              <w:t>覆膜机、全自动订折机、无线胶订机、液压切纸机、山华牌打包机等工作正常。</w:t>
            </w:r>
          </w:p>
          <w:p>
            <w:pPr>
              <w:pStyle w:val="2"/>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 组织为各工序配备了钢直尺等监视测量设备。</w:t>
            </w:r>
          </w:p>
          <w:p>
            <w:pPr>
              <w:pStyle w:val="2"/>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e) 组织对生产过程和产品实施了监视和测量，并作了相应记录。</w:t>
            </w:r>
          </w:p>
          <w:p>
            <w:pPr>
              <w:pStyle w:val="2"/>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检验活动包括原材料检验、工序检验、成品检验。生产过程中使用的记录有：原材料验收记录、过程检验记录、成品检验单等，符合要求。</w:t>
            </w:r>
          </w:p>
          <w:p>
            <w:pPr>
              <w:pStyle w:val="2"/>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过程产品和最终产品的监视和测量记录见 Q8.6 审核记录。</w:t>
            </w:r>
          </w:p>
          <w:p>
            <w:pPr>
              <w:pStyle w:val="2"/>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f) 生产部负责对产品的放行，负责产品交付和交付后活动的实施，产品经过测试检验合格后方可放行和交付，生产部依据合同出具出库单。</w:t>
            </w:r>
          </w:p>
          <w:p>
            <w:pPr>
              <w:pStyle w:val="2"/>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g）为生产过程配备了必要的人员，见7.2条款审核记录。</w:t>
            </w:r>
          </w:p>
          <w:p>
            <w:pPr>
              <w:pStyle w:val="2"/>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h）印刷过程无特殊过程，关键过程为印刷过程。</w:t>
            </w:r>
          </w:p>
          <w:p>
            <w:pPr>
              <w:pStyle w:val="2"/>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策划的输出适合于组织的运行。</w:t>
            </w:r>
          </w:p>
          <w:p>
            <w:pPr>
              <w:snapToGrid w:val="0"/>
              <w:spacing w:line="360" w:lineRule="auto"/>
              <w:rPr>
                <w:rFonts w:hint="default" w:ascii="宋体" w:hAnsi="宋体" w:eastAsia="宋体" w:cs="宋体"/>
                <w:szCs w:val="21"/>
                <w:lang w:val="en-US" w:eastAsia="zh-CN"/>
              </w:rPr>
            </w:pPr>
            <w:r>
              <w:rPr>
                <w:rFonts w:hint="eastAsia" w:ascii="宋体" w:hAnsi="宋体" w:eastAsia="宋体" w:cs="宋体"/>
                <w:szCs w:val="21"/>
              </w:rPr>
              <w:t>对于非预期变更，及时进行潜在后果评审，并告知相关人员，目前未发生。经识别企业</w:t>
            </w:r>
            <w:r>
              <w:rPr>
                <w:rFonts w:hint="eastAsia" w:ascii="宋体" w:hAnsi="宋体" w:cs="宋体"/>
                <w:szCs w:val="21"/>
                <w:lang w:val="en-US" w:eastAsia="zh-CN"/>
              </w:rPr>
              <w:t>暂无外包过程。</w:t>
            </w:r>
          </w:p>
        </w:tc>
        <w:tc>
          <w:tcPr>
            <w:tcW w:w="1585" w:type="dxa"/>
          </w:tcPr>
          <w:p>
            <w:pPr>
              <w:spacing w:line="360" w:lineRule="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tcPr>
          <w:p>
            <w:pPr>
              <w:spacing w:line="360" w:lineRule="auto"/>
              <w:rPr>
                <w:rFonts w:cs="宋体"/>
                <w:szCs w:val="21"/>
              </w:rPr>
            </w:pPr>
            <w:r>
              <w:rPr>
                <w:rFonts w:hint="eastAsia" w:cs="宋体"/>
                <w:szCs w:val="21"/>
              </w:rPr>
              <w:t>设计和开发</w:t>
            </w:r>
          </w:p>
        </w:tc>
        <w:tc>
          <w:tcPr>
            <w:tcW w:w="960" w:type="dxa"/>
          </w:tcPr>
          <w:p>
            <w:pPr>
              <w:spacing w:line="360" w:lineRule="auto"/>
              <w:rPr>
                <w:szCs w:val="21"/>
              </w:rPr>
            </w:pPr>
            <w:r>
              <w:rPr>
                <w:rFonts w:hint="eastAsia"/>
                <w:szCs w:val="21"/>
              </w:rPr>
              <w:t>Q</w:t>
            </w:r>
            <w:r>
              <w:rPr>
                <w:szCs w:val="21"/>
              </w:rPr>
              <w:t>8.3</w:t>
            </w:r>
          </w:p>
        </w:tc>
        <w:tc>
          <w:tcPr>
            <w:tcW w:w="10004" w:type="dxa"/>
            <w:vAlign w:val="center"/>
          </w:tcPr>
          <w:p>
            <w:pPr>
              <w:spacing w:line="360" w:lineRule="auto"/>
              <w:ind w:firstLine="420" w:firstLineChars="200"/>
              <w:rPr>
                <w:rFonts w:ascii="宋体" w:hAnsi="宋体" w:cs="宋体"/>
                <w:kern w:val="0"/>
                <w:szCs w:val="21"/>
              </w:rPr>
            </w:pPr>
            <w:r>
              <w:rPr>
                <w:rFonts w:hint="eastAsia"/>
                <w:sz w:val="21"/>
                <w:szCs w:val="21"/>
              </w:rPr>
              <w:t>审核确认：公司产品和服务特点，产品依据国标、行业标准、客户要求进行生产，工艺成熟稳定，无设计开发要求，</w:t>
            </w:r>
            <w:r>
              <w:rPr>
                <w:sz w:val="21"/>
                <w:szCs w:val="21"/>
              </w:rPr>
              <w:t>故不适用8.3条款，</w:t>
            </w:r>
            <w:r>
              <w:rPr>
                <w:rFonts w:hint="eastAsia"/>
                <w:sz w:val="21"/>
                <w:szCs w:val="21"/>
                <w:lang w:val="en-US" w:eastAsia="zh-CN"/>
              </w:rPr>
              <w:t>不适用</w:t>
            </w:r>
            <w:r>
              <w:rPr>
                <w:sz w:val="21"/>
                <w:szCs w:val="21"/>
              </w:rPr>
              <w:t>不影响组织确保其产品和服务合格的能力或责任，对增强顾客满意也不会产生影响。</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rPr>
                <w:rFonts w:ascii="宋体" w:hAnsi="宋体" w:cs="Arial"/>
                <w:color w:val="auto"/>
                <w:szCs w:val="21"/>
              </w:rPr>
            </w:pPr>
            <w:r>
              <w:rPr>
                <w:rFonts w:hint="eastAsia" w:ascii="宋体" w:hAnsi="宋体" w:cs="Arial"/>
                <w:color w:val="auto"/>
                <w:szCs w:val="21"/>
              </w:rPr>
              <w:t>产品和服务提供的控制</w:t>
            </w:r>
          </w:p>
          <w:p>
            <w:pPr>
              <w:rPr>
                <w:rFonts w:hint="eastAsia" w:ascii="宋体" w:hAnsi="宋体" w:eastAsia="宋体" w:cs="Arial"/>
                <w:color w:val="auto"/>
                <w:kern w:val="2"/>
                <w:sz w:val="21"/>
                <w:szCs w:val="21"/>
                <w:lang w:val="en-US" w:eastAsia="zh-CN" w:bidi="ar-SA"/>
              </w:rPr>
            </w:pPr>
            <w:r>
              <w:rPr>
                <w:rFonts w:hint="eastAsia" w:ascii="宋体" w:hAnsi="宋体" w:cs="Arial"/>
                <w:color w:val="auto"/>
                <w:szCs w:val="21"/>
              </w:rPr>
              <w:t>标识和追溯管理</w:t>
            </w:r>
          </w:p>
        </w:tc>
        <w:tc>
          <w:tcPr>
            <w:tcW w:w="960" w:type="dxa"/>
            <w:vAlign w:val="top"/>
          </w:tcPr>
          <w:p>
            <w:pPr>
              <w:rPr>
                <w:rFonts w:ascii="宋体" w:hAnsi="宋体" w:cs="Arial"/>
                <w:color w:val="auto"/>
                <w:szCs w:val="21"/>
              </w:rPr>
            </w:pPr>
            <w:r>
              <w:rPr>
                <w:rFonts w:hint="eastAsia" w:ascii="宋体" w:hAnsi="宋体" w:cs="Arial"/>
                <w:color w:val="auto"/>
                <w:szCs w:val="21"/>
              </w:rPr>
              <w:t>Q:8.5.1</w:t>
            </w:r>
          </w:p>
          <w:p>
            <w:pPr>
              <w:rPr>
                <w:rFonts w:ascii="宋体" w:hAnsi="宋体" w:cs="Arial"/>
                <w:color w:val="auto"/>
                <w:szCs w:val="21"/>
              </w:rPr>
            </w:pPr>
          </w:p>
          <w:p>
            <w:pPr>
              <w:rPr>
                <w:rFonts w:hint="eastAsia" w:ascii="宋体" w:hAnsi="宋体" w:eastAsia="宋体" w:cs="Arial"/>
                <w:color w:val="auto"/>
                <w:kern w:val="2"/>
                <w:sz w:val="21"/>
                <w:szCs w:val="21"/>
                <w:lang w:val="en-US" w:eastAsia="zh-CN" w:bidi="ar-SA"/>
              </w:rPr>
            </w:pPr>
            <w:r>
              <w:rPr>
                <w:rFonts w:hint="eastAsia" w:ascii="宋体" w:hAnsi="宋体" w:cs="Arial"/>
                <w:color w:val="auto"/>
                <w:szCs w:val="21"/>
              </w:rPr>
              <w:t>Q</w:t>
            </w:r>
            <w:r>
              <w:rPr>
                <w:rFonts w:ascii="宋体" w:hAnsi="宋体" w:cs="Arial"/>
                <w:color w:val="auto"/>
                <w:szCs w:val="21"/>
              </w:rPr>
              <w:t>8.5.2</w:t>
            </w:r>
          </w:p>
        </w:tc>
        <w:tc>
          <w:tcPr>
            <w:tcW w:w="10004" w:type="dxa"/>
            <w:vAlign w:val="center"/>
          </w:tcPr>
          <w:p>
            <w:pPr>
              <w:spacing w:line="360" w:lineRule="auto"/>
              <w:ind w:firstLine="420" w:firstLineChars="200"/>
              <w:rPr>
                <w:rFonts w:hint="eastAsia" w:ascii="Times New Roman" w:hAnsi="Times New Roman" w:eastAsia="宋体" w:cs="Times New Roman"/>
                <w:b w:val="0"/>
                <w:bCs w:val="0"/>
                <w:color w:val="auto"/>
                <w:szCs w:val="22"/>
              </w:rPr>
            </w:pPr>
            <w:r>
              <w:rPr>
                <w:rFonts w:hint="eastAsia" w:ascii="Times New Roman" w:hAnsi="Times New Roman" w:eastAsia="宋体" w:cs="Times New Roman"/>
                <w:b w:val="0"/>
                <w:bCs w:val="0"/>
                <w:color w:val="auto"/>
                <w:szCs w:val="22"/>
              </w:rPr>
              <w:t>公司产品主要为</w:t>
            </w:r>
            <w:r>
              <w:rPr>
                <w:rFonts w:hint="eastAsia" w:cs="Times New Roman"/>
                <w:b w:val="0"/>
                <w:bCs w:val="0"/>
                <w:color w:val="auto"/>
                <w:szCs w:val="22"/>
                <w:lang w:val="en-US" w:eastAsia="zh-CN"/>
              </w:rPr>
              <w:t>出版物专项排版、制版、装订；出版物、包装装潢印刷品、其他印刷品数字印刷</w:t>
            </w:r>
            <w:r>
              <w:rPr>
                <w:rFonts w:hint="eastAsia" w:ascii="Times New Roman" w:hAnsi="Times New Roman" w:eastAsia="宋体" w:cs="Times New Roman"/>
                <w:b w:val="0"/>
                <w:bCs w:val="0"/>
                <w:color w:val="auto"/>
                <w:szCs w:val="22"/>
              </w:rPr>
              <w:t>。</w:t>
            </w:r>
          </w:p>
          <w:p>
            <w:pPr>
              <w:spacing w:line="360" w:lineRule="auto"/>
              <w:ind w:firstLine="420" w:firstLineChars="200"/>
              <w:rPr>
                <w:rFonts w:hint="eastAsia" w:ascii="Times New Roman" w:hAnsi="Times New Roman" w:eastAsia="宋体" w:cs="Times New Roman"/>
                <w:b w:val="0"/>
                <w:bCs w:val="0"/>
                <w:color w:val="auto"/>
                <w:szCs w:val="22"/>
              </w:rPr>
            </w:pPr>
            <w:r>
              <w:rPr>
                <w:rFonts w:hint="eastAsia" w:ascii="Times New Roman" w:hAnsi="Times New Roman" w:eastAsia="宋体" w:cs="Times New Roman"/>
                <w:b w:val="0"/>
                <w:bCs w:val="0"/>
                <w:color w:val="auto"/>
                <w:szCs w:val="22"/>
              </w:rPr>
              <w:t>基本</w:t>
            </w:r>
            <w:r>
              <w:rPr>
                <w:rFonts w:hint="eastAsia" w:cs="Times New Roman"/>
                <w:b w:val="0"/>
                <w:bCs w:val="0"/>
                <w:color w:val="auto"/>
                <w:szCs w:val="22"/>
                <w:lang w:val="en-US" w:eastAsia="zh-CN"/>
              </w:rPr>
              <w:t>生产印刷</w:t>
            </w:r>
            <w:r>
              <w:rPr>
                <w:rFonts w:hint="eastAsia" w:ascii="Times New Roman" w:hAnsi="Times New Roman" w:eastAsia="宋体" w:cs="Times New Roman"/>
                <w:b w:val="0"/>
                <w:bCs w:val="0"/>
                <w:color w:val="auto"/>
                <w:szCs w:val="22"/>
              </w:rPr>
              <w:t>流程：</w:t>
            </w:r>
          </w:p>
          <w:p>
            <w:pPr>
              <w:spacing w:line="360" w:lineRule="auto"/>
              <w:ind w:left="420" w:leftChars="200"/>
              <w:rPr>
                <w:rFonts w:ascii="宋体" w:hAnsi="宋体" w:cs="宋体"/>
                <w:b w:val="0"/>
                <w:bCs w:val="0"/>
                <w:color w:val="auto"/>
                <w:sz w:val="21"/>
                <w:szCs w:val="21"/>
              </w:rPr>
            </w:pPr>
            <w:r>
              <w:rPr>
                <w:rFonts w:hint="eastAsia" w:ascii="Times New Roman" w:hAnsi="Times New Roman" w:eastAsia="宋体" w:cs="Times New Roman"/>
                <w:b w:val="0"/>
                <w:bCs w:val="0"/>
                <w:color w:val="auto"/>
                <w:szCs w:val="22"/>
              </w:rPr>
              <w:t>与顾客接洽-根据客户需求定制产品-排版-制作样稿-客户确认-签订合同-根据合同生成数码工序交接单-制版（印刷制版外包）-数字印刷（烫金、模切外包）-装订-质检-出厂</w:t>
            </w:r>
          </w:p>
          <w:p>
            <w:pPr>
              <w:keepNext w:val="0"/>
              <w:keepLines w:val="0"/>
              <w:numPr>
                <w:ilvl w:val="0"/>
                <w:numId w:val="0"/>
              </w:numPr>
              <w:suppressLineNumbers w:val="0"/>
              <w:spacing w:before="0" w:beforeAutospacing="0" w:after="0" w:afterAutospacing="0" w:line="360" w:lineRule="auto"/>
              <w:ind w:leftChars="200" w:right="0" w:rightChars="0"/>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eastAsia="zh-CN"/>
              </w:rPr>
              <w:t>生产部</w:t>
            </w:r>
            <w:r>
              <w:rPr>
                <w:rFonts w:hint="eastAsia" w:ascii="宋体" w:hAnsi="宋体" w:cs="宋体"/>
                <w:b w:val="0"/>
                <w:bCs w:val="0"/>
                <w:color w:val="auto"/>
                <w:sz w:val="21"/>
                <w:szCs w:val="21"/>
              </w:rPr>
              <w:t>按照策划的流程</w:t>
            </w:r>
            <w:r>
              <w:rPr>
                <w:rFonts w:hint="eastAsia" w:ascii="宋体" w:hAnsi="宋体" w:cs="宋体"/>
                <w:b w:val="0"/>
                <w:bCs w:val="0"/>
                <w:color w:val="auto"/>
                <w:sz w:val="21"/>
                <w:szCs w:val="21"/>
                <w:lang w:val="en-US" w:eastAsia="zh-CN"/>
              </w:rPr>
              <w:t>进行印刷</w:t>
            </w:r>
            <w:r>
              <w:rPr>
                <w:rFonts w:hint="eastAsia" w:ascii="宋体" w:hAnsi="宋体" w:cs="宋体"/>
                <w:b w:val="0"/>
                <w:bCs w:val="0"/>
                <w:color w:val="auto"/>
                <w:sz w:val="21"/>
                <w:szCs w:val="21"/>
              </w:rPr>
              <w:t>。有相关手册、程序文件以及</w:t>
            </w:r>
            <w:r>
              <w:rPr>
                <w:rFonts w:hint="eastAsia" w:ascii="宋体" w:hAnsi="宋体" w:eastAsia="宋体" w:cs="宋体"/>
                <w:b w:val="0"/>
                <w:bCs w:val="0"/>
                <w:color w:val="auto"/>
                <w:sz w:val="21"/>
                <w:szCs w:val="21"/>
              </w:rPr>
              <w:t>作业文件等，如</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甘肃东麟文化产业有限公司质量标准</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包含</w:t>
            </w:r>
            <w:r>
              <w:rPr>
                <w:rFonts w:hint="eastAsia" w:ascii="宋体" w:hAnsi="宋体" w:eastAsia="宋体" w:cs="宋体"/>
                <w:b w:val="0"/>
                <w:bCs w:val="0"/>
                <w:color w:val="auto"/>
                <w:sz w:val="21"/>
                <w:szCs w:val="21"/>
              </w:rPr>
              <w:t>数码打印产品及后序加工工序的质量要求、检验规则、包装、运输和贮存</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仓库管理制度</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等。</w:t>
            </w:r>
          </w:p>
          <w:p>
            <w:pPr>
              <w:pStyle w:val="2"/>
              <w:numPr>
                <w:ilvl w:val="0"/>
                <w:numId w:val="0"/>
              </w:numPr>
              <w:rPr>
                <w:rFonts w:hint="default" w:eastAsia="宋体"/>
                <w:b w:val="0"/>
                <w:bCs w:val="0"/>
                <w:color w:val="auto"/>
                <w:lang w:val="en-US" w:eastAsia="zh-CN"/>
              </w:rPr>
            </w:pPr>
            <w:r>
              <w:rPr>
                <w:rFonts w:hint="eastAsia"/>
                <w:b w:val="0"/>
                <w:bCs w:val="0"/>
                <w:color w:val="auto"/>
                <w:lang w:val="en-US" w:eastAsia="zh-CN"/>
              </w:rPr>
              <w:t>抽查生产过程记录如下：</w:t>
            </w:r>
            <w:r>
              <w:rPr>
                <w:rFonts w:hint="eastAsia" w:ascii="宋体" w:hAnsi="宋体" w:cs="宋体"/>
                <w:b w:val="0"/>
                <w:bCs w:val="0"/>
                <w:color w:val="auto"/>
                <w:sz w:val="21"/>
                <w:szCs w:val="21"/>
                <w:lang w:val="en-US" w:eastAsia="zh-CN"/>
              </w:rPr>
              <w:t>生产部经理徐珲在ERP系统下单：</w:t>
            </w:r>
          </w:p>
          <w:p>
            <w:pPr>
              <w:pStyle w:val="5"/>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现场查看各个工序生产过程：</w:t>
            </w:r>
          </w:p>
          <w:p>
            <w:pPr>
              <w:pStyle w:val="5"/>
              <w:keepNext w:val="0"/>
              <w:keepLines w:val="0"/>
              <w:numPr>
                <w:ilvl w:val="0"/>
                <w:numId w:val="1"/>
              </w:numPr>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排版、样品检验：排版人员牛学清根据客户要求以及相关标准进行自检，后交质检人员质检，主要检查内容（版式样、客户要求、文稿、图稿、版面等）合格后，打单个样品进行样品全项目检验（外观、封面、表面处理、装订、内页印刷质量的文字、图案套印、墨色等）合格后样品交客户确认或进行改校，客户提出改红后，排版人员改红后，对改红页面须单独检查，质检人员重新按照样品检验流程检验确认，改红较多页面对全书重新检验，最终样本客户确认签字合格后进入下一工序。质量要求如下：</w:t>
            </w:r>
          </w:p>
          <w:p>
            <w:pPr>
              <w:pStyle w:val="5"/>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2、印刷工序：生产部接到数码工序交接单，按照数量、尺寸领取打印纸，然后在公共盘中点击打开需打印的文件，按照订单上数码印刷工艺要求进行上机打印。打印人员在电脑上设置打印的参数：单双页、四色要求、打印数量、纸盘选择等。</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打印人员：刘文明对打印品质量进行抽检，包括数量、清晰度、套印等印刷质量标准，确认无误后放行至下一工序。</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color w:val="auto"/>
              </w:rPr>
              <w:drawing>
                <wp:inline distT="0" distB="0" distL="114300" distR="114300">
                  <wp:extent cx="4909185" cy="1507490"/>
                  <wp:effectExtent l="0" t="0" r="5715" b="381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2"/>
                          <a:stretch>
                            <a:fillRect/>
                          </a:stretch>
                        </pic:blipFill>
                        <pic:spPr>
                          <a:xfrm>
                            <a:off x="0" y="0"/>
                            <a:ext cx="4909185" cy="1507490"/>
                          </a:xfrm>
                          <a:prstGeom prst="rect">
                            <a:avLst/>
                          </a:prstGeom>
                          <a:noFill/>
                          <a:ln>
                            <a:noFill/>
                          </a:ln>
                        </pic:spPr>
                      </pic:pic>
                    </a:graphicData>
                  </a:graphic>
                </wp:inline>
              </w:drawing>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color w:val="auto"/>
              </w:rPr>
              <w:drawing>
                <wp:inline distT="0" distB="0" distL="114300" distR="114300">
                  <wp:extent cx="4926965" cy="2482850"/>
                  <wp:effectExtent l="0" t="0" r="635" b="635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3"/>
                          <a:stretch>
                            <a:fillRect/>
                          </a:stretch>
                        </pic:blipFill>
                        <pic:spPr>
                          <a:xfrm>
                            <a:off x="0" y="0"/>
                            <a:ext cx="4926965" cy="2482850"/>
                          </a:xfrm>
                          <a:prstGeom prst="rect">
                            <a:avLst/>
                          </a:prstGeom>
                          <a:noFill/>
                          <a:ln>
                            <a:noFill/>
                          </a:ln>
                        </pic:spPr>
                      </pic:pic>
                    </a:graphicData>
                  </a:graphic>
                </wp:inline>
              </w:drawing>
            </w:r>
          </w:p>
          <w:p>
            <w:pPr>
              <w:pStyle w:val="5"/>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3、覆膜：覆膜人员按照数码工序交接单中的覆膜要求，领取膜，使用覆膜机进行覆膜操作，完成后由覆膜人员郭婉涛对外观进行检验，合格后放行至下一工序。</w:t>
            </w:r>
          </w:p>
          <w:p>
            <w:pPr>
              <w:pStyle w:val="5"/>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4、裁切、装订、打包工序：装订人员接到照数码工序交接单，按照订单中尺寸的要求，对印刷半成品进行裁切；按照装订的要求：骑订、胶包、锁线等进行装订。检查人员对最终成品进行抽检。见8.6条款。</w:t>
            </w:r>
          </w:p>
          <w:p>
            <w:pPr>
              <w:pStyle w:val="5"/>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 w:val="0"/>
                <w:bCs w:val="0"/>
                <w:color w:val="auto"/>
                <w:sz w:val="21"/>
                <w:szCs w:val="21"/>
                <w:lang w:val="en-US" w:eastAsia="zh-CN"/>
              </w:rPr>
            </w:pPr>
            <w:r>
              <w:rPr>
                <w:color w:val="auto"/>
              </w:rPr>
              <w:drawing>
                <wp:inline distT="0" distB="0" distL="114300" distR="114300">
                  <wp:extent cx="5721350" cy="723900"/>
                  <wp:effectExtent l="0" t="0" r="6350" b="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4"/>
                          <a:stretch>
                            <a:fillRect/>
                          </a:stretch>
                        </pic:blipFill>
                        <pic:spPr>
                          <a:xfrm>
                            <a:off x="0" y="0"/>
                            <a:ext cx="5721350" cy="723900"/>
                          </a:xfrm>
                          <a:prstGeom prst="rect">
                            <a:avLst/>
                          </a:prstGeom>
                          <a:noFill/>
                          <a:ln>
                            <a:noFill/>
                          </a:ln>
                        </pic:spPr>
                      </pic:pic>
                    </a:graphicData>
                  </a:graphic>
                </wp:inline>
              </w:drawing>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抽查《甘肃东麟文化产业有限公司 数码工序交接单》：单号：NX0178。</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下单时间：2022年9月14日，客户名称：公航旅，交货时间：2022年9月14日</w:t>
            </w:r>
          </w:p>
          <w:p>
            <w:pPr>
              <w:pStyle w:val="5"/>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工艺概述：单面彩，哑膜</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印件名称：电话簿封面、内页；</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成品尺寸：75*110     数量：25本    内页：22p</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封面：250g铜   单面彩，哑膜       内页：70g双面黑白</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打印人员签字：刘文明</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抽检员：刘文明</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装订人员：郭婉涛</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成品检验：郭婉涛</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再抽《甘肃东麟文化产业有限公司 数码工序交接单》：单号：XHQ0219。</w:t>
            </w:r>
          </w:p>
          <w:p>
            <w:pPr>
              <w:pStyle w:val="5"/>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下单时间：2022年11月16日，客户名称：瑞驰电动车，交货时间：2022年11月16日</w:t>
            </w:r>
          </w:p>
          <w:p>
            <w:pPr>
              <w:pStyle w:val="5"/>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工艺概述：单面彩，哑膜</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印件名称：封面、内页；</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 xml:space="preserve">成品尺寸：210*297     数量：1本    </w:t>
            </w:r>
          </w:p>
          <w:p>
            <w:pPr>
              <w:pStyle w:val="5"/>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封面：210g铜   横板，单面彩，哑膜       内页：70g双脚板</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打印人员签字：刘文明</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抽检员：刘文明</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装订人员：郭婉涛</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0000FF"/>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成品检验：郭婉涛</w:t>
            </w:r>
          </w:p>
          <w:p>
            <w:pPr>
              <w:pStyle w:val="5"/>
              <w:keepNext w:val="0"/>
              <w:keepLines w:val="0"/>
              <w:suppressLineNumbers w:val="0"/>
              <w:spacing w:before="0" w:beforeAutospacing="0" w:after="0" w:afterAutospacing="0" w:line="360" w:lineRule="auto"/>
              <w:ind w:left="0" w:right="0"/>
              <w:jc w:val="center"/>
            </w:pPr>
          </w:p>
          <w:p>
            <w:pPr>
              <w:pStyle w:val="5"/>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查看了生产过程记录：印刷、切纸、覆膜、装订、打包等工序，能够满足印刷过程要求。</w:t>
            </w:r>
          </w:p>
          <w:p>
            <w:pPr>
              <w:pStyle w:val="5"/>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stheme="minorEastAsia"/>
                <w:b w:val="0"/>
                <w:bCs w:val="0"/>
                <w:color w:val="auto"/>
                <w:sz w:val="21"/>
                <w:szCs w:val="21"/>
                <w:lang w:val="en-US" w:eastAsia="zh-CN"/>
              </w:rPr>
            </w:pPr>
          </w:p>
          <w:p>
            <w:pPr>
              <w:pStyle w:val="2"/>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抽查工序：制版；</w:t>
            </w:r>
            <w:r>
              <w:rPr>
                <w:rFonts w:hint="eastAsia" w:ascii="宋体" w:hAnsi="宋体" w:cs="宋体"/>
                <w:color w:val="auto"/>
                <w:szCs w:val="21"/>
                <w:lang w:val="en-US" w:eastAsia="zh-CN"/>
              </w:rPr>
              <w:t>制版流程：排版-电子制版-CTP制版/烫金制版/模切版（外包）</w:t>
            </w:r>
          </w:p>
          <w:p>
            <w:pPr>
              <w:pStyle w:val="5"/>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制版人员接到《外协制作交接单》，依据顾客的要求进行电子制版，完成后交给外协单位：甘肃澳翔印业有限公司进行制版，包括CTP制版、模切版、烫金版等；制版验收完成交接给客户。</w:t>
            </w:r>
          </w:p>
          <w:p>
            <w:pPr>
              <w:pStyle w:val="5"/>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查单号：2023年1月13日，XH2321《外协制作交接单》，印件名称：招商银行异型卡 四开连拼带刀版，委托单位：甘肃澳翔印业有限公司进行制版，成品尺寸：86*156mm。交货日期：2023年1月14日下午。</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工艺要求：四开连12套拼制作刀版、印刷拼版电子文件。附图如下：</w:t>
            </w:r>
          </w:p>
          <w:p>
            <w:pPr>
              <w:pStyle w:val="5"/>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电子版制作人员：刘文明</w:t>
            </w:r>
          </w:p>
          <w:p>
            <w:pPr>
              <w:pStyle w:val="5"/>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成品检验人员：徐珲</w:t>
            </w:r>
          </w:p>
          <w:p>
            <w:pPr>
              <w:pStyle w:val="5"/>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接单人：牟翠蓉</w:t>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0000FF"/>
                <w:sz w:val="21"/>
                <w:szCs w:val="21"/>
                <w:lang w:val="en-US" w:eastAsia="zh-CN"/>
              </w:rPr>
            </w:pPr>
            <w:r>
              <w:rPr>
                <w:rFonts w:hint="eastAsia" w:asciiTheme="minorEastAsia" w:hAnsiTheme="minorEastAsia" w:eastAsiaTheme="minorEastAsia" w:cstheme="minorEastAsia"/>
                <w:b w:val="0"/>
                <w:bCs w:val="0"/>
                <w:color w:val="0000FF"/>
                <w:sz w:val="21"/>
                <w:szCs w:val="21"/>
                <w:lang w:val="en-US" w:eastAsia="zh-CN"/>
              </w:rPr>
              <w:drawing>
                <wp:inline distT="0" distB="0" distL="114300" distR="114300">
                  <wp:extent cx="2152015" cy="3188970"/>
                  <wp:effectExtent l="0" t="0" r="11430" b="6985"/>
                  <wp:docPr id="15" name="图片 15" descr="2937edcc821b0cd837f4e5f6ba5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937edcc821b0cd837f4e5f6ba50402"/>
                          <pic:cNvPicPr>
                            <a:picLocks noChangeAspect="1"/>
                          </pic:cNvPicPr>
                        </pic:nvPicPr>
                        <pic:blipFill>
                          <a:blip r:embed="rId15"/>
                          <a:stretch>
                            <a:fillRect/>
                          </a:stretch>
                        </pic:blipFill>
                        <pic:spPr>
                          <a:xfrm rot="16200000">
                            <a:off x="0" y="0"/>
                            <a:ext cx="2152015" cy="3188970"/>
                          </a:xfrm>
                          <a:prstGeom prst="rect">
                            <a:avLst/>
                          </a:prstGeom>
                        </pic:spPr>
                      </pic:pic>
                    </a:graphicData>
                  </a:graphic>
                </wp:inline>
              </w:drawing>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0000FF"/>
                <w:sz w:val="21"/>
                <w:szCs w:val="21"/>
                <w:lang w:val="en-US" w:eastAsia="zh-CN"/>
              </w:rPr>
            </w:pPr>
            <w:r>
              <w:rPr>
                <w:rFonts w:hint="eastAsia" w:asciiTheme="minorEastAsia" w:hAnsiTheme="minorEastAsia" w:eastAsiaTheme="minorEastAsia" w:cstheme="minorEastAsia"/>
                <w:b w:val="0"/>
                <w:bCs w:val="0"/>
                <w:color w:val="0000FF"/>
                <w:sz w:val="21"/>
                <w:szCs w:val="21"/>
                <w:lang w:val="en-US" w:eastAsia="zh-CN"/>
              </w:rPr>
              <w:drawing>
                <wp:inline distT="0" distB="0" distL="114300" distR="114300">
                  <wp:extent cx="2461260" cy="3646170"/>
                  <wp:effectExtent l="0" t="0" r="11430" b="2540"/>
                  <wp:docPr id="16" name="图片 16" descr="d170b5faafe9b557560f17601324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170b5faafe9b557560f17601324f6a"/>
                          <pic:cNvPicPr>
                            <a:picLocks noChangeAspect="1"/>
                          </pic:cNvPicPr>
                        </pic:nvPicPr>
                        <pic:blipFill>
                          <a:blip r:embed="rId16"/>
                          <a:stretch>
                            <a:fillRect/>
                          </a:stretch>
                        </pic:blipFill>
                        <pic:spPr>
                          <a:xfrm rot="16200000">
                            <a:off x="0" y="0"/>
                            <a:ext cx="2461260" cy="3646170"/>
                          </a:xfrm>
                          <a:prstGeom prst="rect">
                            <a:avLst/>
                          </a:prstGeom>
                        </pic:spPr>
                      </pic:pic>
                    </a:graphicData>
                  </a:graphic>
                </wp:inline>
              </w:drawing>
            </w: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0000FF"/>
                <w:sz w:val="21"/>
                <w:szCs w:val="21"/>
                <w:lang w:val="en-US" w:eastAsia="zh-CN"/>
              </w:rPr>
            </w:pPr>
          </w:p>
          <w:p>
            <w:pPr>
              <w:pStyle w:val="5"/>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生产现场查看：黑白数码多功能机操作员刘文明，正在打印省电信刘菁莺的《流金岁月》，印刷封面：单面彩打290g超白细砂，内页140g高阶映画，双面彩打。装订人员郭婉涛正在装订兰州交通大学 沈谕的《2021年年报》，装订要求为：胶包。设备操作熟练，满足要求。</w:t>
            </w:r>
          </w:p>
          <w:p>
            <w:pPr>
              <w:pStyle w:val="5"/>
              <w:keepNext w:val="0"/>
              <w:keepLines w:val="0"/>
              <w:suppressLineNumbers w:val="0"/>
              <w:spacing w:before="0" w:beforeAutospacing="0" w:after="0" w:afterAutospacing="0" w:line="360" w:lineRule="auto"/>
              <w:ind w:left="0" w:right="0"/>
              <w:rPr>
                <w:rFonts w:hint="eastAsia" w:ascii="Times New Roman" w:hAnsi="Times New Roman" w:eastAsia="宋体" w:cs="Times New Roman"/>
                <w:b w:val="0"/>
                <w:bCs w:val="0"/>
                <w:color w:val="0000FF"/>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机长刘文明、装订人员郭婉涛对设备操作熟练、现场物料摆放整齐，符合印刷生产要求。</w:t>
            </w:r>
          </w:p>
        </w:tc>
        <w:tc>
          <w:tcPr>
            <w:tcW w:w="1585" w:type="dxa"/>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tcPr>
          <w:p>
            <w:pPr>
              <w:spacing w:line="360" w:lineRule="auto"/>
              <w:rPr>
                <w:rFonts w:ascii="宋体" w:hAnsi="宋体" w:cs="Arial"/>
                <w:szCs w:val="21"/>
              </w:rPr>
            </w:pPr>
            <w:r>
              <w:rPr>
                <w:rFonts w:hint="eastAsia" w:ascii="宋体" w:hAnsi="宋体" w:cs="Arial"/>
                <w:szCs w:val="21"/>
              </w:rPr>
              <w:t>产品防护</w:t>
            </w:r>
          </w:p>
        </w:tc>
        <w:tc>
          <w:tcPr>
            <w:tcW w:w="960" w:type="dxa"/>
          </w:tcPr>
          <w:p>
            <w:pPr>
              <w:spacing w:line="360" w:lineRule="auto"/>
              <w:rPr>
                <w:rFonts w:ascii="宋体" w:hAnsi="宋体" w:cs="Arial"/>
                <w:szCs w:val="21"/>
              </w:rPr>
            </w:pPr>
            <w:r>
              <w:rPr>
                <w:rFonts w:hint="eastAsia" w:ascii="宋体" w:hAnsi="宋体" w:cs="Arial"/>
                <w:szCs w:val="21"/>
              </w:rPr>
              <w:t>Q</w:t>
            </w:r>
            <w:r>
              <w:rPr>
                <w:rFonts w:ascii="宋体" w:hAnsi="宋体" w:cs="Arial"/>
                <w:szCs w:val="21"/>
              </w:rPr>
              <w:t>8.5.4</w:t>
            </w:r>
          </w:p>
          <w:p>
            <w:pPr>
              <w:spacing w:line="360" w:lineRule="auto"/>
              <w:rPr>
                <w:rFonts w:ascii="宋体" w:hAnsi="宋体" w:cs="Arial"/>
                <w:szCs w:val="21"/>
              </w:rPr>
            </w:pPr>
          </w:p>
        </w:tc>
        <w:tc>
          <w:tcPr>
            <w:tcW w:w="10004" w:type="dxa"/>
            <w:vAlign w:val="center"/>
          </w:tcPr>
          <w:p>
            <w:pPr>
              <w:spacing w:line="360" w:lineRule="auto"/>
              <w:ind w:firstLine="420" w:firstLineChars="200"/>
              <w:rPr>
                <w:rFonts w:hint="default" w:ascii="宋体" w:hAnsi="宋体" w:eastAsia="宋体" w:cs="宋体"/>
                <w:szCs w:val="21"/>
              </w:rPr>
            </w:pPr>
            <w:r>
              <w:rPr>
                <w:rFonts w:hint="eastAsia" w:ascii="宋体" w:hAnsi="宋体" w:eastAsia="宋体" w:cs="宋体"/>
                <w:szCs w:val="21"/>
              </w:rPr>
              <w:t>公司对</w:t>
            </w:r>
            <w:r>
              <w:rPr>
                <w:rFonts w:hint="eastAsia" w:ascii="宋体" w:hAnsi="宋体" w:cs="宋体"/>
                <w:szCs w:val="21"/>
                <w:lang w:val="en-US" w:eastAsia="zh-CN"/>
              </w:rPr>
              <w:t>出版物专项排版、制版、装订；出版物、包装装潢印刷品、其他印刷品数字印刷</w:t>
            </w:r>
            <w:r>
              <w:rPr>
                <w:rFonts w:hint="eastAsia" w:ascii="宋体" w:hAnsi="宋体" w:eastAsia="宋体" w:cs="宋体"/>
                <w:szCs w:val="21"/>
                <w:lang w:val="en-US" w:eastAsia="zh-CN"/>
              </w:rPr>
              <w:t>（资质范围内）</w:t>
            </w:r>
            <w:r>
              <w:rPr>
                <w:rFonts w:hint="eastAsia" w:ascii="宋体" w:hAnsi="宋体" w:eastAsia="宋体" w:cs="宋体"/>
                <w:szCs w:val="21"/>
              </w:rPr>
              <w:t>的防护实施控制：</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公司自体系运行以来，未发生由于防护不当导致</w:t>
            </w:r>
            <w:r>
              <w:rPr>
                <w:rFonts w:hint="eastAsia" w:ascii="宋体" w:hAnsi="宋体" w:cs="宋体"/>
                <w:szCs w:val="21"/>
                <w:lang w:val="en-US" w:eastAsia="zh-CN"/>
              </w:rPr>
              <w:t>出版物专项排版、制版、装订；出版物、包装装潢印刷品、其他印刷品数字印刷</w:t>
            </w:r>
            <w:r>
              <w:rPr>
                <w:rFonts w:hint="eastAsia" w:ascii="宋体" w:hAnsi="宋体" w:eastAsia="宋体" w:cs="宋体"/>
                <w:szCs w:val="21"/>
                <w:lang w:val="en-US" w:eastAsia="zh-CN"/>
              </w:rPr>
              <w:t>（资质范围内）</w:t>
            </w:r>
            <w:r>
              <w:rPr>
                <w:rFonts w:hint="eastAsia" w:ascii="宋体" w:hAnsi="宋体" w:eastAsia="宋体" w:cs="宋体"/>
                <w:szCs w:val="21"/>
              </w:rPr>
              <w:t>质量事故的情况，防护措施能够满足要求。</w:t>
            </w:r>
          </w:p>
          <w:p>
            <w:pPr>
              <w:spacing w:line="360" w:lineRule="auto"/>
              <w:ind w:firstLine="420" w:firstLineChars="200"/>
              <w:rPr>
                <w:rFonts w:hint="default" w:ascii="宋体" w:hAnsi="宋体" w:eastAsia="宋体" w:cs="宋体"/>
                <w:szCs w:val="21"/>
              </w:rPr>
            </w:pPr>
            <w:r>
              <w:rPr>
                <w:rFonts w:hint="eastAsia" w:ascii="宋体" w:hAnsi="宋体" w:eastAsia="宋体" w:cs="宋体"/>
                <w:szCs w:val="21"/>
              </w:rPr>
              <w:t>防护的管理符合标准要求。</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现场产品防护能够按照策划的要求实施，满足策划的要求。</w:t>
            </w:r>
          </w:p>
          <w:p>
            <w:pPr>
              <w:spacing w:line="360" w:lineRule="auto"/>
              <w:ind w:firstLine="420" w:firstLineChars="200"/>
              <w:rPr>
                <w:rFonts w:hint="eastAsia" w:ascii="宋体" w:hAnsi="宋体" w:eastAsia="宋体" w:cs="宋体"/>
                <w:szCs w:val="21"/>
              </w:rPr>
            </w:pPr>
            <w:r>
              <w:rPr>
                <w:rFonts w:hint="eastAsia" w:ascii="宋体" w:hAnsi="宋体" w:cs="宋体"/>
                <w:szCs w:val="21"/>
                <w:lang w:val="en-US" w:eastAsia="zh-CN"/>
              </w:rPr>
              <w:t>现场查看原材料的防护采用防水防尘的包装袋进行防护；半成品放置在托盘上，由工人使用手动小推车进行搬运，能够做到产品不落地；成品的防护使用外包装进行双层防护，能够做到防水防尘。</w:t>
            </w:r>
          </w:p>
          <w:p>
            <w:pPr>
              <w:spacing w:line="360" w:lineRule="auto"/>
              <w:ind w:firstLine="420" w:firstLineChars="200"/>
              <w:rPr>
                <w:rFonts w:ascii="宋体" w:hAnsi="宋体" w:cs="宋体"/>
                <w:szCs w:val="21"/>
              </w:rPr>
            </w:pPr>
            <w:r>
              <w:rPr>
                <w:rFonts w:hint="eastAsia" w:ascii="宋体" w:hAnsi="宋体" w:cs="宋体"/>
                <w:szCs w:val="21"/>
                <w:lang w:val="en-US" w:eastAsia="zh-CN"/>
              </w:rPr>
              <w:t>生产部</w:t>
            </w:r>
            <w:r>
              <w:rPr>
                <w:rFonts w:hint="eastAsia" w:ascii="宋体" w:hAnsi="宋体" w:cs="宋体"/>
                <w:szCs w:val="21"/>
              </w:rPr>
              <w:t>表示，对</w:t>
            </w:r>
            <w:r>
              <w:rPr>
                <w:rFonts w:hint="eastAsia" w:ascii="宋体" w:hAnsi="宋体" w:cs="宋体"/>
                <w:szCs w:val="21"/>
                <w:lang w:val="en-US" w:eastAsia="zh-CN"/>
              </w:rPr>
              <w:t>生产</w:t>
            </w:r>
            <w:r>
              <w:rPr>
                <w:rFonts w:hint="eastAsia" w:ascii="宋体" w:hAnsi="宋体" w:cs="宋体"/>
                <w:szCs w:val="21"/>
              </w:rPr>
              <w:t>人员等会通过教育培训，提供安全防护（防护手套）等方式进行防护。</w:t>
            </w:r>
          </w:p>
          <w:p>
            <w:pPr>
              <w:spacing w:line="360" w:lineRule="auto"/>
              <w:ind w:firstLine="420" w:firstLineChars="200"/>
              <w:rPr>
                <w:rFonts w:ascii="宋体" w:hAnsi="宋体" w:cs="宋体"/>
                <w:szCs w:val="21"/>
              </w:rPr>
            </w:pPr>
            <w:r>
              <w:rPr>
                <w:rFonts w:hint="eastAsia" w:ascii="宋体" w:hAnsi="宋体" w:cs="宋体"/>
                <w:szCs w:val="21"/>
                <w:lang w:val="en-US" w:eastAsia="zh-CN"/>
              </w:rPr>
              <w:t>交付</w:t>
            </w:r>
            <w:r>
              <w:rPr>
                <w:rFonts w:hint="eastAsia" w:ascii="宋体" w:hAnsi="宋体" w:cs="宋体"/>
                <w:szCs w:val="21"/>
              </w:rPr>
              <w:t>完成后，</w:t>
            </w:r>
            <w:r>
              <w:rPr>
                <w:rFonts w:hint="eastAsia" w:ascii="宋体" w:hAnsi="宋体" w:cs="宋体"/>
                <w:szCs w:val="21"/>
                <w:lang w:eastAsia="zh-CN"/>
              </w:rPr>
              <w:t>生产部</w:t>
            </w:r>
            <w:r>
              <w:rPr>
                <w:rFonts w:hint="eastAsia" w:ascii="宋体" w:hAnsi="宋体" w:cs="宋体"/>
                <w:szCs w:val="21"/>
              </w:rPr>
              <w:t>主要做好客户信息的处置，按照信息沟通程序等做好沟通。</w:t>
            </w:r>
          </w:p>
        </w:tc>
        <w:tc>
          <w:tcPr>
            <w:tcW w:w="1585" w:type="dxa"/>
          </w:tcPr>
          <w:p>
            <w:pPr>
              <w:spacing w:line="360" w:lineRule="auto"/>
            </w:pPr>
            <w: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tcPr>
          <w:p>
            <w:pPr>
              <w:spacing w:line="360" w:lineRule="auto"/>
              <w:rPr>
                <w:rFonts w:ascii="宋体" w:hAnsi="宋体" w:cs="Arial"/>
                <w:szCs w:val="21"/>
              </w:rPr>
            </w:pPr>
            <w:r>
              <w:rPr>
                <w:rFonts w:hint="eastAsia" w:ascii="宋体" w:hAnsi="宋体" w:cs="Arial"/>
                <w:szCs w:val="21"/>
              </w:rPr>
              <w:t>变更管理</w:t>
            </w:r>
          </w:p>
        </w:tc>
        <w:tc>
          <w:tcPr>
            <w:tcW w:w="960" w:type="dxa"/>
          </w:tcPr>
          <w:p>
            <w:pPr>
              <w:spacing w:line="360" w:lineRule="auto"/>
              <w:rPr>
                <w:rFonts w:ascii="宋体" w:hAnsi="宋体" w:cs="Arial"/>
                <w:szCs w:val="21"/>
              </w:rPr>
            </w:pPr>
            <w:r>
              <w:rPr>
                <w:rFonts w:hint="eastAsia" w:ascii="宋体" w:hAnsi="宋体" w:cs="Arial"/>
                <w:szCs w:val="21"/>
              </w:rPr>
              <w:t>Q</w:t>
            </w:r>
            <w:r>
              <w:rPr>
                <w:rFonts w:ascii="宋体" w:hAnsi="宋体" w:cs="Arial"/>
                <w:szCs w:val="21"/>
              </w:rPr>
              <w:t>8.5.6</w:t>
            </w:r>
          </w:p>
        </w:tc>
        <w:tc>
          <w:tcPr>
            <w:tcW w:w="10004" w:type="dxa"/>
            <w:vAlign w:val="center"/>
          </w:tcPr>
          <w:p>
            <w:pPr>
              <w:spacing w:line="360" w:lineRule="auto"/>
              <w:ind w:firstLine="420" w:firstLineChars="200"/>
              <w:rPr>
                <w:rFonts w:ascii="宋体" w:hAnsi="宋体" w:cs="宋体"/>
                <w:szCs w:val="21"/>
              </w:rPr>
            </w:pPr>
            <w:r>
              <w:rPr>
                <w:rFonts w:hint="eastAsia" w:ascii="宋体" w:hAnsi="宋体" w:cs="宋体"/>
                <w:szCs w:val="21"/>
              </w:rPr>
              <w:t>组织在手册中明确变更管理的要求，询问</w:t>
            </w:r>
            <w:r>
              <w:rPr>
                <w:rFonts w:hint="eastAsia" w:ascii="宋体" w:hAnsi="宋体" w:cs="宋体"/>
                <w:szCs w:val="21"/>
                <w:lang w:eastAsia="zh-CN"/>
              </w:rPr>
              <w:t>生产部</w:t>
            </w:r>
            <w:r>
              <w:rPr>
                <w:rFonts w:hint="eastAsia" w:ascii="宋体" w:hAnsi="宋体" w:cs="宋体"/>
                <w:szCs w:val="21"/>
              </w:rPr>
              <w:t>表示目前服务基本能够按照合同或约定履行，对一些</w:t>
            </w:r>
            <w:r>
              <w:rPr>
                <w:rFonts w:hint="eastAsia" w:ascii="宋体" w:hAnsi="宋体" w:cs="宋体"/>
                <w:szCs w:val="21"/>
                <w:lang w:val="en-US" w:eastAsia="zh-CN"/>
              </w:rPr>
              <w:t>生产</w:t>
            </w:r>
            <w:r>
              <w:rPr>
                <w:rFonts w:hint="eastAsia" w:ascii="宋体" w:hAnsi="宋体" w:cs="宋体"/>
                <w:szCs w:val="21"/>
              </w:rPr>
              <w:t>过程中特定的要求，比如客户提出的</w:t>
            </w:r>
            <w:r>
              <w:rPr>
                <w:rFonts w:hint="eastAsia" w:ascii="宋体" w:hAnsi="宋体" w:cs="宋体"/>
                <w:szCs w:val="21"/>
                <w:lang w:val="en-US" w:eastAsia="zh-CN"/>
              </w:rPr>
              <w:t>修改印刷内容</w:t>
            </w:r>
            <w:r>
              <w:rPr>
                <w:rFonts w:hint="eastAsia" w:ascii="宋体" w:hAnsi="宋体" w:cs="宋体"/>
                <w:szCs w:val="21"/>
              </w:rPr>
              <w:t>要求等，一般直接现场进行处置，未发生重大的变更。</w:t>
            </w:r>
          </w:p>
        </w:tc>
        <w:tc>
          <w:tcPr>
            <w:tcW w:w="1585" w:type="dxa"/>
          </w:tcPr>
          <w:p>
            <w:pPr>
              <w:spacing w:line="360" w:lineRule="auto"/>
            </w:pPr>
            <w: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tcPr>
          <w:p>
            <w:pPr>
              <w:spacing w:line="360" w:lineRule="auto"/>
              <w:rPr>
                <w:rFonts w:ascii="宋体" w:hAnsi="宋体" w:cs="Arial"/>
                <w:szCs w:val="21"/>
              </w:rPr>
            </w:pPr>
            <w:r>
              <w:rPr>
                <w:rFonts w:hint="eastAsia" w:ascii="宋体" w:hAnsi="宋体" w:cs="Arial"/>
                <w:szCs w:val="21"/>
              </w:rPr>
              <w:t>放行</w:t>
            </w:r>
          </w:p>
          <w:p>
            <w:pPr>
              <w:spacing w:line="360" w:lineRule="auto"/>
              <w:rPr>
                <w:rFonts w:ascii="宋体" w:hAnsi="宋体" w:cs="Arial"/>
                <w:szCs w:val="21"/>
              </w:rPr>
            </w:pPr>
            <w:r>
              <w:rPr>
                <w:rFonts w:hint="eastAsia" w:ascii="宋体" w:hAnsi="宋体" w:cs="Arial"/>
                <w:szCs w:val="21"/>
              </w:rPr>
              <w:t>不合格输出管理</w:t>
            </w: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hint="eastAsia" w:ascii="宋体" w:hAnsi="宋体" w:cs="Arial"/>
                <w:szCs w:val="21"/>
              </w:rPr>
            </w:pPr>
          </w:p>
          <w:p>
            <w:pPr>
              <w:spacing w:line="360" w:lineRule="auto"/>
              <w:rPr>
                <w:rFonts w:ascii="宋体" w:hAnsi="宋体" w:cs="Arial"/>
                <w:szCs w:val="21"/>
              </w:rPr>
            </w:pPr>
          </w:p>
        </w:tc>
        <w:tc>
          <w:tcPr>
            <w:tcW w:w="960" w:type="dxa"/>
          </w:tcPr>
          <w:p>
            <w:pPr>
              <w:spacing w:line="360" w:lineRule="auto"/>
              <w:rPr>
                <w:rFonts w:ascii="宋体" w:hAnsi="宋体" w:cs="Arial"/>
                <w:szCs w:val="21"/>
              </w:rPr>
            </w:pPr>
            <w:r>
              <w:rPr>
                <w:rFonts w:hint="eastAsia" w:ascii="宋体" w:hAnsi="宋体" w:cs="Arial"/>
                <w:szCs w:val="21"/>
              </w:rPr>
              <w:t>Q</w:t>
            </w:r>
            <w:r>
              <w:rPr>
                <w:rFonts w:ascii="宋体" w:hAnsi="宋体" w:cs="Arial"/>
                <w:szCs w:val="21"/>
              </w:rPr>
              <w:t>8.6</w:t>
            </w:r>
          </w:p>
          <w:p>
            <w:pPr>
              <w:spacing w:line="360" w:lineRule="auto"/>
              <w:rPr>
                <w:rFonts w:ascii="宋体" w:hAnsi="宋体" w:cs="Arial"/>
                <w:szCs w:val="21"/>
              </w:rPr>
            </w:pPr>
            <w:r>
              <w:rPr>
                <w:rFonts w:hint="eastAsia" w:ascii="宋体" w:hAnsi="宋体" w:cs="Arial"/>
                <w:szCs w:val="21"/>
              </w:rPr>
              <w:t>Q</w:t>
            </w:r>
            <w:r>
              <w:rPr>
                <w:rFonts w:ascii="宋体" w:hAnsi="宋体" w:cs="Arial"/>
                <w:szCs w:val="21"/>
              </w:rPr>
              <w:t>8.7</w:t>
            </w: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hint="eastAsia" w:ascii="宋体" w:hAnsi="宋体" w:cs="Arial"/>
                <w:szCs w:val="21"/>
              </w:rPr>
            </w:pPr>
          </w:p>
          <w:p>
            <w:pPr>
              <w:spacing w:line="360" w:lineRule="auto"/>
              <w:rPr>
                <w:rFonts w:ascii="宋体" w:hAnsi="宋体" w:cs="Arial"/>
                <w:szCs w:val="21"/>
              </w:rPr>
            </w:pPr>
          </w:p>
        </w:tc>
        <w:tc>
          <w:tcPr>
            <w:tcW w:w="10004" w:type="dxa"/>
            <w:vAlign w:val="top"/>
          </w:tcPr>
          <w:p>
            <w:pPr>
              <w:spacing w:line="360" w:lineRule="auto"/>
              <w:rPr>
                <w:rFonts w:hint="default" w:cs="Times New Roman"/>
                <w:szCs w:val="21"/>
                <w:lang w:val="en-US" w:eastAsia="zh-CN"/>
              </w:rPr>
            </w:pPr>
            <w:r>
              <w:rPr>
                <w:rFonts w:hint="eastAsia" w:cs="Times New Roman"/>
                <w:szCs w:val="21"/>
                <w:lang w:val="en-US" w:eastAsia="zh-CN"/>
              </w:rPr>
              <w:t>经与各工序人员沟通并现场核实相关文件记录，确认公司对原辅</w:t>
            </w:r>
            <w:r>
              <w:rPr>
                <w:rFonts w:hint="eastAsia" w:ascii="Times New Roman" w:hAnsi="Times New Roman" w:eastAsia="宋体" w:cs="Times New Roman"/>
                <w:szCs w:val="21"/>
              </w:rPr>
              <w:t>料、过程产品、成品实施检验</w:t>
            </w:r>
            <w:r>
              <w:rPr>
                <w:rFonts w:hint="eastAsia" w:cs="Times New Roman"/>
                <w:szCs w:val="21"/>
                <w:lang w:val="en-US" w:eastAsia="zh-CN"/>
              </w:rPr>
              <w:t>合格后放行</w:t>
            </w:r>
            <w:r>
              <w:rPr>
                <w:rFonts w:hint="eastAsia" w:ascii="Times New Roman" w:hAnsi="Times New Roman" w:eastAsia="宋体" w:cs="Times New Roman"/>
                <w:szCs w:val="21"/>
              </w:rPr>
              <w:t>。</w:t>
            </w:r>
          </w:p>
          <w:p>
            <w:pPr>
              <w:spacing w:line="360" w:lineRule="auto"/>
              <w:rPr>
                <w:rFonts w:hint="default" w:cs="Times New Roman"/>
                <w:szCs w:val="21"/>
                <w:lang w:val="en-US" w:eastAsia="zh-CN"/>
              </w:rPr>
            </w:pPr>
            <w:r>
              <w:rPr>
                <w:rFonts w:hint="eastAsia" w:cs="Times New Roman"/>
                <w:szCs w:val="21"/>
                <w:lang w:eastAsia="zh-CN"/>
              </w:rPr>
              <w:t>（</w:t>
            </w:r>
            <w:r>
              <w:rPr>
                <w:rFonts w:hint="eastAsia" w:cs="Times New Roman"/>
                <w:szCs w:val="21"/>
                <w:lang w:val="en-US" w:eastAsia="zh-CN"/>
              </w:rPr>
              <w:t>一）进货检验：</w:t>
            </w:r>
          </w:p>
          <w:p>
            <w:pPr>
              <w:spacing w:line="360" w:lineRule="auto"/>
              <w:rPr>
                <w:rFonts w:hint="default" w:cs="Times New Roman"/>
                <w:szCs w:val="21"/>
                <w:lang w:val="en-US" w:eastAsia="zh-CN"/>
              </w:rPr>
            </w:pPr>
            <w:r>
              <w:rPr>
                <w:rFonts w:hint="eastAsia" w:cs="Times New Roman"/>
                <w:szCs w:val="21"/>
                <w:lang w:val="en-US" w:eastAsia="zh-CN"/>
              </w:rPr>
              <w:t>公司规定原辅料入库需要质检人员核对相关产品单据对原辅料进行入库验收，主要</w:t>
            </w:r>
            <w:r>
              <w:rPr>
                <w:rFonts w:hint="eastAsia" w:cs="Times New Roman"/>
                <w:b/>
                <w:bCs/>
                <w:szCs w:val="21"/>
                <w:lang w:val="en-US" w:eastAsia="zh-CN"/>
              </w:rPr>
              <w:t>原料纸张</w:t>
            </w:r>
            <w:r>
              <w:rPr>
                <w:rFonts w:hint="eastAsia" w:cs="Times New Roman"/>
                <w:szCs w:val="21"/>
                <w:lang w:val="en-US" w:eastAsia="zh-CN"/>
              </w:rPr>
              <w:t>、耗材由刘文明负责验收，进货验收检验内容包括：</w:t>
            </w:r>
            <w:r>
              <w:rPr>
                <w:rFonts w:hint="eastAsia" w:ascii="Times New Roman" w:hAnsi="Times New Roman" w:eastAsia="宋体" w:cs="Times New Roman"/>
                <w:szCs w:val="21"/>
              </w:rPr>
              <w:t>包装、外观、</w:t>
            </w:r>
            <w:r>
              <w:rPr>
                <w:rFonts w:hint="eastAsia" w:cs="Times New Roman"/>
                <w:szCs w:val="21"/>
                <w:lang w:val="en-US" w:eastAsia="zh-CN"/>
              </w:rPr>
              <w:t>偏斜度、标识、</w:t>
            </w:r>
            <w:r>
              <w:rPr>
                <w:rFonts w:hint="eastAsia" w:ascii="Times New Roman" w:hAnsi="Times New Roman" w:eastAsia="宋体" w:cs="Times New Roman"/>
                <w:szCs w:val="21"/>
              </w:rPr>
              <w:t>规格、数量</w:t>
            </w:r>
            <w:r>
              <w:rPr>
                <w:rFonts w:hint="eastAsia" w:cs="Times New Roman"/>
                <w:szCs w:val="21"/>
                <w:lang w:eastAsia="zh-CN"/>
              </w:rPr>
              <w:t>、</w:t>
            </w:r>
            <w:r>
              <w:rPr>
                <w:rFonts w:hint="eastAsia" w:cs="Times New Roman"/>
                <w:szCs w:val="21"/>
                <w:lang w:val="en-US" w:eastAsia="zh-CN"/>
              </w:rPr>
              <w:t>合格证明等，采用目测与钢直尺检测，检验完成后填写原辅材料检验记录本，检验合格放行入库。主要原辅料中热熔胶、预涂膜用量较小，每年采购一次，由质检员郭婉涛负责进货检验与试用合格后验收登记入库。现场查验各原辅材料进货验收记录与相应报告，均符合标准要求。抽查检验记录和原材料合格证明：</w:t>
            </w:r>
          </w:p>
          <w:p>
            <w:pPr>
              <w:pStyle w:val="2"/>
              <w:spacing w:line="360" w:lineRule="auto"/>
              <w:jc w:val="left"/>
              <w:rPr>
                <w:rFonts w:hint="default" w:eastAsia="宋体"/>
                <w:lang w:val="en-US" w:eastAsia="zh-CN"/>
              </w:rPr>
            </w:pPr>
            <w:r>
              <w:rPr>
                <w:rFonts w:hint="eastAsia"/>
                <w:lang w:val="en-US" w:eastAsia="zh-CN"/>
              </w:rPr>
              <w:drawing>
                <wp:inline distT="0" distB="0" distL="114300" distR="114300">
                  <wp:extent cx="2809240" cy="1896745"/>
                  <wp:effectExtent l="0" t="0" r="10160" b="8255"/>
                  <wp:docPr id="8" name="图片 8" descr="2b532988686253903d27cc94b9b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b532988686253903d27cc94b9b6152"/>
                          <pic:cNvPicPr>
                            <a:picLocks noChangeAspect="1"/>
                          </pic:cNvPicPr>
                        </pic:nvPicPr>
                        <pic:blipFill>
                          <a:blip r:embed="rId17"/>
                          <a:stretch>
                            <a:fillRect/>
                          </a:stretch>
                        </pic:blipFill>
                        <pic:spPr>
                          <a:xfrm rot="10800000">
                            <a:off x="0" y="0"/>
                            <a:ext cx="2809240" cy="1896745"/>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2540000" cy="1906270"/>
                  <wp:effectExtent l="0" t="0" r="0" b="11430"/>
                  <wp:docPr id="9" name="图片 9" descr="92bb3f733641f34b0927f7b27319f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2bb3f733641f34b0927f7b27319f98"/>
                          <pic:cNvPicPr>
                            <a:picLocks noChangeAspect="1"/>
                          </pic:cNvPicPr>
                        </pic:nvPicPr>
                        <pic:blipFill>
                          <a:blip r:embed="rId18"/>
                          <a:stretch>
                            <a:fillRect/>
                          </a:stretch>
                        </pic:blipFill>
                        <pic:spPr>
                          <a:xfrm>
                            <a:off x="0" y="0"/>
                            <a:ext cx="2540000" cy="1906270"/>
                          </a:xfrm>
                          <a:prstGeom prst="rect">
                            <a:avLst/>
                          </a:prstGeom>
                        </pic:spPr>
                      </pic:pic>
                    </a:graphicData>
                  </a:graphic>
                </wp:inline>
              </w:drawing>
            </w:r>
          </w:p>
          <w:p>
            <w:pPr>
              <w:spacing w:line="360" w:lineRule="auto"/>
              <w:jc w:val="center"/>
              <w:rPr>
                <w:rFonts w:hint="eastAsia" w:ascii="Times New Roman" w:hAnsi="Times New Roman" w:eastAsia="宋体" w:cs="Times New Roman"/>
                <w:szCs w:val="21"/>
              </w:rPr>
            </w:pPr>
          </w:p>
          <w:p>
            <w:pPr>
              <w:numPr>
                <w:ilvl w:val="0"/>
                <w:numId w:val="0"/>
              </w:numPr>
              <w:spacing w:line="360" w:lineRule="auto"/>
              <w:rPr>
                <w:rFonts w:hint="eastAsia" w:ascii="Times New Roman" w:hAnsi="Times New Roman" w:eastAsia="宋体" w:cs="Times New Roman"/>
                <w:szCs w:val="21"/>
              </w:rPr>
            </w:pPr>
            <w:r>
              <w:rPr>
                <w:rFonts w:hint="eastAsia" w:cs="Times New Roman"/>
                <w:szCs w:val="21"/>
                <w:lang w:eastAsia="zh-CN"/>
              </w:rPr>
              <w:t>（</w:t>
            </w:r>
            <w:r>
              <w:rPr>
                <w:rFonts w:hint="eastAsia" w:cs="Times New Roman"/>
                <w:szCs w:val="21"/>
                <w:lang w:val="en-US" w:eastAsia="zh-CN"/>
              </w:rPr>
              <w:t>二）</w:t>
            </w:r>
            <w:r>
              <w:rPr>
                <w:rFonts w:hint="eastAsia" w:ascii="Times New Roman" w:hAnsi="Times New Roman" w:eastAsia="宋体" w:cs="Times New Roman"/>
                <w:szCs w:val="21"/>
              </w:rPr>
              <w:t>过程检验：</w:t>
            </w:r>
            <w:r>
              <w:rPr>
                <w:rFonts w:hint="eastAsia" w:cs="Times New Roman"/>
                <w:szCs w:val="21"/>
                <w:lang w:val="en-US" w:eastAsia="zh-CN"/>
              </w:rPr>
              <w:t>各工序人员</w:t>
            </w:r>
            <w:r>
              <w:rPr>
                <w:rFonts w:hint="eastAsia" w:ascii="Times New Roman" w:hAnsi="Times New Roman" w:eastAsia="宋体" w:cs="Times New Roman"/>
                <w:szCs w:val="21"/>
              </w:rPr>
              <w:t>依据</w:t>
            </w:r>
            <w:r>
              <w:rPr>
                <w:rFonts w:hint="eastAsia" w:cs="Times New Roman"/>
                <w:szCs w:val="21"/>
                <w:lang w:val="en-US" w:eastAsia="zh-CN"/>
              </w:rPr>
              <w:t>质检要求</w:t>
            </w:r>
            <w:r>
              <w:rPr>
                <w:rFonts w:hint="eastAsia" w:ascii="Times New Roman" w:hAnsi="Times New Roman" w:eastAsia="宋体" w:cs="Times New Roman"/>
                <w:szCs w:val="21"/>
              </w:rPr>
              <w:t>进行</w:t>
            </w:r>
            <w:r>
              <w:rPr>
                <w:rFonts w:hint="eastAsia" w:cs="Times New Roman"/>
                <w:szCs w:val="21"/>
                <w:lang w:val="en-US" w:eastAsia="zh-CN"/>
              </w:rPr>
              <w:t>过程产品与成品</w:t>
            </w:r>
            <w:r>
              <w:rPr>
                <w:rFonts w:hint="eastAsia" w:ascii="Times New Roman" w:hAnsi="Times New Roman" w:eastAsia="宋体" w:cs="Times New Roman"/>
                <w:szCs w:val="21"/>
              </w:rPr>
              <w:t>检验。</w:t>
            </w:r>
          </w:p>
          <w:p>
            <w:pPr>
              <w:pStyle w:val="2"/>
              <w:numPr>
                <w:ilvl w:val="0"/>
                <w:numId w:val="0"/>
              </w:numPr>
              <w:spacing w:line="360" w:lineRule="auto"/>
              <w:rPr>
                <w:rFonts w:hint="default"/>
                <w:lang w:val="en-US"/>
              </w:rPr>
            </w:pPr>
            <w:r>
              <w:rPr>
                <w:rFonts w:hint="eastAsia"/>
                <w:lang w:val="en-US" w:eastAsia="zh-CN"/>
              </w:rPr>
              <w:t xml:space="preserve">  排版、样品检验：排版人员牛学清根据客户要求以及相关标准进行自检，后交质检人员质检，主要检查内容（版式样、客户要求、文稿、图稿、版面等）合格后，打单个样品进行样品全项目检验（外观、封面、表面处理、装订、内页印刷质量的文字、图案套印、墨色等）合格后样品交客户确认或进行改校，客户提出改红后，排版人员改红后，对改红页面须单独检查，质检人员重新按照样品检验流程检验确认，改红较多页面对全书重新检验，最终样本客户确认签字合格后进入下一工序。</w:t>
            </w:r>
            <w:r>
              <w:rPr>
                <w:rFonts w:hint="eastAsia"/>
                <w:lang w:val="en-US" w:eastAsia="zh-CN"/>
              </w:rPr>
              <w:drawing>
                <wp:inline distT="0" distB="0" distL="114300" distR="114300">
                  <wp:extent cx="1801495" cy="2668905"/>
                  <wp:effectExtent l="0" t="0" r="10795" b="1905"/>
                  <wp:docPr id="6" name="图片 6" descr="6db8b66916348ba7e847f3083539a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db8b66916348ba7e847f3083539ae1"/>
                          <pic:cNvPicPr>
                            <a:picLocks noChangeAspect="1"/>
                          </pic:cNvPicPr>
                        </pic:nvPicPr>
                        <pic:blipFill>
                          <a:blip r:embed="rId19"/>
                          <a:stretch>
                            <a:fillRect/>
                          </a:stretch>
                        </pic:blipFill>
                        <pic:spPr>
                          <a:xfrm rot="16200000">
                            <a:off x="0" y="0"/>
                            <a:ext cx="1801495" cy="2668905"/>
                          </a:xfrm>
                          <a:prstGeom prst="rect">
                            <a:avLst/>
                          </a:prstGeom>
                        </pic:spPr>
                      </pic:pic>
                    </a:graphicData>
                  </a:graphic>
                </wp:inline>
              </w:drawing>
            </w:r>
            <w:r>
              <w:rPr>
                <w:rFonts w:hint="eastAsia"/>
                <w:lang w:val="en-US" w:eastAsia="zh-CN"/>
              </w:rPr>
              <w:t xml:space="preserve">  </w:t>
            </w:r>
            <w:r>
              <w:rPr>
                <w:rFonts w:hint="default"/>
                <w:lang w:val="en-US"/>
              </w:rPr>
              <w:drawing>
                <wp:inline distT="0" distB="0" distL="114300" distR="114300">
                  <wp:extent cx="1804035" cy="2405380"/>
                  <wp:effectExtent l="0" t="0" r="7620" b="12065"/>
                  <wp:docPr id="7" name="图片 7" descr="165fcaabe77b77dd615076a82759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fcaabe77b77dd615076a8275960f"/>
                          <pic:cNvPicPr>
                            <a:picLocks noChangeAspect="1"/>
                          </pic:cNvPicPr>
                        </pic:nvPicPr>
                        <pic:blipFill>
                          <a:blip r:embed="rId20"/>
                          <a:stretch>
                            <a:fillRect/>
                          </a:stretch>
                        </pic:blipFill>
                        <pic:spPr>
                          <a:xfrm rot="16200000">
                            <a:off x="0" y="0"/>
                            <a:ext cx="1804035" cy="2405380"/>
                          </a:xfrm>
                          <a:prstGeom prst="rect">
                            <a:avLst/>
                          </a:prstGeom>
                        </pic:spPr>
                      </pic:pic>
                    </a:graphicData>
                  </a:graphic>
                </wp:inline>
              </w:drawing>
            </w:r>
          </w:p>
          <w:p>
            <w:pPr>
              <w:pStyle w:val="2"/>
              <w:numPr>
                <w:ilvl w:val="0"/>
                <w:numId w:val="0"/>
              </w:numPr>
              <w:spacing w:line="360" w:lineRule="auto"/>
              <w:jc w:val="center"/>
              <w:rPr>
                <w:rFonts w:hint="default" w:eastAsia="宋体"/>
                <w:lang w:val="en-US" w:eastAsia="zh-CN"/>
              </w:rPr>
            </w:pPr>
            <w:r>
              <w:rPr>
                <w:rFonts w:hint="eastAsia"/>
                <w:lang w:val="en-US" w:eastAsia="zh-CN"/>
              </w:rPr>
              <w:t xml:space="preserve"> </w:t>
            </w:r>
            <w:r>
              <w:rPr>
                <w:rFonts w:hint="eastAsia"/>
                <w:lang w:val="en-US" w:eastAsia="zh-CN"/>
              </w:rPr>
              <w:drawing>
                <wp:inline distT="0" distB="0" distL="114300" distR="114300">
                  <wp:extent cx="1923415" cy="2850515"/>
                  <wp:effectExtent l="0" t="0" r="6985" b="6985"/>
                  <wp:docPr id="4" name="图片 4" descr="ce6eb9b4c5c9dd77ffb4dae3de81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e6eb9b4c5c9dd77ffb4dae3de81e77"/>
                          <pic:cNvPicPr>
                            <a:picLocks noChangeAspect="1"/>
                          </pic:cNvPicPr>
                        </pic:nvPicPr>
                        <pic:blipFill>
                          <a:blip r:embed="rId21"/>
                          <a:stretch>
                            <a:fillRect/>
                          </a:stretch>
                        </pic:blipFill>
                        <pic:spPr>
                          <a:xfrm>
                            <a:off x="0" y="0"/>
                            <a:ext cx="1923415" cy="2850515"/>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1905000" cy="2823210"/>
                  <wp:effectExtent l="0" t="0" r="0" b="8890"/>
                  <wp:docPr id="5" name="图片 5" descr="05b313631bffdcc11b1b10bf212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b313631bffdcc11b1b10bf2125786"/>
                          <pic:cNvPicPr>
                            <a:picLocks noChangeAspect="1"/>
                          </pic:cNvPicPr>
                        </pic:nvPicPr>
                        <pic:blipFill>
                          <a:blip r:embed="rId22"/>
                          <a:stretch>
                            <a:fillRect/>
                          </a:stretch>
                        </pic:blipFill>
                        <pic:spPr>
                          <a:xfrm>
                            <a:off x="0" y="0"/>
                            <a:ext cx="1905000" cy="2823210"/>
                          </a:xfrm>
                          <a:prstGeom prst="rect">
                            <a:avLst/>
                          </a:prstGeom>
                        </pic:spPr>
                      </pic:pic>
                    </a:graphicData>
                  </a:graphic>
                </wp:inline>
              </w:drawing>
            </w:r>
          </w:p>
          <w:p>
            <w:pPr>
              <w:pStyle w:val="2"/>
              <w:numPr>
                <w:ilvl w:val="0"/>
                <w:numId w:val="0"/>
              </w:numPr>
              <w:spacing w:line="360" w:lineRule="auto"/>
              <w:jc w:val="left"/>
              <w:rPr>
                <w:rFonts w:hint="default" w:eastAsia="宋体"/>
                <w:lang w:val="en-US" w:eastAsia="zh-CN"/>
              </w:rPr>
            </w:pPr>
            <w:r>
              <w:rPr>
                <w:rFonts w:hint="eastAsia" w:eastAsia="宋体"/>
                <w:lang w:eastAsia="zh-CN"/>
              </w:rPr>
              <w:drawing>
                <wp:inline distT="0" distB="0" distL="114300" distR="114300">
                  <wp:extent cx="2025015" cy="3001645"/>
                  <wp:effectExtent l="0" t="0" r="8255" b="6985"/>
                  <wp:docPr id="10" name="图片 10" descr="9116a4642385acf2ea165d10f2daf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116a4642385acf2ea165d10f2dafcd"/>
                          <pic:cNvPicPr>
                            <a:picLocks noChangeAspect="1"/>
                          </pic:cNvPicPr>
                        </pic:nvPicPr>
                        <pic:blipFill>
                          <a:blip r:embed="rId23"/>
                          <a:stretch>
                            <a:fillRect/>
                          </a:stretch>
                        </pic:blipFill>
                        <pic:spPr>
                          <a:xfrm rot="16200000">
                            <a:off x="0" y="0"/>
                            <a:ext cx="2025015" cy="3001645"/>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2032635" cy="3011805"/>
                  <wp:effectExtent l="0" t="0" r="10795" b="12065"/>
                  <wp:docPr id="12" name="图片 12" descr="9eec69095c9253d88d16840b1177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eec69095c9253d88d16840b1177a0a"/>
                          <pic:cNvPicPr>
                            <a:picLocks noChangeAspect="1"/>
                          </pic:cNvPicPr>
                        </pic:nvPicPr>
                        <pic:blipFill>
                          <a:blip r:embed="rId24"/>
                          <a:stretch>
                            <a:fillRect/>
                          </a:stretch>
                        </pic:blipFill>
                        <pic:spPr>
                          <a:xfrm rot="16200000">
                            <a:off x="0" y="0"/>
                            <a:ext cx="2032635" cy="3011805"/>
                          </a:xfrm>
                          <a:prstGeom prst="rect">
                            <a:avLst/>
                          </a:prstGeom>
                        </pic:spPr>
                      </pic:pic>
                    </a:graphicData>
                  </a:graphic>
                </wp:inline>
              </w:drawing>
            </w:r>
          </w:p>
          <w:p>
            <w:pPr>
              <w:spacing w:line="360" w:lineRule="auto"/>
              <w:rPr>
                <w:rFonts w:hint="eastAsia" w:cs="Times New Roman"/>
                <w:szCs w:val="21"/>
                <w:lang w:val="en-US" w:eastAsia="zh-CN"/>
              </w:rPr>
            </w:pPr>
            <w:r>
              <w:rPr>
                <w:rFonts w:hint="eastAsia" w:ascii="Times New Roman" w:hAnsi="Times New Roman" w:eastAsia="宋体" w:cs="Times New Roman"/>
                <w:szCs w:val="21"/>
              </w:rPr>
              <w:t>（三）成品检验：</w:t>
            </w:r>
            <w:r>
              <w:rPr>
                <w:rFonts w:hint="eastAsia" w:cs="Times New Roman"/>
                <w:szCs w:val="21"/>
                <w:lang w:val="en-US" w:eastAsia="zh-CN"/>
              </w:rPr>
              <w:t>质检人员郭婉涛</w:t>
            </w:r>
            <w:r>
              <w:rPr>
                <w:rFonts w:hint="eastAsia" w:ascii="Times New Roman" w:hAnsi="Times New Roman" w:eastAsia="宋体" w:cs="Times New Roman"/>
                <w:szCs w:val="21"/>
              </w:rPr>
              <w:t>依据成品</w:t>
            </w:r>
            <w:r>
              <w:rPr>
                <w:rFonts w:hint="eastAsia" w:cs="Times New Roman"/>
                <w:szCs w:val="21"/>
                <w:lang w:val="en-US" w:eastAsia="zh-CN"/>
              </w:rPr>
              <w:t>质检要求进行</w:t>
            </w:r>
            <w:r>
              <w:rPr>
                <w:rFonts w:hint="eastAsia" w:ascii="Times New Roman" w:hAnsi="Times New Roman" w:eastAsia="宋体" w:cs="Times New Roman"/>
                <w:szCs w:val="21"/>
              </w:rPr>
              <w:t>，</w:t>
            </w:r>
            <w:r>
              <w:rPr>
                <w:rFonts w:hint="eastAsia" w:cs="Times New Roman"/>
                <w:szCs w:val="21"/>
                <w:lang w:val="en-US" w:eastAsia="zh-CN"/>
              </w:rPr>
              <w:t>成品检验内容：外观、内页、有无倒页、折角、页码错乱、装订要求、裁切要求、表面处理要求、数量等，所有检测项目经质检人员检验合格后放行打包。抽查检验报告：</w:t>
            </w:r>
          </w:p>
          <w:p>
            <w:pPr>
              <w:pStyle w:val="2"/>
              <w:spacing w:line="360" w:lineRule="auto"/>
              <w:jc w:val="left"/>
              <w:rPr>
                <w:rFonts w:hint="default" w:eastAsia="宋体"/>
                <w:lang w:val="en-US" w:eastAsia="zh-CN"/>
              </w:rPr>
            </w:pPr>
            <w:r>
              <w:rPr>
                <w:rFonts w:hint="eastAsia" w:eastAsia="宋体"/>
                <w:lang w:eastAsia="zh-CN"/>
              </w:rPr>
              <w:drawing>
                <wp:inline distT="0" distB="0" distL="114300" distR="114300">
                  <wp:extent cx="2047875" cy="2729865"/>
                  <wp:effectExtent l="0" t="0" r="635" b="9525"/>
                  <wp:docPr id="13" name="图片 13" descr="d81017379553406323310efc3749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81017379553406323310efc3749c7a"/>
                          <pic:cNvPicPr>
                            <a:picLocks noChangeAspect="1"/>
                          </pic:cNvPicPr>
                        </pic:nvPicPr>
                        <pic:blipFill>
                          <a:blip r:embed="rId25"/>
                          <a:stretch>
                            <a:fillRect/>
                          </a:stretch>
                        </pic:blipFill>
                        <pic:spPr>
                          <a:xfrm rot="16200000">
                            <a:off x="0" y="0"/>
                            <a:ext cx="2047875" cy="2729865"/>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2044700" cy="3029585"/>
                  <wp:effectExtent l="0" t="0" r="5715" b="0"/>
                  <wp:docPr id="14" name="图片 14" descr="cdbd64ab28188752f4943b173fb4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dbd64ab28188752f4943b173fb4b12"/>
                          <pic:cNvPicPr>
                            <a:picLocks noChangeAspect="1"/>
                          </pic:cNvPicPr>
                        </pic:nvPicPr>
                        <pic:blipFill>
                          <a:blip r:embed="rId26"/>
                          <a:stretch>
                            <a:fillRect/>
                          </a:stretch>
                        </pic:blipFill>
                        <pic:spPr>
                          <a:xfrm rot="16200000">
                            <a:off x="0" y="0"/>
                            <a:ext cx="2044700" cy="3029585"/>
                          </a:xfrm>
                          <a:prstGeom prst="rect">
                            <a:avLst/>
                          </a:prstGeom>
                        </pic:spPr>
                      </pic:pic>
                    </a:graphicData>
                  </a:graphic>
                </wp:inline>
              </w:drawing>
            </w:r>
          </w:p>
          <w:p>
            <w:pPr>
              <w:spacing w:line="360" w:lineRule="auto"/>
              <w:ind w:firstLine="420" w:firstLineChars="200"/>
              <w:rPr>
                <w:rFonts w:hint="eastAsia" w:cs="Times New Roman"/>
                <w:szCs w:val="21"/>
                <w:lang w:eastAsia="zh-CN"/>
              </w:rPr>
            </w:pPr>
            <w:r>
              <w:rPr>
                <w:rFonts w:hint="eastAsia" w:ascii="Times New Roman" w:hAnsi="Times New Roman" w:eastAsia="宋体" w:cs="Times New Roman"/>
                <w:szCs w:val="21"/>
              </w:rPr>
              <w:t>通过上述记录了解到，组织对产品实现的各过程进行了有效的监视测量，产品必须经检验合格才能交付，确保能满足顾客对产品的质量要求</w:t>
            </w:r>
            <w:r>
              <w:rPr>
                <w:rFonts w:hint="eastAsia" w:cs="Times New Roman"/>
                <w:szCs w:val="21"/>
                <w:lang w:eastAsia="zh-CN"/>
              </w:rPr>
              <w:t>。</w:t>
            </w:r>
          </w:p>
          <w:p>
            <w:pPr>
              <w:spacing w:line="360" w:lineRule="auto"/>
              <w:ind w:firstLine="422" w:firstLineChars="200"/>
              <w:rPr>
                <w:rFonts w:hint="eastAsia" w:ascii="Times New Roman" w:hAnsi="Times New Roman" w:eastAsia="宋体" w:cs="Times New Roman"/>
                <w:sz w:val="21"/>
                <w:szCs w:val="21"/>
                <w:lang w:val="en-US" w:eastAsia="zh-CN"/>
              </w:rPr>
            </w:pPr>
            <w:r>
              <w:rPr>
                <w:rFonts w:hint="eastAsia" w:ascii="方正仿宋简体" w:eastAsia="方正仿宋简体"/>
                <w:b/>
              </w:rPr>
              <w:t>未能提供有权放行人员的授权证据。</w:t>
            </w:r>
          </w:p>
        </w:tc>
        <w:tc>
          <w:tcPr>
            <w:tcW w:w="1585" w:type="dxa"/>
          </w:tcPr>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spacing w:line="360" w:lineRule="auto"/>
              <w:rPr>
                <w:rFonts w:hint="default"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spacing w:line="360" w:lineRule="auto"/>
              <w:rPr>
                <w:rFonts w:hint="eastAsia" w:asciiTheme="minorEastAsia" w:hAnsiTheme="minorEastAsia" w:eastAsiaTheme="minorEastAsia" w:cstheme="minorEastAsia"/>
                <w:bCs/>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环境因素识别、风险评估</w:t>
            </w:r>
          </w:p>
        </w:tc>
        <w:tc>
          <w:tcPr>
            <w:tcW w:w="960" w:type="dxa"/>
            <w:vAlign w:val="top"/>
          </w:tcPr>
          <w:p>
            <w:pPr>
              <w:spacing w:line="360" w:lineRule="auto"/>
              <w:rPr>
                <w:rFonts w:hint="eastAsia" w:asciiTheme="minorEastAsia" w:hAnsiTheme="minorEastAsia" w:eastAsiaTheme="minorEastAsia" w:cstheme="minorEastAsia"/>
                <w:bCs/>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E0:6.1.2</w:t>
            </w:r>
          </w:p>
        </w:tc>
        <w:tc>
          <w:tcPr>
            <w:tcW w:w="10004" w:type="dxa"/>
            <w:vAlign w:val="top"/>
          </w:tcPr>
          <w:p>
            <w:pPr>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编制《环境因素识别和评价控制程序》程序，按照相关程序执行</w:t>
            </w:r>
          </w:p>
          <w:p>
            <w:pPr>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提供《环境因素识别排查表》识别了</w:t>
            </w:r>
            <w:r>
              <w:rPr>
                <w:rFonts w:hint="eastAsia" w:ascii="宋体" w:hAnsi="宋体" w:cs="Times New Roman" w:eastAsiaTheme="minorEastAsia"/>
                <w:sz w:val="21"/>
                <w:szCs w:val="21"/>
                <w:lang w:eastAsia="zh-CN"/>
              </w:rPr>
              <w:t>出版物专项排版、制版、装订；出版物、包装装潢印刷品、其他印刷品数字印刷</w:t>
            </w:r>
            <w:r>
              <w:rPr>
                <w:rFonts w:hint="eastAsia" w:ascii="宋体" w:hAnsi="宋体" w:cs="Times New Roman"/>
                <w:sz w:val="21"/>
                <w:szCs w:val="21"/>
              </w:rPr>
              <w:t>过程</w:t>
            </w:r>
            <w:r>
              <w:rPr>
                <w:rFonts w:hint="eastAsia" w:ascii="宋体" w:hAnsi="宋体" w:cs="Times New Roman"/>
                <w:sz w:val="21"/>
                <w:szCs w:val="21"/>
                <w:lang w:val="en-US" w:eastAsia="zh-CN"/>
              </w:rPr>
              <w:t>等</w:t>
            </w:r>
            <w:r>
              <w:rPr>
                <w:rFonts w:hint="eastAsia" w:asciiTheme="minorEastAsia" w:hAnsiTheme="minorEastAsia" w:eastAsiaTheme="minorEastAsia" w:cstheme="minorEastAsia"/>
                <w:sz w:val="21"/>
                <w:szCs w:val="21"/>
                <w:highlight w:val="none"/>
                <w:lang w:val="en-US" w:eastAsia="zh-CN"/>
              </w:rPr>
              <w:t>环境因素包括：</w:t>
            </w:r>
          </w:p>
          <w:p>
            <w:pPr>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水的消耗、电的消耗、固体废弃物（包装物）排放、噪声的排放、潜在火灾、生活水消耗等；</w:t>
            </w:r>
          </w:p>
          <w:p>
            <w:pPr>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提供《重要环境因素清单》3项，包括固体废弃物（包装物）排放、噪声的排放、潜在火灾等</w:t>
            </w:r>
            <w:r>
              <w:rPr>
                <w:rFonts w:hint="eastAsia" w:asciiTheme="minorEastAsia" w:hAnsiTheme="minorEastAsia" w:eastAsiaTheme="minorEastAsia" w:cstheme="minorEastAsia"/>
                <w:color w:val="auto"/>
                <w:sz w:val="21"/>
                <w:szCs w:val="21"/>
                <w:highlight w:val="none"/>
                <w:lang w:val="en-US" w:eastAsia="zh-CN"/>
              </w:rPr>
              <w:t>。</w:t>
            </w:r>
          </w:p>
          <w:p>
            <w:pPr>
              <w:pStyle w:val="2"/>
              <w:spacing w:line="360" w:lineRule="auto"/>
              <w:rPr>
                <w:rFonts w:hint="eastAsia" w:asciiTheme="minorEastAsia" w:hAnsiTheme="minorEastAsia" w:eastAsiaTheme="minorEastAsia" w:cstheme="minorEastAsia"/>
                <w:bCs w:val="0"/>
                <w:spacing w:val="0"/>
                <w:kern w:val="2"/>
                <w:sz w:val="21"/>
                <w:szCs w:val="21"/>
                <w:highlight w:val="none"/>
                <w:lang w:val="en-US" w:eastAsia="zh-CN" w:bidi="ar-SA"/>
              </w:rPr>
            </w:pPr>
            <w:r>
              <w:rPr>
                <w:rFonts w:hint="eastAsia" w:asciiTheme="minorEastAsia" w:hAnsiTheme="minorEastAsia" w:eastAsiaTheme="minorEastAsia" w:cstheme="minorEastAsia"/>
                <w:bCs w:val="0"/>
                <w:spacing w:val="0"/>
                <w:kern w:val="2"/>
                <w:sz w:val="21"/>
                <w:szCs w:val="21"/>
                <w:highlight w:val="none"/>
                <w:lang w:val="en-US" w:eastAsia="zh-CN" w:bidi="ar-SA"/>
              </w:rPr>
              <w:t>以上重要环境因素清单中制定了针对性控制措施，措施基本有效。</w:t>
            </w:r>
          </w:p>
          <w:p>
            <w:pPr>
              <w:pStyle w:val="2"/>
              <w:spacing w:line="360" w:lineRule="auto"/>
              <w:rPr>
                <w:rFonts w:hint="eastAsia" w:ascii="宋体" w:hAnsi="宋体" w:cs="宋体"/>
                <w:sz w:val="21"/>
                <w:szCs w:val="21"/>
              </w:rPr>
            </w:pPr>
            <w:r>
              <w:rPr>
                <w:rFonts w:hint="eastAsia" w:ascii="宋体" w:hAnsi="宋体" w:cs="宋体"/>
                <w:sz w:val="21"/>
                <w:szCs w:val="21"/>
              </w:rPr>
              <w:t>环境</w:t>
            </w:r>
            <w:r>
              <w:rPr>
                <w:rFonts w:hint="eastAsia" w:ascii="宋体" w:hAnsi="宋体" w:cs="宋体"/>
                <w:sz w:val="21"/>
                <w:szCs w:val="21"/>
                <w:lang w:val="en-US" w:eastAsia="zh-CN"/>
              </w:rPr>
              <w:t>管理</w:t>
            </w:r>
            <w:r>
              <w:rPr>
                <w:rFonts w:hint="eastAsia" w:ascii="宋体" w:hAnsi="宋体" w:cs="宋体"/>
                <w:sz w:val="21"/>
                <w:szCs w:val="21"/>
              </w:rPr>
              <w:t>体系建立了管理方案，查管理方案表：</w:t>
            </w:r>
          </w:p>
          <w:p>
            <w:pPr>
              <w:pStyle w:val="2"/>
              <w:numPr>
                <w:ilvl w:val="0"/>
                <w:numId w:val="2"/>
              </w:numPr>
              <w:spacing w:line="360" w:lineRule="auto"/>
              <w:rPr>
                <w:rFonts w:hint="default"/>
                <w:sz w:val="21"/>
                <w:szCs w:val="21"/>
                <w:lang w:val="en-US" w:eastAsia="zh-CN"/>
              </w:rPr>
            </w:pPr>
            <w:r>
              <w:rPr>
                <w:rFonts w:hint="eastAsia"/>
                <w:sz w:val="21"/>
                <w:szCs w:val="21"/>
              </w:rPr>
              <w:t>固废排放</w:t>
            </w:r>
            <w:r>
              <w:rPr>
                <w:rFonts w:hint="eastAsia"/>
                <w:sz w:val="21"/>
                <w:szCs w:val="21"/>
                <w:lang w:eastAsia="zh-CN"/>
              </w:rPr>
              <w:t>：主要技术措施：1）经一般固废暂存处暂存后外售2</w:t>
            </w:r>
            <w:r>
              <w:rPr>
                <w:rFonts w:hint="eastAsia"/>
                <w:sz w:val="21"/>
                <w:szCs w:val="21"/>
                <w:lang w:val="en-US" w:eastAsia="zh-CN"/>
              </w:rPr>
              <w:t>)</w:t>
            </w:r>
            <w:r>
              <w:rPr>
                <w:rFonts w:hint="eastAsia"/>
                <w:sz w:val="21"/>
                <w:szCs w:val="21"/>
                <w:lang w:eastAsia="zh-CN"/>
              </w:rPr>
              <w:t>交由设备厂家回收3</w:t>
            </w:r>
            <w:r>
              <w:rPr>
                <w:rFonts w:hint="eastAsia"/>
                <w:sz w:val="21"/>
                <w:szCs w:val="21"/>
                <w:lang w:val="en-US" w:eastAsia="zh-CN"/>
              </w:rPr>
              <w:t>)</w:t>
            </w:r>
            <w:r>
              <w:rPr>
                <w:rFonts w:hint="eastAsia"/>
                <w:sz w:val="21"/>
                <w:szCs w:val="21"/>
                <w:lang w:eastAsia="zh-CN"/>
              </w:rPr>
              <w:t>生活垃圾收集后运至垃圾中转处置</w:t>
            </w:r>
          </w:p>
          <w:p>
            <w:pPr>
              <w:pStyle w:val="2"/>
              <w:numPr>
                <w:ilvl w:val="0"/>
                <w:numId w:val="2"/>
              </w:numPr>
              <w:spacing w:line="360" w:lineRule="auto"/>
              <w:rPr>
                <w:rFonts w:hint="default"/>
                <w:sz w:val="21"/>
                <w:szCs w:val="21"/>
                <w:lang w:val="en-US" w:eastAsia="zh-CN"/>
              </w:rPr>
            </w:pPr>
            <w:r>
              <w:rPr>
                <w:rFonts w:hint="eastAsia" w:ascii="宋体" w:hAnsi="宋体"/>
                <w:sz w:val="21"/>
                <w:szCs w:val="21"/>
              </w:rPr>
              <w:t>噪声排放</w:t>
            </w:r>
            <w:r>
              <w:rPr>
                <w:rFonts w:hint="eastAsia" w:ascii="宋体" w:hAnsi="宋体"/>
                <w:sz w:val="21"/>
                <w:szCs w:val="21"/>
                <w:lang w:eastAsia="zh-CN"/>
              </w:rPr>
              <w:t>：主要技术措施：1）选用低噪声生产设备、2）加装消音器、3）基础减震、4）厂房隔声</w:t>
            </w:r>
          </w:p>
          <w:p>
            <w:pPr>
              <w:spacing w:line="360" w:lineRule="auto"/>
              <w:rPr>
                <w:rFonts w:hint="eastAsia" w:ascii="宋体" w:hAnsi="宋体" w:eastAsia="宋体" w:cs="Times New Roman"/>
                <w:sz w:val="21"/>
                <w:szCs w:val="21"/>
                <w:lang w:eastAsia="zh-CN"/>
              </w:rPr>
            </w:pPr>
            <w:r>
              <w:rPr>
                <w:rFonts w:hint="eastAsia" w:ascii="宋体" w:hAnsi="宋体"/>
                <w:sz w:val="21"/>
                <w:szCs w:val="21"/>
                <w:lang w:val="en-US" w:eastAsia="zh-CN"/>
              </w:rPr>
              <w:t>3、</w:t>
            </w:r>
            <w:r>
              <w:rPr>
                <w:rFonts w:hint="eastAsia" w:ascii="宋体" w:hAnsi="宋体"/>
                <w:sz w:val="21"/>
                <w:szCs w:val="21"/>
                <w:lang w:eastAsia="zh-CN"/>
              </w:rPr>
              <w:t>火灾：主要技术措施：1）公司设立员工专门吸烟场所，严禁生产车间和仓库明火；2）配备齐全的消防设施，定期检查；3）定期应急演练。</w:t>
            </w:r>
            <w:r>
              <w:rPr>
                <w:rFonts w:hint="eastAsia" w:ascii="宋体" w:hAnsi="宋体" w:cs="宋体"/>
                <w:sz w:val="21"/>
                <w:szCs w:val="21"/>
              </w:rPr>
              <w:t>执行部门：各部门，编制：牟翠蓉      审批：安华翠  2021.8.2</w:t>
            </w:r>
            <w:r>
              <w:rPr>
                <w:rFonts w:hint="eastAsia" w:ascii="宋体" w:hAnsi="宋体" w:eastAsia="宋体" w:cs="Times New Roman"/>
                <w:sz w:val="21"/>
                <w:szCs w:val="21"/>
                <w:lang w:eastAsia="zh-CN"/>
              </w:rPr>
              <w:t>。</w:t>
            </w:r>
          </w:p>
          <w:p>
            <w:pPr>
              <w:spacing w:line="360" w:lineRule="auto"/>
              <w:rPr>
                <w:rFonts w:hint="default"/>
                <w:sz w:val="21"/>
                <w:szCs w:val="21"/>
                <w:lang w:val="en-US" w:eastAsia="zh-CN"/>
              </w:rPr>
            </w:pPr>
            <w:r>
              <w:rPr>
                <w:rFonts w:hint="eastAsia" w:ascii="宋体" w:hAnsi="宋体" w:eastAsia="宋体" w:cs="Times New Roman"/>
                <w:sz w:val="21"/>
                <w:szCs w:val="21"/>
                <w:lang w:eastAsia="zh-CN"/>
              </w:rPr>
              <w:t>上述目标、指标202</w:t>
            </w:r>
            <w:r>
              <w:rPr>
                <w:rFonts w:hint="eastAsia" w:ascii="宋体" w:hAnsi="宋体" w:eastAsia="宋体" w:cs="Times New Roman"/>
                <w:sz w:val="21"/>
                <w:szCs w:val="21"/>
                <w:lang w:val="en-US" w:eastAsia="zh-CN"/>
              </w:rPr>
              <w:t>1</w:t>
            </w:r>
            <w:r>
              <w:rPr>
                <w:rFonts w:hint="eastAsia" w:ascii="宋体" w:hAnsi="宋体" w:eastAsia="宋体" w:cs="Times New Roman"/>
                <w:sz w:val="21"/>
                <w:szCs w:val="21"/>
                <w:lang w:eastAsia="zh-CN"/>
              </w:rPr>
              <w:t>年</w:t>
            </w:r>
            <w:r>
              <w:rPr>
                <w:rFonts w:hint="eastAsia" w:ascii="宋体" w:hAnsi="宋体" w:eastAsia="宋体" w:cs="Times New Roman"/>
                <w:sz w:val="21"/>
                <w:szCs w:val="21"/>
                <w:lang w:val="en-US" w:eastAsia="zh-CN"/>
              </w:rPr>
              <w:t>8-11月份</w:t>
            </w:r>
            <w:r>
              <w:rPr>
                <w:rFonts w:hint="eastAsia" w:ascii="宋体" w:hAnsi="宋体" w:eastAsia="宋体" w:cs="Times New Roman"/>
                <w:sz w:val="21"/>
                <w:szCs w:val="21"/>
                <w:lang w:eastAsia="zh-CN"/>
              </w:rPr>
              <w:t>进行考核，考核结果：全部达标，检查人：</w:t>
            </w:r>
            <w:r>
              <w:rPr>
                <w:rFonts w:hint="eastAsia" w:ascii="宋体" w:hAnsi="宋体" w:cs="Times New Roman"/>
                <w:sz w:val="21"/>
                <w:szCs w:val="21"/>
                <w:lang w:val="en-US" w:eastAsia="zh-CN"/>
              </w:rPr>
              <w:t>牟翠蓉</w:t>
            </w:r>
            <w:r>
              <w:rPr>
                <w:rFonts w:hint="eastAsia" w:ascii="宋体" w:hAnsi="宋体" w:eastAsia="宋体" w:cs="Times New Roman"/>
                <w:sz w:val="21"/>
                <w:szCs w:val="21"/>
                <w:lang w:eastAsia="zh-CN"/>
              </w:rPr>
              <w:t>。制定的指标和管理方案基本可行。</w:t>
            </w:r>
          </w:p>
        </w:tc>
        <w:tc>
          <w:tcPr>
            <w:tcW w:w="1585" w:type="dxa"/>
            <w:vAlign w:val="top"/>
          </w:tcPr>
          <w:p>
            <w:pPr>
              <w:spacing w:line="360" w:lineRule="auto"/>
              <w:rPr>
                <w:rFonts w:ascii="Times New Roman" w:hAnsi="Times New Roman" w:eastAsia="宋体" w:cs="Times New Roman"/>
                <w:kern w:val="2"/>
                <w:sz w:val="21"/>
                <w:lang w:val="en-US" w:eastAsia="zh-CN" w:bidi="ar-SA"/>
              </w:rPr>
            </w:pPr>
            <w: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spacing w:line="360" w:lineRule="auto"/>
              <w:rPr>
                <w:rFonts w:hint="eastAsia" w:asciiTheme="minorEastAsia" w:hAnsiTheme="minorEastAsia" w:eastAsiaTheme="minorEastAsia" w:cstheme="minorEastAsia"/>
                <w:bCs/>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危险源辨识、风险评估及控制措施</w:t>
            </w:r>
          </w:p>
        </w:tc>
        <w:tc>
          <w:tcPr>
            <w:tcW w:w="960" w:type="dxa"/>
            <w:vAlign w:val="top"/>
          </w:tcPr>
          <w:p>
            <w:pPr>
              <w:spacing w:line="360" w:lineRule="auto"/>
              <w:rPr>
                <w:rFonts w:hint="eastAsia" w:asciiTheme="minorEastAsia" w:hAnsiTheme="minorEastAsia" w:eastAsiaTheme="minorEastAsia" w:cstheme="minorEastAsia"/>
                <w:bCs/>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O:6.1.2</w:t>
            </w:r>
          </w:p>
        </w:tc>
        <w:tc>
          <w:tcPr>
            <w:tcW w:w="10004" w:type="dxa"/>
            <w:vAlign w:val="top"/>
          </w:tcPr>
          <w:p>
            <w:pPr>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编制《危险源辨别和风险评价控制程序》等程序，按照相关程序执行</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提供《危险源辨识与风险评价》，识别了</w:t>
            </w:r>
            <w:r>
              <w:rPr>
                <w:rFonts w:hint="eastAsia" w:ascii="宋体" w:hAnsi="宋体" w:cs="Times New Roman" w:eastAsiaTheme="minorEastAsia"/>
                <w:szCs w:val="21"/>
                <w:lang w:eastAsia="zh-CN"/>
              </w:rPr>
              <w:t>出版物专项排版、制版、装订；出版物、包装装潢印刷品、其他印刷品数字印刷</w:t>
            </w:r>
            <w:r>
              <w:rPr>
                <w:rFonts w:hint="eastAsia" w:ascii="宋体" w:hAnsi="宋体" w:cs="Times New Roman"/>
                <w:szCs w:val="21"/>
              </w:rPr>
              <w:t>过程</w:t>
            </w:r>
            <w:r>
              <w:rPr>
                <w:rFonts w:hint="eastAsia" w:ascii="宋体" w:hAnsi="宋体" w:cs="Times New Roman"/>
                <w:szCs w:val="21"/>
                <w:lang w:val="en-US" w:eastAsia="zh-CN"/>
              </w:rPr>
              <w:t>等</w:t>
            </w:r>
            <w:r>
              <w:rPr>
                <w:rFonts w:hint="eastAsia" w:asciiTheme="minorEastAsia" w:hAnsiTheme="minorEastAsia" w:eastAsiaTheme="minorEastAsia" w:cstheme="minorEastAsia"/>
                <w:sz w:val="21"/>
                <w:szCs w:val="21"/>
                <w:highlight w:val="none"/>
                <w:lang w:val="en-US" w:eastAsia="zh-CN"/>
              </w:rPr>
              <w:t>危险源，</w:t>
            </w:r>
            <w:r>
              <w:rPr>
                <w:rFonts w:hint="eastAsia" w:ascii="宋体" w:hAnsi="宋体" w:cs="宋体"/>
                <w:szCs w:val="21"/>
              </w:rPr>
              <w:t>采用的是经验判断法、过程分析法识别</w:t>
            </w:r>
            <w:r>
              <w:rPr>
                <w:rFonts w:hint="eastAsia" w:ascii="宋体" w:hAnsi="宋体" w:cs="宋体"/>
                <w:szCs w:val="21"/>
                <w:lang w:eastAsia="zh-CN"/>
              </w:rPr>
              <w:t>，</w:t>
            </w:r>
            <w:r>
              <w:rPr>
                <w:rFonts w:hint="eastAsia" w:asciiTheme="minorEastAsia" w:hAnsiTheme="minorEastAsia" w:eastAsiaTheme="minorEastAsia" w:cstheme="minorEastAsia"/>
                <w:sz w:val="21"/>
                <w:szCs w:val="21"/>
                <w:highlight w:val="none"/>
                <w:lang w:val="en-US" w:eastAsia="zh-CN"/>
              </w:rPr>
              <w:t>抽查如下：</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作业活动危险源</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 xml:space="preserve">   导致的后果</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设备漏电</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 xml:space="preserve">       触电</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设备运转噪声</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 xml:space="preserve">    听力伤害</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设备安装不稳</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 xml:space="preserve">    机械伤害</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粉/烟尘吸入</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 xml:space="preserve">    人体伤害</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设备运转噪声</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 xml:space="preserve">    听力伤害</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设备安装不稳</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 xml:space="preserve">    机械伤害</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设备违规使用</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 xml:space="preserve">    烫伤</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未佩戴劳保用品</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 xml:space="preserve">    烫伤</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违规操作</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 xml:space="preserve">       火灾，触电</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工具夹伤</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 xml:space="preserve">       肢体夹伤</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人员操作违规</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 xml:space="preserve">    人体伤害</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搬运零散物件未佩戴防护用品</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落物伤人</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叉车压伤、碰伤</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 xml:space="preserve">        机械伤害</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检查人员未正确佩戴防护用品</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落物伤人</w:t>
            </w:r>
          </w:p>
          <w:p>
            <w:pPr>
              <w:pStyle w:val="2"/>
              <w:spacing w:line="360" w:lineRule="auto"/>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见《不可接受危险源清单》，潜在火灾和爆炸、触电事故、意外伤害。</w:t>
            </w:r>
          </w:p>
          <w:p>
            <w:pPr>
              <w:pStyle w:val="2"/>
              <w:spacing w:line="360" w:lineRule="auto"/>
              <w:rPr>
                <w:rFonts w:hint="eastAsia" w:asciiTheme="minorEastAsia" w:hAnsiTheme="minorEastAsia" w:eastAsiaTheme="minorEastAsia" w:cstheme="minorEastAsia"/>
                <w:bCs/>
                <w:spacing w:val="10"/>
                <w:kern w:val="2"/>
                <w:sz w:val="21"/>
                <w:szCs w:val="21"/>
                <w:highlight w:val="none"/>
                <w:lang w:val="en-US" w:eastAsia="zh-CN" w:bidi="ar-SA"/>
              </w:rPr>
            </w:pPr>
            <w:r>
              <w:rPr>
                <w:rFonts w:hint="eastAsia" w:asciiTheme="minorEastAsia" w:hAnsiTheme="minorEastAsia" w:eastAsiaTheme="minorEastAsia" w:cstheme="minorEastAsia"/>
                <w:bCs w:val="0"/>
                <w:spacing w:val="0"/>
                <w:kern w:val="2"/>
                <w:sz w:val="21"/>
                <w:szCs w:val="21"/>
                <w:highlight w:val="none"/>
                <w:lang w:val="en-US" w:eastAsia="zh-CN" w:bidi="ar-SA"/>
              </w:rPr>
              <w:t>以上不可接受风险清单中制定了针对性控制措施，措施基本有效。</w:t>
            </w:r>
          </w:p>
        </w:tc>
        <w:tc>
          <w:tcPr>
            <w:tcW w:w="1585" w:type="dxa"/>
            <w:vAlign w:val="top"/>
          </w:tcPr>
          <w:p>
            <w:pPr>
              <w:spacing w:line="360" w:lineRule="auto"/>
              <w:rPr>
                <w:rFonts w:ascii="Times New Roman" w:hAnsi="Times New Roman" w:eastAsia="宋体" w:cs="Times New Roman"/>
                <w:kern w:val="2"/>
                <w:sz w:val="21"/>
                <w:lang w:val="en-US" w:eastAsia="zh-CN" w:bidi="ar-SA"/>
              </w:rPr>
            </w:pPr>
            <w: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center"/>
          </w:tcPr>
          <w:p>
            <w:pPr>
              <w:spacing w:line="360" w:lineRule="auto"/>
              <w:rPr>
                <w:rFonts w:hint="eastAsia" w:asciiTheme="minorEastAsia" w:hAnsiTheme="minorEastAsia" w:eastAsiaTheme="minorEastAsia" w:cstheme="minorEastAsia"/>
                <w:kern w:val="2"/>
                <w:sz w:val="21"/>
                <w:szCs w:val="21"/>
                <w:highlight w:val="none"/>
                <w:lang w:val="en-US" w:eastAsia="zh-CN" w:bidi="ar-SA"/>
              </w:rPr>
            </w:pPr>
            <w:r>
              <w:rPr>
                <w:rFonts w:hint="eastAsia" w:ascii="楷体" w:hAnsi="楷体" w:eastAsia="楷体" w:cs="Arial"/>
                <w:sz w:val="24"/>
                <w:szCs w:val="24"/>
              </w:rPr>
              <w:t>运行策划和控制、</w:t>
            </w:r>
          </w:p>
        </w:tc>
        <w:tc>
          <w:tcPr>
            <w:tcW w:w="960" w:type="dxa"/>
            <w:vAlign w:val="center"/>
          </w:tcPr>
          <w:p>
            <w:pPr>
              <w:spacing w:line="360" w:lineRule="auto"/>
              <w:rPr>
                <w:rFonts w:hint="eastAsia" w:asciiTheme="minorEastAsia" w:hAnsiTheme="minorEastAsia" w:eastAsiaTheme="minorEastAsia" w:cstheme="minorEastAsia"/>
                <w:kern w:val="2"/>
                <w:sz w:val="21"/>
                <w:szCs w:val="21"/>
                <w:highlight w:val="none"/>
                <w:lang w:val="en-US" w:eastAsia="zh-CN" w:bidi="ar-SA"/>
              </w:rPr>
            </w:pPr>
            <w:r>
              <w:rPr>
                <w:rFonts w:hint="eastAsia" w:ascii="楷体" w:hAnsi="楷体" w:eastAsia="楷体" w:cs="楷体"/>
                <w:bCs/>
                <w:sz w:val="24"/>
                <w:szCs w:val="24"/>
              </w:rPr>
              <w:t>E</w:t>
            </w:r>
            <w:r>
              <w:rPr>
                <w:rFonts w:hint="eastAsia" w:ascii="楷体" w:hAnsi="楷体" w:eastAsia="楷体" w:cs="楷体"/>
                <w:bCs/>
                <w:sz w:val="24"/>
                <w:szCs w:val="24"/>
                <w:lang w:val="en-US" w:eastAsia="zh-CN"/>
              </w:rPr>
              <w:t>0</w:t>
            </w:r>
            <w:r>
              <w:rPr>
                <w:rFonts w:hint="eastAsia" w:ascii="楷体" w:hAnsi="楷体" w:eastAsia="楷体" w:cs="Arial"/>
                <w:sz w:val="24"/>
                <w:szCs w:val="24"/>
              </w:rPr>
              <w:t>8.1</w:t>
            </w:r>
            <w:r>
              <w:rPr>
                <w:rFonts w:hint="eastAsia" w:ascii="楷体" w:hAnsi="楷体" w:eastAsia="楷体" w:cs="楷体"/>
                <w:sz w:val="24"/>
                <w:szCs w:val="24"/>
              </w:rPr>
              <w:t xml:space="preserve">  </w:t>
            </w:r>
          </w:p>
        </w:tc>
        <w:tc>
          <w:tcPr>
            <w:tcW w:w="10004" w:type="dxa"/>
            <w:vAlign w:val="center"/>
          </w:tcPr>
          <w:p>
            <w:pPr>
              <w:spacing w:line="360" w:lineRule="auto"/>
              <w:rPr>
                <w:rFonts w:hint="eastAsia"/>
                <w:sz w:val="21"/>
                <w:szCs w:val="21"/>
              </w:rPr>
            </w:pPr>
            <w:r>
              <w:rPr>
                <w:rFonts w:hint="eastAsia"/>
                <w:sz w:val="21"/>
                <w:szCs w:val="21"/>
              </w:rPr>
              <w:t>编制与环境体系运行控制有关的文件有《运行控制程序》、安全管理制度、劳动用品管理规定、节能管理制度、固体废弃物管理规定、《应急准备和响应管理程序》、《应急预案》等。</w:t>
            </w:r>
          </w:p>
          <w:p>
            <w:pPr>
              <w:spacing w:line="360" w:lineRule="auto"/>
              <w:rPr>
                <w:rFonts w:hint="default" w:eastAsia="宋体"/>
                <w:sz w:val="21"/>
                <w:szCs w:val="21"/>
                <w:lang w:val="en-US" w:eastAsia="zh-CN"/>
              </w:rPr>
            </w:pPr>
            <w:r>
              <w:rPr>
                <w:rFonts w:hint="eastAsia"/>
                <w:sz w:val="21"/>
                <w:szCs w:val="21"/>
              </w:rPr>
              <w:t>1、废水管控：</w:t>
            </w:r>
            <w:r>
              <w:rPr>
                <w:rFonts w:hint="eastAsia"/>
                <w:sz w:val="21"/>
                <w:szCs w:val="21"/>
                <w:lang w:eastAsia="zh-CN"/>
              </w:rPr>
              <w:t>出版物专项排版、制版、装订；出版物、包装装潢印刷品、其他印刷品数字印刷</w:t>
            </w:r>
            <w:r>
              <w:rPr>
                <w:rFonts w:hint="eastAsia"/>
                <w:sz w:val="21"/>
                <w:szCs w:val="21"/>
                <w:lang w:val="en-US" w:eastAsia="zh-CN"/>
              </w:rPr>
              <w:t>中，无废水产生，主要为生活废水，经物业大楼化粪池统一处理；</w:t>
            </w:r>
          </w:p>
          <w:p>
            <w:pPr>
              <w:spacing w:line="360" w:lineRule="auto"/>
              <w:rPr>
                <w:rFonts w:hint="eastAsia"/>
                <w:color w:val="000000"/>
                <w:spacing w:val="0"/>
                <w:w w:val="100"/>
                <w:position w:val="0"/>
                <w:sz w:val="21"/>
                <w:szCs w:val="21"/>
                <w:lang w:eastAsia="zh-CN"/>
              </w:rPr>
            </w:pPr>
            <w:r>
              <w:rPr>
                <w:rFonts w:hint="eastAsia"/>
                <w:color w:val="000000"/>
                <w:spacing w:val="0"/>
                <w:w w:val="100"/>
                <w:position w:val="0"/>
                <w:sz w:val="21"/>
                <w:szCs w:val="21"/>
                <w:lang w:eastAsia="zh-CN"/>
              </w:rPr>
              <w:drawing>
                <wp:anchor distT="0" distB="0" distL="114300" distR="114300" simplePos="0" relativeHeight="251666432" behindDoc="0" locked="0" layoutInCell="1" allowOverlap="1">
                  <wp:simplePos x="0" y="0"/>
                  <wp:positionH relativeFrom="column">
                    <wp:posOffset>2165350</wp:posOffset>
                  </wp:positionH>
                  <wp:positionV relativeFrom="paragraph">
                    <wp:posOffset>365760</wp:posOffset>
                  </wp:positionV>
                  <wp:extent cx="2347595" cy="1760220"/>
                  <wp:effectExtent l="0" t="0" r="1905" b="5080"/>
                  <wp:wrapNone/>
                  <wp:docPr id="32" name="图片 32" descr="aee5499163b6112c27e3423d3a97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ee5499163b6112c27e3423d3a977cb"/>
                          <pic:cNvPicPr>
                            <a:picLocks noChangeAspect="1"/>
                          </pic:cNvPicPr>
                        </pic:nvPicPr>
                        <pic:blipFill>
                          <a:blip r:embed="rId27"/>
                          <a:stretch>
                            <a:fillRect/>
                          </a:stretch>
                        </pic:blipFill>
                        <pic:spPr>
                          <a:xfrm>
                            <a:off x="0" y="0"/>
                            <a:ext cx="2347595" cy="1760220"/>
                          </a:xfrm>
                          <a:prstGeom prst="rect">
                            <a:avLst/>
                          </a:prstGeom>
                        </pic:spPr>
                      </pic:pic>
                    </a:graphicData>
                  </a:graphic>
                </wp:anchor>
              </w:drawing>
            </w:r>
            <w:r>
              <w:rPr>
                <w:rFonts w:hint="eastAsia"/>
                <w:sz w:val="21"/>
                <w:szCs w:val="21"/>
              </w:rPr>
              <w:t>2、废气管控：</w:t>
            </w:r>
            <w:r>
              <w:rPr>
                <w:color w:val="000000"/>
                <w:spacing w:val="0"/>
                <w:w w:val="100"/>
                <w:position w:val="0"/>
                <w:sz w:val="21"/>
                <w:szCs w:val="21"/>
              </w:rPr>
              <w:t>在</w:t>
            </w:r>
            <w:r>
              <w:rPr>
                <w:rFonts w:hint="eastAsia"/>
                <w:color w:val="000000"/>
                <w:spacing w:val="0"/>
                <w:w w:val="100"/>
                <w:position w:val="0"/>
                <w:sz w:val="21"/>
                <w:szCs w:val="21"/>
                <w:lang w:val="en-US" w:eastAsia="zh-CN"/>
              </w:rPr>
              <w:t>数码</w:t>
            </w:r>
            <w:r>
              <w:rPr>
                <w:color w:val="000000"/>
                <w:spacing w:val="0"/>
                <w:w w:val="100"/>
                <w:position w:val="0"/>
                <w:sz w:val="21"/>
                <w:szCs w:val="21"/>
              </w:rPr>
              <w:t>印刷</w:t>
            </w:r>
            <w:r>
              <w:rPr>
                <w:rFonts w:hint="eastAsia"/>
                <w:color w:val="000000"/>
                <w:spacing w:val="0"/>
                <w:w w:val="100"/>
                <w:position w:val="0"/>
                <w:sz w:val="21"/>
                <w:szCs w:val="21"/>
                <w:lang w:val="en-US" w:eastAsia="zh-CN"/>
              </w:rPr>
              <w:t>过程中有微量粉尘产生，装订过程有微量气体产品，企业在设备上方加装了通风设备进行收集。设备运行完好</w:t>
            </w:r>
            <w:r>
              <w:rPr>
                <w:rFonts w:hint="eastAsia"/>
                <w:color w:val="000000"/>
                <w:spacing w:val="0"/>
                <w:w w:val="100"/>
                <w:position w:val="0"/>
                <w:sz w:val="21"/>
                <w:szCs w:val="21"/>
                <w:lang w:eastAsia="zh-CN"/>
              </w:rPr>
              <w:t>。</w:t>
            </w: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pStyle w:val="2"/>
              <w:rPr>
                <w:rFonts w:hint="eastAsia"/>
                <w:color w:val="000000"/>
                <w:spacing w:val="0"/>
                <w:w w:val="100"/>
                <w:position w:val="0"/>
                <w:sz w:val="21"/>
                <w:szCs w:val="21"/>
                <w:lang w:eastAsia="zh-CN"/>
              </w:rPr>
            </w:pPr>
          </w:p>
          <w:p>
            <w:pPr>
              <w:spacing w:line="360" w:lineRule="auto"/>
              <w:rPr>
                <w:rFonts w:hint="eastAsia"/>
                <w:sz w:val="21"/>
                <w:szCs w:val="21"/>
              </w:rPr>
            </w:pPr>
            <w:r>
              <w:rPr>
                <w:rFonts w:hint="eastAsia"/>
                <w:sz w:val="21"/>
                <w:szCs w:val="21"/>
              </w:rPr>
              <w:t>3、噪声管控：</w:t>
            </w:r>
          </w:p>
          <w:p>
            <w:pPr>
              <w:spacing w:line="360" w:lineRule="auto"/>
              <w:rPr>
                <w:rFonts w:hint="eastAsia"/>
                <w:sz w:val="21"/>
                <w:szCs w:val="21"/>
              </w:rPr>
            </w:pPr>
            <w:r>
              <w:rPr>
                <w:rFonts w:hint="eastAsia"/>
                <w:sz w:val="21"/>
                <w:szCs w:val="21"/>
              </w:rPr>
              <w:t>生产过程</w:t>
            </w:r>
            <w:r>
              <w:rPr>
                <w:rFonts w:hint="eastAsia" w:ascii="宋体" w:hAnsi="宋体"/>
                <w:sz w:val="21"/>
                <w:szCs w:val="21"/>
                <w:lang w:val="en-US" w:eastAsia="zh-CN"/>
              </w:rPr>
              <w:t>印刷机</w:t>
            </w:r>
            <w:r>
              <w:rPr>
                <w:rFonts w:hint="eastAsia"/>
                <w:sz w:val="21"/>
                <w:szCs w:val="21"/>
              </w:rPr>
              <w:t>产生噪声，采取</w:t>
            </w:r>
            <w:r>
              <w:rPr>
                <w:rFonts w:hint="eastAsia"/>
                <w:sz w:val="21"/>
                <w:szCs w:val="21"/>
                <w:lang w:val="en-US" w:eastAsia="zh-CN"/>
              </w:rPr>
              <w:t>车间</w:t>
            </w:r>
            <w:r>
              <w:rPr>
                <w:rFonts w:hint="eastAsia"/>
                <w:sz w:val="21"/>
                <w:szCs w:val="21"/>
              </w:rPr>
              <w:t>内操作和选用低噪声的设备和工具、减震装置，同时加强设备的检查和维保，确保机械设备在正常工况下运行，其他工序基本无噪声。</w:t>
            </w:r>
          </w:p>
          <w:p>
            <w:pPr>
              <w:spacing w:line="360" w:lineRule="auto"/>
              <w:rPr>
                <w:rFonts w:hint="eastAsia" w:ascii="Times New Roman" w:hAnsi="Times New Roman" w:eastAsia="宋体" w:cs="Times New Roman"/>
                <w:sz w:val="21"/>
                <w:szCs w:val="21"/>
              </w:rPr>
            </w:pPr>
            <w:r>
              <w:rPr>
                <w:rFonts w:hint="eastAsia"/>
                <w:color w:val="auto"/>
                <w:sz w:val="21"/>
                <w:szCs w:val="21"/>
              </w:rPr>
              <w:t>4、固废</w:t>
            </w:r>
            <w:r>
              <w:rPr>
                <w:rFonts w:hint="eastAsia" w:ascii="Times New Roman" w:hAnsi="Times New Roman" w:eastAsia="宋体" w:cs="Times New Roman"/>
                <w:sz w:val="21"/>
                <w:szCs w:val="21"/>
              </w:rPr>
              <w:t>管控：</w:t>
            </w:r>
          </w:p>
          <w:p>
            <w:pPr>
              <w:pStyle w:val="2"/>
              <w:spacing w:line="360" w:lineRule="auto"/>
              <w:rPr>
                <w:rFonts w:hint="default" w:eastAsia="宋体"/>
                <w:color w:val="0000FF"/>
                <w:sz w:val="21"/>
                <w:szCs w:val="21"/>
                <w:lang w:val="en-US" w:eastAsia="zh-CN"/>
              </w:rPr>
            </w:pPr>
            <w:r>
              <w:rPr>
                <w:rFonts w:hint="eastAsia"/>
                <w:color w:val="0000FF"/>
                <w:sz w:val="21"/>
                <w:szCs w:val="21"/>
                <w:lang w:val="en-US" w:eastAsia="zh-CN"/>
              </w:rPr>
              <w:t>一般固废：</w:t>
            </w:r>
            <w:r>
              <w:rPr>
                <w:rFonts w:hint="eastAsia"/>
                <w:color w:val="0000FF"/>
                <w:spacing w:val="0"/>
                <w:w w:val="100"/>
                <w:position w:val="0"/>
                <w:sz w:val="21"/>
                <w:szCs w:val="21"/>
                <w:lang w:val="en-US" w:eastAsia="zh-CN"/>
              </w:rPr>
              <w:t>裁切</w:t>
            </w:r>
            <w:r>
              <w:rPr>
                <w:color w:val="0000FF"/>
                <w:spacing w:val="0"/>
                <w:w w:val="100"/>
                <w:position w:val="0"/>
                <w:sz w:val="21"/>
                <w:szCs w:val="21"/>
              </w:rPr>
              <w:t>工序会产生一定量的</w:t>
            </w:r>
            <w:r>
              <w:rPr>
                <w:rFonts w:hint="eastAsia"/>
                <w:color w:val="0000FF"/>
                <w:spacing w:val="0"/>
                <w:w w:val="100"/>
                <w:position w:val="0"/>
                <w:sz w:val="21"/>
                <w:szCs w:val="21"/>
                <w:lang w:val="en-US" w:eastAsia="zh-CN"/>
              </w:rPr>
              <w:t>边角料废纸</w:t>
            </w:r>
            <w:r>
              <w:rPr>
                <w:rFonts w:hint="eastAsia" w:ascii="宋体" w:hAnsi="宋体"/>
                <w:color w:val="0000FF"/>
                <w:sz w:val="21"/>
                <w:szCs w:val="21"/>
                <w:lang w:val="en-US" w:eastAsia="zh-CN"/>
              </w:rPr>
              <w:t>，</w:t>
            </w:r>
            <w:r>
              <w:rPr>
                <w:color w:val="0000FF"/>
                <w:spacing w:val="0"/>
                <w:w w:val="100"/>
                <w:position w:val="0"/>
                <w:sz w:val="21"/>
                <w:szCs w:val="21"/>
              </w:rPr>
              <w:t>统一收集</w:t>
            </w:r>
            <w:bookmarkStart w:id="0" w:name="_GoBack"/>
            <w:bookmarkEnd w:id="0"/>
            <w:r>
              <w:rPr>
                <w:color w:val="0000FF"/>
                <w:spacing w:val="0"/>
                <w:w w:val="100"/>
                <w:position w:val="0"/>
                <w:sz w:val="21"/>
                <w:szCs w:val="21"/>
              </w:rPr>
              <w:t>后交由资源回收单位回收利用；项目质检工序会产生一定量的次品，统一收集后交由资源回收单位回收利用</w:t>
            </w:r>
            <w:r>
              <w:rPr>
                <w:rFonts w:hint="eastAsia"/>
                <w:color w:val="0000FF"/>
                <w:spacing w:val="0"/>
                <w:w w:val="100"/>
                <w:position w:val="0"/>
                <w:sz w:val="21"/>
                <w:szCs w:val="21"/>
                <w:lang w:eastAsia="zh-CN"/>
              </w:rPr>
              <w:t>。</w:t>
            </w:r>
            <w:r>
              <w:rPr>
                <w:rFonts w:hint="eastAsia"/>
                <w:color w:val="0000FF"/>
                <w:spacing w:val="0"/>
                <w:w w:val="100"/>
                <w:position w:val="0"/>
                <w:sz w:val="21"/>
                <w:szCs w:val="21"/>
                <w:lang w:val="en-US" w:eastAsia="zh-CN"/>
              </w:rPr>
              <w:t>数码印刷未产生危险废弃物，产生的废墨盒由供应商回收再利用，晒版过程交由供应商甘肃澳翔印业有限公司进行加工生产，产生的废水由供应商统一处理，查看甘肃澳翔印业有限公司的危废处理合同，以及处理记录，能够满足要求。</w:t>
            </w:r>
          </w:p>
          <w:p>
            <w:pPr>
              <w:pStyle w:val="2"/>
              <w:spacing w:line="360" w:lineRule="auto"/>
              <w:rPr>
                <w:rFonts w:hint="eastAsia" w:eastAsia="宋体"/>
                <w:color w:val="0000FF"/>
                <w:spacing w:val="0"/>
                <w:w w:val="100"/>
                <w:position w:val="0"/>
                <w:sz w:val="21"/>
                <w:szCs w:val="21"/>
                <w:lang w:val="en-US" w:eastAsia="zh-CN"/>
              </w:rPr>
            </w:pPr>
            <w:r>
              <w:rPr>
                <w:rFonts w:hint="eastAsia"/>
                <w:color w:val="0000FF"/>
                <w:sz w:val="21"/>
                <w:szCs w:val="21"/>
                <w:lang w:val="en-US" w:eastAsia="zh-CN"/>
              </w:rPr>
              <w:t>生活垃圾：</w:t>
            </w:r>
            <w:r>
              <w:rPr>
                <w:color w:val="0000FF"/>
                <w:spacing w:val="0"/>
                <w:w w:val="100"/>
                <w:position w:val="0"/>
                <w:sz w:val="21"/>
                <w:szCs w:val="21"/>
              </w:rPr>
              <w:t>员工生活垃圾收集分类后交由</w:t>
            </w:r>
            <w:r>
              <w:rPr>
                <w:rFonts w:hint="eastAsia"/>
                <w:color w:val="0000FF"/>
                <w:spacing w:val="0"/>
                <w:w w:val="100"/>
                <w:position w:val="0"/>
                <w:sz w:val="21"/>
                <w:szCs w:val="21"/>
                <w:lang w:val="en-US" w:eastAsia="zh-CN"/>
              </w:rPr>
              <w:t>物业</w:t>
            </w:r>
            <w:r>
              <w:rPr>
                <w:color w:val="0000FF"/>
                <w:spacing w:val="0"/>
                <w:w w:val="100"/>
                <w:position w:val="0"/>
                <w:sz w:val="21"/>
                <w:szCs w:val="21"/>
              </w:rPr>
              <w:t>清运处理</w:t>
            </w:r>
            <w:r>
              <w:rPr>
                <w:rFonts w:hint="eastAsia"/>
                <w:color w:val="0000FF"/>
                <w:spacing w:val="0"/>
                <w:w w:val="100"/>
                <w:position w:val="0"/>
                <w:sz w:val="21"/>
                <w:szCs w:val="21"/>
                <w:lang w:eastAsia="zh-CN"/>
              </w:rPr>
              <w:t>。</w:t>
            </w:r>
          </w:p>
          <w:p>
            <w:pPr>
              <w:spacing w:line="360" w:lineRule="auto"/>
              <w:rPr>
                <w:rFonts w:hint="eastAsia"/>
                <w:sz w:val="21"/>
                <w:szCs w:val="21"/>
              </w:rPr>
            </w:pPr>
            <w:r>
              <w:rPr>
                <w:rFonts w:hint="eastAsia"/>
                <w:sz w:val="21"/>
                <w:szCs w:val="21"/>
              </w:rPr>
              <w:t>能源资源管控：</w:t>
            </w:r>
          </w:p>
          <w:p>
            <w:pPr>
              <w:spacing w:line="360" w:lineRule="auto"/>
              <w:rPr>
                <w:rFonts w:hint="eastAsia"/>
                <w:sz w:val="21"/>
                <w:szCs w:val="21"/>
              </w:rPr>
            </w:pPr>
            <w:r>
              <w:rPr>
                <w:rFonts w:hint="eastAsia"/>
                <w:sz w:val="21"/>
                <w:szCs w:val="21"/>
              </w:rPr>
              <w:t>生产过程注意节水、节电，人走关闭设备和照明开关，现场未发现有漏水和浪费电能的现象。</w:t>
            </w:r>
          </w:p>
          <w:p>
            <w:pPr>
              <w:spacing w:line="360" w:lineRule="auto"/>
              <w:rPr>
                <w:rFonts w:hint="eastAsia"/>
                <w:sz w:val="21"/>
                <w:szCs w:val="21"/>
              </w:rPr>
            </w:pPr>
            <w:r>
              <w:rPr>
                <w:rFonts w:hint="eastAsia"/>
                <w:sz w:val="21"/>
                <w:szCs w:val="21"/>
              </w:rPr>
              <w:t>6、产品生命周期的环境管控：</w:t>
            </w:r>
          </w:p>
          <w:p>
            <w:pPr>
              <w:spacing w:line="360" w:lineRule="auto"/>
              <w:rPr>
                <w:rFonts w:hint="eastAsia"/>
                <w:sz w:val="21"/>
                <w:szCs w:val="21"/>
              </w:rPr>
            </w:pPr>
            <w:r>
              <w:rPr>
                <w:rFonts w:hint="eastAsia"/>
                <w:sz w:val="21"/>
                <w:szCs w:val="21"/>
              </w:rPr>
              <w:t>公司从工艺设计和采购产品时已考虑了产品的环保性，生产过程中，严格按照环保等管理制度实施，控制好辅助材料的用量，避免浪费，生命周期终了时</w:t>
            </w:r>
            <w:r>
              <w:rPr>
                <w:rFonts w:hint="eastAsia"/>
                <w:sz w:val="21"/>
                <w:szCs w:val="21"/>
                <w:lang w:val="en-US" w:eastAsia="zh-CN"/>
              </w:rPr>
              <w:t>原料</w:t>
            </w:r>
            <w:r>
              <w:rPr>
                <w:rFonts w:hint="eastAsia"/>
                <w:sz w:val="21"/>
                <w:szCs w:val="21"/>
              </w:rPr>
              <w:t>还可以回收再利用。</w:t>
            </w:r>
          </w:p>
          <w:p>
            <w:pPr>
              <w:tabs>
                <w:tab w:val="left" w:pos="1080"/>
              </w:tabs>
              <w:spacing w:line="360" w:lineRule="auto"/>
            </w:pPr>
            <w:r>
              <w:rPr>
                <w:rFonts w:hint="eastAsia"/>
              </w:rPr>
              <w:t>在</w:t>
            </w:r>
            <w:r>
              <w:rPr>
                <w:rFonts w:hint="eastAsia"/>
                <w:lang w:eastAsia="zh-CN"/>
              </w:rPr>
              <w:t>生产部</w:t>
            </w:r>
            <w:r>
              <w:rPr>
                <w:rFonts w:hint="eastAsia"/>
              </w:rPr>
              <w:t>查看，提供有</w:t>
            </w:r>
            <w:r>
              <w:rPr>
                <w:rFonts w:hint="eastAsia"/>
                <w:lang w:eastAsia="zh-CN"/>
              </w:rPr>
              <w:t>出版物专项排版、制版、装订；出版物、包装装潢印刷品、其他印刷品数字印刷</w:t>
            </w:r>
            <w:r>
              <w:rPr>
                <w:rFonts w:hint="eastAsia"/>
                <w:lang w:val="en-US" w:eastAsia="zh-CN"/>
              </w:rPr>
              <w:t>过程职业健康控制情况</w:t>
            </w:r>
            <w:r>
              <w:rPr>
                <w:rFonts w:hint="eastAsia"/>
              </w:rPr>
              <w:t>。</w:t>
            </w:r>
          </w:p>
          <w:p>
            <w:pPr>
              <w:spacing w:line="360" w:lineRule="auto"/>
            </w:pPr>
            <w:r>
              <w:rPr>
                <w:rFonts w:hint="eastAsia"/>
              </w:rPr>
              <w:t>现场查看，</w:t>
            </w:r>
            <w:r>
              <w:rPr>
                <w:rFonts w:hint="eastAsia"/>
                <w:lang w:eastAsia="zh-CN"/>
              </w:rPr>
              <w:t>生产部</w:t>
            </w:r>
            <w:r>
              <w:rPr>
                <w:rFonts w:hint="eastAsia"/>
              </w:rPr>
              <w:t>的不可接受风险为：</w:t>
            </w:r>
            <w:r>
              <w:rPr>
                <w:rFonts w:hint="eastAsia"/>
                <w:lang w:val="en-US" w:eastAsia="zh-CN"/>
              </w:rPr>
              <w:t>潜在火灾和爆炸、触电事故、意外伤害</w:t>
            </w:r>
            <w:r>
              <w:rPr>
                <w:rFonts w:hint="eastAsia"/>
              </w:rPr>
              <w:t>。</w:t>
            </w:r>
          </w:p>
          <w:p>
            <w:pPr>
              <w:spacing w:line="360" w:lineRule="auto"/>
              <w:rPr>
                <w:rFonts w:hint="eastAsia"/>
              </w:rPr>
            </w:pPr>
            <w:r>
              <w:rPr>
                <w:rFonts w:hint="eastAsia"/>
                <w:lang w:eastAsia="zh-CN"/>
              </w:rPr>
              <w:t>生产部</w:t>
            </w:r>
            <w:r>
              <w:rPr>
                <w:rFonts w:hint="eastAsia"/>
              </w:rPr>
              <w:t>制订了相关的危险源防护、管理措施，如《应急准备和响应控制程序》、《消防安全管理</w:t>
            </w:r>
            <w:r>
              <w:rPr>
                <w:rFonts w:hint="eastAsia"/>
                <w:lang w:val="en-US" w:eastAsia="zh-CN"/>
              </w:rPr>
              <w:t>制度</w:t>
            </w:r>
            <w:r>
              <w:rPr>
                <w:rFonts w:hint="eastAsia"/>
              </w:rPr>
              <w:t>》等：</w:t>
            </w:r>
          </w:p>
          <w:p>
            <w:pPr>
              <w:spacing w:line="360" w:lineRule="auto"/>
              <w:rPr>
                <w:rFonts w:hint="eastAsia"/>
              </w:rPr>
            </w:pPr>
            <w:r>
              <w:rPr>
                <w:rFonts w:hint="eastAsia"/>
              </w:rPr>
              <w:t>1、触电风险管理：</w:t>
            </w:r>
          </w:p>
          <w:p>
            <w:pPr>
              <w:spacing w:line="360" w:lineRule="auto"/>
              <w:ind w:firstLine="420" w:firstLineChars="200"/>
              <w:rPr>
                <w:rFonts w:hint="default"/>
                <w:lang w:val="en-US" w:eastAsia="zh-CN"/>
              </w:rPr>
            </w:pPr>
            <w:r>
              <w:rPr>
                <w:rFonts w:hint="eastAsia"/>
              </w:rPr>
              <w:t>现场查看，公司规定了安全供电的管理要求，所有电气设备定期进行维护，公司定期对线路、操作柄等进行安全检查，发现问题及时进行处理。同时公司对维修、调试过程的用电安全管理进行了培训。</w:t>
            </w:r>
            <w:r>
              <w:rPr>
                <w:rFonts w:hint="eastAsia"/>
                <w:lang w:val="en-US" w:eastAsia="zh-CN"/>
              </w:rPr>
              <w:t>聘请外部有资质的电工进行带点作业维修。</w:t>
            </w:r>
          </w:p>
          <w:p>
            <w:pPr>
              <w:spacing w:line="360" w:lineRule="auto"/>
            </w:pPr>
            <w:r>
              <w:rPr>
                <w:rFonts w:hint="eastAsia"/>
              </w:rPr>
              <w:t>现场查看，维修场地的电器设备、电缆、配电设施完好，设置规范，无不符合情况。</w:t>
            </w:r>
          </w:p>
          <w:p>
            <w:pPr>
              <w:spacing w:line="360" w:lineRule="auto"/>
            </w:pPr>
            <w:r>
              <w:rPr>
                <w:rFonts w:hint="eastAsia"/>
              </w:rPr>
              <w:t>2、火灾伤害预防：</w:t>
            </w:r>
          </w:p>
          <w:p>
            <w:pPr>
              <w:spacing w:line="360" w:lineRule="auto"/>
              <w:ind w:firstLine="420" w:firstLineChars="200"/>
            </w:pPr>
            <w:r>
              <w:rPr>
                <w:rFonts w:hint="eastAsia"/>
              </w:rPr>
              <w:t>现场了解：公司制订了火灾预防管理规定、应急管理规定。在楼层、及</w:t>
            </w:r>
            <w:r>
              <w:rPr>
                <w:rFonts w:hint="eastAsia"/>
                <w:lang w:val="en-US" w:eastAsia="zh-CN"/>
              </w:rPr>
              <w:t>车间、仓库</w:t>
            </w:r>
            <w:r>
              <w:rPr>
                <w:rFonts w:hint="eastAsia"/>
              </w:rPr>
              <w:t>所均设置了消防栓、灭火器、消费通道、楼梯等。</w:t>
            </w:r>
          </w:p>
          <w:p>
            <w:pPr>
              <w:spacing w:line="360" w:lineRule="auto"/>
              <w:ind w:firstLine="420" w:firstLineChars="200"/>
            </w:pPr>
            <w:r>
              <w:rPr>
                <w:rFonts w:hint="eastAsia"/>
              </w:rPr>
              <w:t>查，</w:t>
            </w:r>
            <w:r>
              <w:rPr>
                <w:rFonts w:hint="eastAsia"/>
                <w:lang w:eastAsia="zh-CN"/>
              </w:rPr>
              <w:t>生产部</w:t>
            </w:r>
            <w:r>
              <w:rPr>
                <w:rFonts w:hint="eastAsia"/>
              </w:rPr>
              <w:t>员工定期参加</w:t>
            </w:r>
            <w:r>
              <w:rPr>
                <w:rFonts w:hint="eastAsia"/>
                <w:lang w:eastAsia="zh-CN"/>
              </w:rPr>
              <w:t>综合部</w:t>
            </w:r>
            <w:r>
              <w:rPr>
                <w:rFonts w:hint="eastAsia"/>
              </w:rPr>
              <w:t>的消防、应急、逃生培训和演习。</w:t>
            </w:r>
          </w:p>
          <w:p>
            <w:pPr>
              <w:spacing w:line="360" w:lineRule="auto"/>
              <w:ind w:firstLine="420" w:firstLineChars="200"/>
              <w:rPr>
                <w:rFonts w:hint="eastAsia"/>
                <w:lang w:eastAsia="zh-CN"/>
              </w:rPr>
            </w:pPr>
            <w:r>
              <w:rPr>
                <w:rFonts w:hint="eastAsia"/>
              </w:rPr>
              <w:t>现场查看，公司办公地点楼层，消防逃生通道畅通。</w:t>
            </w:r>
          </w:p>
          <w:p>
            <w:pPr>
              <w:spacing w:line="360" w:lineRule="auto"/>
            </w:pPr>
            <w:r>
              <w:rPr>
                <w:rFonts w:hint="eastAsia"/>
              </w:rPr>
              <w:t>现场查看，火灾伤害预防管理基本符合要求。</w:t>
            </w:r>
          </w:p>
          <w:p>
            <w:pPr>
              <w:spacing w:line="360" w:lineRule="auto"/>
            </w:pPr>
            <w:r>
              <w:rPr>
                <w:rFonts w:hint="eastAsia"/>
              </w:rPr>
              <w:t>3、</w:t>
            </w:r>
            <w:r>
              <w:rPr>
                <w:rFonts w:hint="eastAsia"/>
                <w:lang w:val="en-US" w:eastAsia="zh-CN"/>
              </w:rPr>
              <w:t>意外伤害</w:t>
            </w:r>
            <w:r>
              <w:rPr>
                <w:rFonts w:hint="eastAsia"/>
              </w:rPr>
              <w:t>：</w:t>
            </w:r>
          </w:p>
          <w:p>
            <w:pPr>
              <w:spacing w:line="360" w:lineRule="auto"/>
              <w:ind w:firstLine="420" w:firstLineChars="200"/>
            </w:pPr>
            <w:r>
              <w:rPr>
                <w:rFonts w:hint="eastAsia"/>
              </w:rPr>
              <w:t>现场了解：公司制订了人员防护管理规定、应急管理规定。</w:t>
            </w:r>
          </w:p>
          <w:p>
            <w:pPr>
              <w:spacing w:line="360" w:lineRule="auto"/>
              <w:ind w:firstLine="420" w:firstLineChars="200"/>
            </w:pPr>
            <w:r>
              <w:rPr>
                <w:rFonts w:hint="eastAsia"/>
              </w:rPr>
              <w:t>查，</w:t>
            </w:r>
            <w:r>
              <w:rPr>
                <w:rFonts w:hint="eastAsia"/>
                <w:lang w:eastAsia="zh-CN"/>
              </w:rPr>
              <w:t>生产部</w:t>
            </w:r>
            <w:r>
              <w:rPr>
                <w:rFonts w:hint="eastAsia"/>
              </w:rPr>
              <w:t>员工定期参加操作规程的培训。</w:t>
            </w:r>
          </w:p>
          <w:p>
            <w:pPr>
              <w:spacing w:line="360" w:lineRule="auto"/>
              <w:ind w:firstLine="420" w:firstLineChars="200"/>
            </w:pPr>
            <w:r>
              <w:rPr>
                <w:rFonts w:hint="eastAsia"/>
              </w:rPr>
              <w:t>现场查看，员工操作符合要求。</w:t>
            </w:r>
          </w:p>
          <w:p>
            <w:pPr>
              <w:spacing w:line="360" w:lineRule="auto"/>
              <w:ind w:firstLine="420" w:firstLineChars="200"/>
            </w:pPr>
            <w:r>
              <w:rPr>
                <w:rFonts w:hint="eastAsia"/>
              </w:rPr>
              <w:t>现场查看，配置了必备的应急药品，如创口贴、</w:t>
            </w:r>
            <w:r>
              <w:rPr>
                <w:rFonts w:hint="eastAsia"/>
                <w:lang w:val="en-US" w:eastAsia="zh-CN"/>
              </w:rPr>
              <w:t>消毒酒精、藿香正气水</w:t>
            </w:r>
            <w:r>
              <w:rPr>
                <w:rFonts w:hint="eastAsia"/>
              </w:rPr>
              <w:t>等。</w:t>
            </w:r>
          </w:p>
          <w:p>
            <w:pPr>
              <w:spacing w:line="360" w:lineRule="auto"/>
              <w:ind w:firstLine="420" w:firstLineChars="200"/>
              <w:rPr>
                <w:rFonts w:hint="eastAsia"/>
              </w:rPr>
            </w:pPr>
            <w:r>
              <w:rPr>
                <w:rFonts w:hint="eastAsia" w:eastAsia="宋体"/>
                <w:lang w:eastAsia="zh-CN"/>
              </w:rPr>
              <w:drawing>
                <wp:anchor distT="0" distB="0" distL="114300" distR="114300" simplePos="0" relativeHeight="251665408" behindDoc="0" locked="0" layoutInCell="1" allowOverlap="1">
                  <wp:simplePos x="0" y="0"/>
                  <wp:positionH relativeFrom="column">
                    <wp:posOffset>977900</wp:posOffset>
                  </wp:positionH>
                  <wp:positionV relativeFrom="paragraph">
                    <wp:posOffset>264160</wp:posOffset>
                  </wp:positionV>
                  <wp:extent cx="2557145" cy="1918335"/>
                  <wp:effectExtent l="0" t="0" r="8255" b="12065"/>
                  <wp:wrapNone/>
                  <wp:docPr id="39" name="图片 39" descr="0802ea7ac50d938dbd595567790b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802ea7ac50d938dbd595567790b064"/>
                          <pic:cNvPicPr>
                            <a:picLocks noChangeAspect="1"/>
                          </pic:cNvPicPr>
                        </pic:nvPicPr>
                        <pic:blipFill>
                          <a:blip r:embed="rId28"/>
                          <a:stretch>
                            <a:fillRect/>
                          </a:stretch>
                        </pic:blipFill>
                        <pic:spPr>
                          <a:xfrm>
                            <a:off x="0" y="0"/>
                            <a:ext cx="2557145" cy="1918335"/>
                          </a:xfrm>
                          <a:prstGeom prst="rect">
                            <a:avLst/>
                          </a:prstGeom>
                        </pic:spPr>
                      </pic:pic>
                    </a:graphicData>
                  </a:graphic>
                </wp:anchor>
              </w:drawing>
            </w:r>
            <w:r>
              <w:rPr>
                <w:rFonts w:hint="eastAsia"/>
              </w:rPr>
              <w:t>在</w:t>
            </w:r>
            <w:r>
              <w:rPr>
                <w:rFonts w:hint="eastAsia"/>
                <w:lang w:val="en-US" w:eastAsia="zh-CN"/>
              </w:rPr>
              <w:t>生产</w:t>
            </w:r>
            <w:r>
              <w:rPr>
                <w:rFonts w:hint="eastAsia"/>
              </w:rPr>
              <w:t>现场，</w:t>
            </w:r>
            <w:r>
              <w:rPr>
                <w:rFonts w:hint="eastAsia"/>
                <w:lang w:val="en-US" w:eastAsia="zh-CN"/>
              </w:rPr>
              <w:t>生产车间</w:t>
            </w:r>
            <w:r>
              <w:rPr>
                <w:rFonts w:hint="eastAsia"/>
              </w:rPr>
              <w:t>设置有安全警示标识。</w:t>
            </w:r>
          </w:p>
          <w:p>
            <w:pPr>
              <w:pStyle w:val="2"/>
              <w:rPr>
                <w:rFonts w:hint="default"/>
                <w:lang w:val="en-US" w:eastAsia="zh-CN"/>
              </w:rPr>
            </w:pPr>
            <w:r>
              <w:rPr>
                <w:rFonts w:hint="eastAsia"/>
                <w:lang w:val="en-US" w:eastAsia="zh-CN"/>
              </w:rPr>
              <w:t xml:space="preserve"> </w:t>
            </w:r>
          </w:p>
          <w:p>
            <w:pPr>
              <w:pStyle w:val="2"/>
              <w:rPr>
                <w:rFonts w:hint="default" w:eastAsia="宋体"/>
                <w:lang w:val="en-US" w:eastAsia="zh-CN"/>
              </w:rPr>
            </w:pPr>
            <w:r>
              <w:rPr>
                <w:rFonts w:hint="eastAsia"/>
                <w:lang w:val="en-US" w:eastAsia="zh-CN"/>
              </w:rPr>
              <w:t xml:space="preserve"> </w:t>
            </w:r>
          </w:p>
          <w:p>
            <w:pPr>
              <w:pStyle w:val="2"/>
              <w:rPr>
                <w:rFonts w:hint="eastAsia"/>
              </w:rPr>
            </w:pPr>
          </w:p>
          <w:p>
            <w:pPr>
              <w:pStyle w:val="2"/>
              <w:rPr>
                <w:rFonts w:hint="eastAsia"/>
                <w:lang w:eastAsia="zh-CN"/>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lang w:eastAsia="zh-CN"/>
              </w:rPr>
            </w:pPr>
          </w:p>
          <w:p>
            <w:pPr>
              <w:spacing w:line="360" w:lineRule="auto"/>
              <w:ind w:firstLine="420" w:firstLineChars="200"/>
            </w:pPr>
            <w:r>
              <w:rPr>
                <w:rFonts w:hint="eastAsia"/>
              </w:rPr>
              <w:t>4、查现管理</w:t>
            </w:r>
            <w:r>
              <w:rPr>
                <w:rFonts w:hint="eastAsia"/>
                <w:lang w:val="en-US" w:eastAsia="zh-CN"/>
              </w:rPr>
              <w:t>管理</w:t>
            </w:r>
            <w:r>
              <w:rPr>
                <w:rFonts w:hint="eastAsia"/>
              </w:rPr>
              <w:t>：</w:t>
            </w:r>
          </w:p>
          <w:p>
            <w:pPr>
              <w:spacing w:line="360" w:lineRule="auto"/>
              <w:ind w:firstLine="420" w:firstLineChars="200"/>
              <w:rPr>
                <w:rFonts w:hint="eastAsia"/>
              </w:rPr>
            </w:pPr>
            <w:r>
              <w:rPr>
                <w:rFonts w:hint="eastAsia"/>
              </w:rPr>
              <w:t>现场查看，在设备</w:t>
            </w:r>
            <w:r>
              <w:rPr>
                <w:rFonts w:hint="eastAsia"/>
                <w:lang w:val="en-US" w:eastAsia="zh-CN"/>
              </w:rPr>
              <w:t>操作</w:t>
            </w:r>
            <w:r>
              <w:rPr>
                <w:rFonts w:hint="eastAsia"/>
              </w:rPr>
              <w:t>员工均佩</w:t>
            </w:r>
            <w:r>
              <w:rPr>
                <w:rFonts w:hint="eastAsia"/>
                <w:lang w:val="en-US" w:eastAsia="zh-CN"/>
              </w:rPr>
              <w:t>手套</w:t>
            </w:r>
            <w:r>
              <w:rPr>
                <w:rFonts w:hint="eastAsia"/>
              </w:rPr>
              <w:t>等措施，避免操作</w:t>
            </w:r>
            <w:r>
              <w:rPr>
                <w:rFonts w:hint="eastAsia"/>
                <w:lang w:val="en-US" w:eastAsia="zh-CN"/>
              </w:rPr>
              <w:t>意外伤害</w:t>
            </w:r>
            <w:r>
              <w:rPr>
                <w:rFonts w:hint="eastAsia"/>
              </w:rPr>
              <w:t>。</w:t>
            </w:r>
          </w:p>
          <w:p>
            <w:pPr>
              <w:pStyle w:val="2"/>
              <w:rPr>
                <w:rFonts w:hint="eastAsia" w:ascii="宋体" w:hAnsi="宋体"/>
                <w:szCs w:val="21"/>
                <w:lang w:val="en-US" w:eastAsia="zh-CN"/>
              </w:rPr>
            </w:pPr>
            <w:r>
              <w:rPr>
                <w:rFonts w:hint="eastAsia" w:ascii="宋体" w:hAnsi="宋体"/>
                <w:szCs w:val="21"/>
                <w:lang w:val="en-US" w:eastAsia="zh-CN"/>
              </w:rPr>
              <w:t>查看了2022年以及2023年2月份劳保用品发放记录，口罩、洗手液、工服、手套等。</w:t>
            </w:r>
          </w:p>
          <w:p>
            <w:pPr>
              <w:pStyle w:val="2"/>
              <w:rPr>
                <w:rFonts w:hint="eastAsia" w:ascii="宋体" w:hAnsi="宋体"/>
                <w:szCs w:val="21"/>
                <w:lang w:val="en-US" w:eastAsia="zh-CN"/>
              </w:rPr>
            </w:pPr>
            <w:r>
              <w:rPr>
                <w:rFonts w:hint="eastAsia" w:ascii="宋体" w:hAnsi="宋体"/>
                <w:szCs w:val="21"/>
                <w:lang w:val="en-US" w:eastAsia="zh-CN"/>
              </w:rPr>
              <w:drawing>
                <wp:anchor distT="0" distB="0" distL="114300" distR="114300" simplePos="0" relativeHeight="251667456" behindDoc="0" locked="0" layoutInCell="1" allowOverlap="1">
                  <wp:simplePos x="0" y="0"/>
                  <wp:positionH relativeFrom="column">
                    <wp:posOffset>1987550</wp:posOffset>
                  </wp:positionH>
                  <wp:positionV relativeFrom="paragraph">
                    <wp:posOffset>29210</wp:posOffset>
                  </wp:positionV>
                  <wp:extent cx="2045335" cy="3030220"/>
                  <wp:effectExtent l="0" t="0" r="12065" b="5080"/>
                  <wp:wrapNone/>
                  <wp:docPr id="1" name="图片 1" descr="6b64719555938e8169cc1957c8ec9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b64719555938e8169cc1957c8ec9d5"/>
                          <pic:cNvPicPr>
                            <a:picLocks noChangeAspect="1"/>
                          </pic:cNvPicPr>
                        </pic:nvPicPr>
                        <pic:blipFill>
                          <a:blip r:embed="rId29"/>
                          <a:stretch>
                            <a:fillRect/>
                          </a:stretch>
                        </pic:blipFill>
                        <pic:spPr>
                          <a:xfrm>
                            <a:off x="0" y="0"/>
                            <a:ext cx="2045335" cy="3030220"/>
                          </a:xfrm>
                          <a:prstGeom prst="rect">
                            <a:avLst/>
                          </a:prstGeom>
                        </pic:spPr>
                      </pic:pic>
                    </a:graphicData>
                  </a:graphic>
                </wp:anchor>
              </w:drawing>
            </w:r>
          </w:p>
          <w:p>
            <w:pPr>
              <w:pStyle w:val="2"/>
              <w:rPr>
                <w:rFonts w:hint="eastAsia" w:ascii="宋体" w:hAnsi="宋体"/>
                <w:szCs w:val="21"/>
                <w:lang w:val="en-US" w:eastAsia="zh-CN"/>
              </w:rPr>
            </w:pPr>
          </w:p>
          <w:p>
            <w:pPr>
              <w:pStyle w:val="2"/>
              <w:rPr>
                <w:rFonts w:hint="eastAsia" w:ascii="宋体" w:hAnsi="宋体"/>
                <w:szCs w:val="21"/>
                <w:lang w:val="en-US" w:eastAsia="zh-CN"/>
              </w:rPr>
            </w:pPr>
          </w:p>
          <w:p>
            <w:pPr>
              <w:pStyle w:val="2"/>
              <w:rPr>
                <w:rFonts w:hint="eastAsia" w:ascii="宋体" w:hAnsi="宋体"/>
                <w:szCs w:val="21"/>
                <w:lang w:val="en-US" w:eastAsia="zh-CN"/>
              </w:rPr>
            </w:pPr>
          </w:p>
          <w:p>
            <w:pPr>
              <w:pStyle w:val="2"/>
              <w:rPr>
                <w:rFonts w:hint="eastAsia" w:ascii="宋体" w:hAnsi="宋体"/>
                <w:szCs w:val="21"/>
                <w:lang w:val="en-US" w:eastAsia="zh-CN"/>
              </w:rPr>
            </w:pPr>
          </w:p>
          <w:p>
            <w:pPr>
              <w:pStyle w:val="2"/>
              <w:rPr>
                <w:rFonts w:hint="eastAsia" w:ascii="宋体" w:hAnsi="宋体"/>
                <w:szCs w:val="21"/>
                <w:lang w:val="en-US" w:eastAsia="zh-CN"/>
              </w:rPr>
            </w:pPr>
          </w:p>
          <w:p>
            <w:pPr>
              <w:pStyle w:val="2"/>
              <w:rPr>
                <w:rFonts w:hint="eastAsia" w:ascii="宋体" w:hAnsi="宋体"/>
                <w:szCs w:val="21"/>
                <w:lang w:val="en-US" w:eastAsia="zh-CN"/>
              </w:rPr>
            </w:pPr>
          </w:p>
          <w:p>
            <w:pPr>
              <w:pStyle w:val="2"/>
              <w:rPr>
                <w:rFonts w:hint="eastAsia" w:ascii="宋体" w:hAnsi="宋体"/>
                <w:szCs w:val="21"/>
                <w:lang w:val="en-US" w:eastAsia="zh-CN"/>
              </w:rPr>
            </w:pPr>
          </w:p>
          <w:p>
            <w:pPr>
              <w:pStyle w:val="2"/>
              <w:rPr>
                <w:rFonts w:hint="eastAsia" w:ascii="宋体" w:hAnsi="宋体"/>
                <w:szCs w:val="21"/>
                <w:lang w:val="en-US" w:eastAsia="zh-CN"/>
              </w:rPr>
            </w:pPr>
          </w:p>
          <w:p>
            <w:pPr>
              <w:pStyle w:val="2"/>
              <w:rPr>
                <w:rFonts w:hint="eastAsia" w:ascii="宋体" w:hAnsi="宋体"/>
                <w:szCs w:val="21"/>
                <w:lang w:val="en-US" w:eastAsia="zh-CN"/>
              </w:rPr>
            </w:pPr>
          </w:p>
          <w:p>
            <w:pPr>
              <w:pStyle w:val="2"/>
              <w:rPr>
                <w:rFonts w:hint="eastAsia" w:ascii="宋体" w:hAnsi="宋体"/>
                <w:szCs w:val="21"/>
                <w:lang w:val="en-US" w:eastAsia="zh-CN"/>
              </w:rPr>
            </w:pPr>
          </w:p>
          <w:p>
            <w:pPr>
              <w:pStyle w:val="2"/>
              <w:rPr>
                <w:rFonts w:hint="eastAsia" w:ascii="宋体" w:hAnsi="宋体"/>
                <w:szCs w:val="21"/>
                <w:lang w:val="en-US" w:eastAsia="zh-CN"/>
              </w:rPr>
            </w:pPr>
          </w:p>
          <w:p>
            <w:pPr>
              <w:pStyle w:val="2"/>
              <w:rPr>
                <w:rFonts w:hint="eastAsia" w:ascii="宋体" w:hAnsi="宋体"/>
                <w:szCs w:val="21"/>
                <w:lang w:val="en-US" w:eastAsia="zh-CN"/>
              </w:rPr>
            </w:pPr>
          </w:p>
          <w:p>
            <w:pPr>
              <w:pStyle w:val="2"/>
              <w:rPr>
                <w:rFonts w:hint="eastAsia"/>
              </w:rPr>
            </w:pPr>
          </w:p>
          <w:p>
            <w:pPr>
              <w:spacing w:line="360" w:lineRule="auto"/>
              <w:rPr>
                <w:rFonts w:hint="eastAsia"/>
                <w:sz w:val="21"/>
                <w:szCs w:val="21"/>
              </w:rPr>
            </w:pPr>
            <w:r>
              <w:rPr>
                <w:rFonts w:hint="eastAsia"/>
                <w:sz w:val="21"/>
                <w:szCs w:val="21"/>
              </w:rPr>
              <w:t>现场观察运行控制：</w:t>
            </w:r>
          </w:p>
          <w:p>
            <w:pPr>
              <w:spacing w:line="360" w:lineRule="auto"/>
              <w:rPr>
                <w:rFonts w:hint="eastAsia"/>
                <w:sz w:val="21"/>
                <w:szCs w:val="21"/>
              </w:rPr>
            </w:pPr>
            <w:r>
              <w:rPr>
                <w:rFonts w:hint="eastAsia"/>
                <w:sz w:val="21"/>
                <w:szCs w:val="21"/>
              </w:rPr>
              <w:t>生产车间标有各种警示标识，如：小心触电、禁止吸烟等，车间采光良好、空气流通，车间噪音较小对员工危害不大。</w:t>
            </w:r>
          </w:p>
          <w:p>
            <w:pPr>
              <w:spacing w:line="360" w:lineRule="auto"/>
              <w:rPr>
                <w:rFonts w:hint="eastAsia"/>
                <w:sz w:val="21"/>
                <w:szCs w:val="21"/>
              </w:rPr>
            </w:pPr>
            <w:r>
              <w:rPr>
                <w:rFonts w:hint="eastAsia"/>
                <w:sz w:val="21"/>
                <w:szCs w:val="21"/>
              </w:rPr>
              <w:t>现场巡视办公及生产区域配备有灭火器多个，各车间均配有灭火器。</w:t>
            </w:r>
          </w:p>
          <w:p>
            <w:pPr>
              <w:spacing w:line="360" w:lineRule="auto"/>
              <w:rPr>
                <w:rFonts w:hint="eastAsia"/>
                <w:sz w:val="21"/>
                <w:szCs w:val="21"/>
              </w:rPr>
            </w:pPr>
            <w:r>
              <w:rPr>
                <w:rFonts w:hint="eastAsia"/>
                <w:sz w:val="21"/>
                <w:szCs w:val="21"/>
              </w:rPr>
              <w:t>现场查看各工序设备运转基本正常，人员操作方法合理，并佩带要相应的防护措施，操作人员穿戴有工作衣、工作鞋、手套等安全防护用品。</w:t>
            </w:r>
          </w:p>
          <w:p>
            <w:pPr>
              <w:spacing w:line="360" w:lineRule="auto"/>
              <w:rPr>
                <w:rFonts w:hint="eastAsia"/>
                <w:sz w:val="21"/>
                <w:szCs w:val="21"/>
              </w:rPr>
            </w:pPr>
            <w:r>
              <w:rPr>
                <w:rFonts w:hint="eastAsia"/>
                <w:sz w:val="21"/>
                <w:szCs w:val="21"/>
              </w:rPr>
              <w:t>各车间安全设施设有提示说明，方便取用，未发现遮挡消防设施和挤占消防通道的情况。</w:t>
            </w:r>
          </w:p>
          <w:p>
            <w:pPr>
              <w:spacing w:line="360" w:lineRule="auto"/>
              <w:rPr>
                <w:rFonts w:hint="eastAsia"/>
                <w:color w:val="000000" w:themeColor="text1"/>
                <w:sz w:val="21"/>
                <w:szCs w:val="21"/>
                <w14:textFill>
                  <w14:solidFill>
                    <w14:schemeClr w14:val="tx1"/>
                  </w14:solidFill>
                </w14:textFill>
              </w:rPr>
            </w:pPr>
            <w:r>
              <w:rPr>
                <w:rFonts w:hint="eastAsia"/>
                <w:sz w:val="21"/>
                <w:szCs w:val="21"/>
              </w:rPr>
              <w:t>车间设备采用了减震措施，噪声不大，设备有急停按钮，设备旋转部位有护罩，</w:t>
            </w:r>
            <w:r>
              <w:rPr>
                <w:rFonts w:hint="eastAsia"/>
                <w:sz w:val="21"/>
                <w:szCs w:val="21"/>
                <w:lang w:val="en-US" w:eastAsia="zh-CN"/>
              </w:rPr>
              <w:t>生产</w:t>
            </w:r>
            <w:r>
              <w:rPr>
                <w:rFonts w:hint="eastAsia"/>
                <w:sz w:val="21"/>
                <w:szCs w:val="21"/>
              </w:rPr>
              <w:t>废边</w:t>
            </w:r>
            <w:r>
              <w:rPr>
                <w:rFonts w:hint="eastAsia"/>
                <w:color w:val="000000" w:themeColor="text1"/>
                <w:sz w:val="21"/>
                <w:szCs w:val="21"/>
                <w14:textFill>
                  <w14:solidFill>
                    <w14:schemeClr w14:val="tx1"/>
                  </w14:solidFill>
                </w14:textFill>
              </w:rPr>
              <w:t>角料放在了垃圾桶内。</w:t>
            </w:r>
          </w:p>
          <w:p>
            <w:pPr>
              <w:spacing w:line="360" w:lineRule="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生产车间内现场电线布线合理，电线均处于完好状态，设备有接地及保护装置，控制柜及漏电保护器状态良好。</w:t>
            </w:r>
          </w:p>
          <w:p>
            <w:pPr>
              <w:pStyle w:val="2"/>
              <w:spacing w:line="360" w:lineRule="auto"/>
              <w:rPr>
                <w:rFonts w:hint="eastAsia" w:ascii="Times New Roman" w:hAnsi="Times New Roman" w:eastAsia="宋体" w:cs="Times New Roman"/>
                <w:bCs/>
                <w:spacing w:val="10"/>
                <w:kern w:val="2"/>
                <w:sz w:val="21"/>
                <w:szCs w:val="21"/>
                <w:lang w:val="en-US" w:eastAsia="zh-CN" w:bidi="ar-SA"/>
              </w:rPr>
            </w:pPr>
            <w:r>
              <w:rPr>
                <w:rFonts w:hint="eastAsia"/>
                <w:color w:val="000000" w:themeColor="text1"/>
                <w:sz w:val="21"/>
                <w:szCs w:val="21"/>
                <w14:textFill>
                  <w14:solidFill>
                    <w14:schemeClr w14:val="tx1"/>
                  </w14:solidFill>
                </w14:textFill>
              </w:rPr>
              <w:t>车间现场在环保方面的控制管理基本有效。</w:t>
            </w:r>
          </w:p>
        </w:tc>
        <w:tc>
          <w:tcPr>
            <w:tcW w:w="1585" w:type="dxa"/>
            <w:vAlign w:val="top"/>
          </w:tcPr>
          <w:p>
            <w:pPr>
              <w:spacing w:line="360" w:lineRule="auto"/>
              <w:rPr>
                <w:rFonts w:ascii="Times New Roman" w:hAnsi="Times New Roman" w:eastAsia="宋体" w:cs="Times New Roman"/>
                <w:kern w:val="2"/>
                <w:sz w:val="21"/>
                <w:lang w:val="en-US" w:eastAsia="zh-CN" w:bidi="ar-SA"/>
              </w:rPr>
            </w:pPr>
            <w: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center"/>
          </w:tcPr>
          <w:p>
            <w:pPr>
              <w:spacing w:line="360" w:lineRule="auto"/>
              <w:rPr>
                <w:rFonts w:ascii="楷体" w:hAnsi="楷体" w:eastAsia="楷体" w:cs="楷体"/>
                <w:bCs/>
                <w:sz w:val="24"/>
                <w:szCs w:val="24"/>
              </w:rPr>
            </w:pPr>
            <w:r>
              <w:rPr>
                <w:rFonts w:hint="eastAsia" w:ascii="楷体" w:hAnsi="楷体" w:eastAsia="楷体" w:cs="Arial"/>
                <w:sz w:val="24"/>
                <w:szCs w:val="24"/>
              </w:rPr>
              <w:t>应急准备和响应</w:t>
            </w:r>
          </w:p>
          <w:p>
            <w:pPr>
              <w:spacing w:line="360" w:lineRule="auto"/>
              <w:rPr>
                <w:rFonts w:hint="eastAsia" w:asciiTheme="minorEastAsia" w:hAnsiTheme="minorEastAsia" w:eastAsiaTheme="minorEastAsia" w:cstheme="minorEastAsia"/>
                <w:kern w:val="2"/>
                <w:sz w:val="21"/>
                <w:szCs w:val="21"/>
                <w:highlight w:val="none"/>
                <w:lang w:val="en-US" w:eastAsia="zh-CN" w:bidi="ar-SA"/>
              </w:rPr>
            </w:pPr>
          </w:p>
        </w:tc>
        <w:tc>
          <w:tcPr>
            <w:tcW w:w="960" w:type="dxa"/>
            <w:vAlign w:val="top"/>
          </w:tcPr>
          <w:p>
            <w:pPr>
              <w:spacing w:line="360" w:lineRule="auto"/>
              <w:rPr>
                <w:rFonts w:ascii="楷体" w:hAnsi="楷体" w:eastAsia="楷体" w:cs="楷体"/>
                <w:bCs/>
                <w:sz w:val="24"/>
                <w:szCs w:val="24"/>
              </w:rPr>
            </w:pPr>
            <w:r>
              <w:rPr>
                <w:rFonts w:hint="eastAsia" w:ascii="楷体" w:hAnsi="楷体" w:eastAsia="楷体" w:cs="楷体"/>
                <w:bCs/>
                <w:sz w:val="24"/>
                <w:szCs w:val="24"/>
              </w:rPr>
              <w:t>E</w:t>
            </w:r>
            <w:r>
              <w:rPr>
                <w:rFonts w:hint="eastAsia" w:ascii="楷体" w:hAnsi="楷体" w:eastAsia="楷体" w:cs="楷体"/>
                <w:bCs/>
                <w:sz w:val="24"/>
                <w:szCs w:val="24"/>
                <w:lang w:val="en-US" w:eastAsia="zh-CN"/>
              </w:rPr>
              <w:t>0</w:t>
            </w:r>
            <w:r>
              <w:rPr>
                <w:rFonts w:hint="eastAsia" w:ascii="楷体" w:hAnsi="楷体" w:eastAsia="楷体" w:cs="楷体"/>
                <w:bCs/>
                <w:sz w:val="24"/>
                <w:szCs w:val="24"/>
              </w:rPr>
              <w:t>：</w:t>
            </w:r>
            <w:r>
              <w:rPr>
                <w:rFonts w:hint="eastAsia" w:ascii="楷体" w:hAnsi="楷体" w:eastAsia="楷体" w:cs="Arial"/>
                <w:sz w:val="24"/>
                <w:szCs w:val="24"/>
              </w:rPr>
              <w:t>8.2</w:t>
            </w:r>
          </w:p>
          <w:p>
            <w:pPr>
              <w:spacing w:line="360" w:lineRule="auto"/>
              <w:rPr>
                <w:rFonts w:ascii="楷体" w:hAnsi="楷体" w:eastAsia="楷体" w:cs="楷体"/>
                <w:bCs/>
                <w:sz w:val="24"/>
                <w:szCs w:val="24"/>
              </w:rPr>
            </w:pPr>
          </w:p>
          <w:p>
            <w:pPr>
              <w:spacing w:line="360" w:lineRule="auto"/>
              <w:rPr>
                <w:rFonts w:hint="eastAsia" w:asciiTheme="minorEastAsia" w:hAnsiTheme="minorEastAsia" w:eastAsiaTheme="minorEastAsia" w:cstheme="minorEastAsia"/>
                <w:kern w:val="2"/>
                <w:sz w:val="21"/>
                <w:szCs w:val="21"/>
                <w:highlight w:val="none"/>
                <w:lang w:val="en-US" w:eastAsia="zh-CN" w:bidi="ar-SA"/>
              </w:rPr>
            </w:pPr>
          </w:p>
        </w:tc>
        <w:tc>
          <w:tcPr>
            <w:tcW w:w="10004" w:type="dxa"/>
            <w:vAlign w:val="top"/>
          </w:tcPr>
          <w:p>
            <w:pPr>
              <w:spacing w:line="360" w:lineRule="auto"/>
              <w:ind w:firstLine="420" w:firstLineChars="200"/>
              <w:rPr>
                <w:rFonts w:hint="eastAsia" w:ascii="宋体" w:hAnsi="宋体" w:eastAsia="宋体" w:cs="Times New Roman"/>
                <w:szCs w:val="21"/>
              </w:rPr>
            </w:pPr>
            <w:r>
              <w:rPr>
                <w:rFonts w:hint="eastAsia" w:ascii="宋体" w:hAnsi="宋体"/>
                <w:szCs w:val="21"/>
              </w:rPr>
              <w:t>提</w:t>
            </w:r>
            <w:r>
              <w:rPr>
                <w:rFonts w:hint="eastAsia" w:ascii="宋体" w:hAnsi="宋体" w:eastAsia="宋体" w:cs="Times New Roman"/>
                <w:szCs w:val="21"/>
              </w:rPr>
              <w:t>供了《</w:t>
            </w:r>
            <w:r>
              <w:rPr>
                <w:rFonts w:hint="eastAsia" w:ascii="宋体" w:hAnsi="宋体"/>
                <w:strike w:val="0"/>
                <w:dstrike w:val="0"/>
                <w:color w:val="auto"/>
                <w:szCs w:val="21"/>
                <w:highlight w:val="none"/>
              </w:rPr>
              <w:t>应急准备与响应控制程序</w:t>
            </w:r>
            <w:r>
              <w:rPr>
                <w:rFonts w:hint="eastAsia" w:ascii="宋体" w:hAnsi="宋体" w:eastAsia="宋体" w:cs="Times New Roman"/>
                <w:szCs w:val="21"/>
              </w:rPr>
              <w:t>》、《应急预案》，其中包括目的、适用范围、职责、应急领导小组成员职责、程序、现场应急措施等，相关内容基本充分。</w:t>
            </w:r>
          </w:p>
          <w:p>
            <w:pPr>
              <w:spacing w:line="360" w:lineRule="auto"/>
              <w:ind w:firstLine="420" w:firstLineChars="200"/>
              <w:rPr>
                <w:rFonts w:hint="default" w:ascii="宋体" w:hAnsi="宋体" w:eastAsia="宋体" w:cs="Times New Roman"/>
                <w:szCs w:val="21"/>
                <w:lang w:val="en-US" w:eastAsia="zh-CN"/>
              </w:rPr>
            </w:pPr>
            <w:r>
              <w:rPr>
                <w:rFonts w:hint="eastAsia" w:ascii="Times New Roman" w:hAnsi="Times New Roman" w:eastAsia="宋体" w:cs="Times New Roman"/>
                <w:szCs w:val="22"/>
              </w:rPr>
              <w:t>查消防灭火演练，演练时</w:t>
            </w:r>
            <w:r>
              <w:rPr>
                <w:rFonts w:hint="eastAsia" w:ascii="Times New Roman" w:hAnsi="Times New Roman" w:eastAsia="宋体" w:cs="Times New Roman"/>
                <w:color w:val="auto"/>
                <w:szCs w:val="22"/>
              </w:rPr>
              <w:t>间</w:t>
            </w:r>
            <w:r>
              <w:rPr>
                <w:rFonts w:hint="eastAsia" w:ascii="宋体" w:hAnsi="宋体"/>
                <w:color w:val="auto"/>
                <w:szCs w:val="21"/>
                <w:lang w:val="en-US" w:eastAsia="zh-CN"/>
              </w:rPr>
              <w:t>2022.9.9</w:t>
            </w:r>
            <w:r>
              <w:rPr>
                <w:rFonts w:hint="eastAsia" w:ascii="Times New Roman" w:hAnsi="Times New Roman" w:eastAsia="宋体" w:cs="Times New Roman"/>
                <w:color w:val="auto"/>
                <w:szCs w:val="22"/>
              </w:rPr>
              <w:t>，对</w:t>
            </w:r>
            <w:r>
              <w:rPr>
                <w:rFonts w:hint="eastAsia" w:ascii="Times New Roman" w:hAnsi="Times New Roman" w:eastAsia="宋体" w:cs="Times New Roman"/>
                <w:szCs w:val="22"/>
              </w:rPr>
              <w:t>演练过程进行了描述，并对预案的有效性进</w:t>
            </w:r>
            <w:r>
              <w:rPr>
                <w:rFonts w:hint="eastAsia"/>
              </w:rPr>
              <w:t>行了评价。目前未发生火灾、人身伤害等事故。</w:t>
            </w:r>
            <w:r>
              <w:rPr>
                <w:rFonts w:hint="eastAsia" w:ascii="宋体" w:hAnsi="宋体" w:eastAsia="宋体" w:cs="Times New Roman"/>
                <w:szCs w:val="21"/>
              </w:rPr>
              <w:t>现场查看</w:t>
            </w:r>
            <w:r>
              <w:rPr>
                <w:rFonts w:hint="eastAsia" w:ascii="宋体" w:hAnsi="宋体" w:eastAsia="宋体" w:cs="Times New Roman"/>
                <w:szCs w:val="21"/>
                <w:lang w:val="en-US" w:eastAsia="zh-CN"/>
              </w:rPr>
              <w:t>生产区</w:t>
            </w:r>
            <w:r>
              <w:rPr>
                <w:rFonts w:hint="eastAsia" w:ascii="宋体" w:hAnsi="宋体" w:eastAsia="宋体" w:cs="Times New Roman"/>
                <w:szCs w:val="21"/>
              </w:rPr>
              <w:t>有消防栓和灭火器若干个，状态良好。</w:t>
            </w:r>
            <w:r>
              <w:rPr>
                <w:rFonts w:hint="eastAsia" w:ascii="宋体" w:hAnsi="宋体" w:cs="Times New Roman"/>
                <w:szCs w:val="21"/>
                <w:lang w:val="en-US" w:eastAsia="zh-CN"/>
              </w:rPr>
              <w:t>详细演练记录见办公室8.2条款。</w:t>
            </w:r>
          </w:p>
          <w:p>
            <w:pPr>
              <w:spacing w:line="360" w:lineRule="auto"/>
              <w:rPr>
                <w:rFonts w:ascii="宋体" w:hAnsi="宋体"/>
                <w:szCs w:val="21"/>
              </w:rPr>
            </w:pPr>
            <w:r>
              <w:rPr>
                <w:rFonts w:hint="eastAsia" w:ascii="宋体" w:hAnsi="宋体" w:eastAsia="宋体" w:cs="Times New Roman"/>
                <w:szCs w:val="21"/>
              </w:rPr>
              <w:t>自体系运行以来未发生应急情况。</w:t>
            </w:r>
          </w:p>
          <w:p>
            <w:pPr>
              <w:spacing w:line="360" w:lineRule="auto"/>
              <w:ind w:firstLine="420" w:firstLineChars="200"/>
              <w:rPr>
                <w:rFonts w:ascii="宋体" w:hAnsi="宋体"/>
                <w:szCs w:val="21"/>
              </w:rPr>
            </w:pPr>
            <w:r>
              <w:rPr>
                <w:rFonts w:hint="eastAsia"/>
                <w:szCs w:val="22"/>
              </w:rPr>
              <w:t>生产车间标有各种警示标识，如：小心触电、禁止吸烟</w:t>
            </w:r>
            <w:r>
              <w:rPr>
                <w:rFonts w:hint="eastAsia"/>
                <w:szCs w:val="22"/>
                <w:lang w:eastAsia="zh-CN"/>
              </w:rPr>
              <w:t>、</w:t>
            </w:r>
            <w:r>
              <w:rPr>
                <w:rFonts w:hint="eastAsia"/>
                <w:szCs w:val="22"/>
                <w:lang w:val="en-US" w:eastAsia="zh-CN"/>
              </w:rPr>
              <w:t>应急逃生图、灭火器、消火栓</w:t>
            </w:r>
            <w:r>
              <w:rPr>
                <w:rFonts w:hint="eastAsia"/>
                <w:szCs w:val="22"/>
              </w:rPr>
              <w:t>等，车间采光良好、空气流通，车间噪音较小对员工危害不大。</w:t>
            </w:r>
          </w:p>
          <w:p>
            <w:pPr>
              <w:tabs>
                <w:tab w:val="left" w:pos="6597"/>
              </w:tabs>
              <w:spacing w:line="360" w:lineRule="auto"/>
              <w:rPr>
                <w:rFonts w:hint="default" w:ascii="楷体" w:hAnsi="楷体" w:eastAsia="楷体" w:cs="楷体"/>
                <w:sz w:val="24"/>
                <w:szCs w:val="24"/>
                <w:lang w:val="en-US" w:eastAsia="zh-CN"/>
              </w:rPr>
            </w:pPr>
            <w:r>
              <w:rPr>
                <w:rFonts w:hint="eastAsia" w:ascii="楷体" w:hAnsi="楷体" w:eastAsia="楷体" w:cs="楷体"/>
                <w:sz w:val="24"/>
                <w:szCs w:val="24"/>
                <w:lang w:eastAsia="zh-CN"/>
              </w:rPr>
              <w:drawing>
                <wp:inline distT="0" distB="0" distL="114300" distR="114300">
                  <wp:extent cx="2892425" cy="2168525"/>
                  <wp:effectExtent l="0" t="0" r="3175" b="3175"/>
                  <wp:docPr id="33" name="图片 33" descr="0802ea7ac50d938dbd595567790b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802ea7ac50d938dbd595567790b064"/>
                          <pic:cNvPicPr>
                            <a:picLocks noChangeAspect="1"/>
                          </pic:cNvPicPr>
                        </pic:nvPicPr>
                        <pic:blipFill>
                          <a:blip r:embed="rId28"/>
                          <a:stretch>
                            <a:fillRect/>
                          </a:stretch>
                        </pic:blipFill>
                        <pic:spPr>
                          <a:xfrm>
                            <a:off x="0" y="0"/>
                            <a:ext cx="2892425" cy="2168525"/>
                          </a:xfrm>
                          <a:prstGeom prst="rect">
                            <a:avLst/>
                          </a:prstGeom>
                        </pic:spPr>
                      </pic:pic>
                    </a:graphicData>
                  </a:graphic>
                </wp:inline>
              </w:drawing>
            </w:r>
            <w:r>
              <w:rPr>
                <w:rFonts w:hint="eastAsia" w:ascii="楷体" w:hAnsi="楷体" w:eastAsia="楷体" w:cs="楷体"/>
                <w:sz w:val="24"/>
                <w:szCs w:val="24"/>
                <w:lang w:val="en-US" w:eastAsia="zh-CN"/>
              </w:rPr>
              <w:t xml:space="preserve">  </w:t>
            </w:r>
            <w:r>
              <w:rPr>
                <w:rFonts w:hint="default" w:ascii="楷体" w:hAnsi="楷体" w:eastAsia="楷体" w:cs="楷体"/>
                <w:sz w:val="24"/>
                <w:szCs w:val="24"/>
                <w:lang w:val="en-US" w:eastAsia="zh-CN"/>
              </w:rPr>
              <w:drawing>
                <wp:inline distT="0" distB="0" distL="114300" distR="114300">
                  <wp:extent cx="2905760" cy="2178685"/>
                  <wp:effectExtent l="0" t="0" r="2540" b="5715"/>
                  <wp:docPr id="34" name="图片 34" descr="aeea0f5733d520cda0376f84115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eea0f5733d520cda0376f841153266"/>
                          <pic:cNvPicPr>
                            <a:picLocks noChangeAspect="1"/>
                          </pic:cNvPicPr>
                        </pic:nvPicPr>
                        <pic:blipFill>
                          <a:blip r:embed="rId30"/>
                          <a:stretch>
                            <a:fillRect/>
                          </a:stretch>
                        </pic:blipFill>
                        <pic:spPr>
                          <a:xfrm>
                            <a:off x="0" y="0"/>
                            <a:ext cx="2905760" cy="2178685"/>
                          </a:xfrm>
                          <a:prstGeom prst="rect">
                            <a:avLst/>
                          </a:prstGeom>
                        </pic:spPr>
                      </pic:pic>
                    </a:graphicData>
                  </a:graphic>
                </wp:inline>
              </w:drawing>
            </w:r>
          </w:p>
          <w:p>
            <w:pPr>
              <w:spacing w:line="360" w:lineRule="auto"/>
              <w:rPr>
                <w:rFonts w:hint="eastAsia" w:asciiTheme="minorEastAsia" w:hAnsiTheme="minorEastAsia" w:eastAsiaTheme="minorEastAsia" w:cstheme="minorEastAsia"/>
                <w:bCs w:val="0"/>
                <w:spacing w:val="0"/>
                <w:kern w:val="2"/>
                <w:sz w:val="21"/>
                <w:szCs w:val="21"/>
                <w:highlight w:val="none"/>
                <w:lang w:val="en-US" w:eastAsia="zh-CN" w:bidi="ar-SA"/>
              </w:rPr>
            </w:pPr>
            <w:r>
              <w:rPr>
                <w:rFonts w:hint="eastAsia" w:ascii="宋体" w:hAnsi="宋体"/>
                <w:szCs w:val="21"/>
              </w:rPr>
              <w:t>查到</w:t>
            </w:r>
            <w:r>
              <w:rPr>
                <w:rFonts w:hint="eastAsia" w:ascii="宋体" w:hAnsi="宋体"/>
                <w:szCs w:val="21"/>
                <w:lang w:val="en-US" w:eastAsia="zh-CN"/>
              </w:rPr>
              <w:t>消防灭火器于2021年4月由外部由资质的单位进行了检查，结果为合格。</w:t>
            </w:r>
            <w:r>
              <w:rPr>
                <w:rFonts w:hint="eastAsia" w:ascii="宋体" w:hAnsi="宋体"/>
                <w:szCs w:val="21"/>
              </w:rPr>
              <w:t>自体系运行以来尚未发生紧急情况。</w:t>
            </w:r>
          </w:p>
        </w:tc>
        <w:tc>
          <w:tcPr>
            <w:tcW w:w="1585" w:type="dxa"/>
            <w:vAlign w:val="top"/>
          </w:tcPr>
          <w:p>
            <w:pPr>
              <w:spacing w:line="360" w:lineRule="auto"/>
              <w:rPr>
                <w:rFonts w:ascii="Times New Roman" w:hAnsi="Times New Roman" w:eastAsia="宋体" w:cs="Times New Roman"/>
                <w:kern w:val="2"/>
                <w:sz w:val="21"/>
                <w:lang w:val="en-US" w:eastAsia="zh-CN" w:bidi="ar-SA"/>
              </w:rPr>
            </w:pPr>
            <w:r>
              <w:t>Y</w:t>
            </w:r>
          </w:p>
        </w:tc>
      </w:tr>
    </w:tbl>
    <w:p/>
    <w:p>
      <w:pPr>
        <w:pStyle w:val="8"/>
        <w:rPr>
          <w:rFonts w:hint="eastAsia"/>
        </w:rPr>
      </w:pPr>
      <w:r>
        <w:rPr>
          <w:rFonts w:hint="eastAsia"/>
        </w:rPr>
        <w:t>说明：不符合标注N</w:t>
      </w:r>
    </w:p>
    <w:p>
      <w:pPr>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0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0" w:usb3="00000000" w:csb0="00100000" w:csb1="00000000"/>
  </w:font>
  <w:font w:name="Verdana">
    <w:panose1 w:val="020B0604030504040204"/>
    <w:charset w:val="00"/>
    <w:family w:val="swiss"/>
    <w:pitch w:val="default"/>
    <w:sig w:usb0="A00006FF" w:usb1="4000205B" w:usb2="00000010" w:usb3="00000000" w:csb0="2000019F" w:csb1="00000000"/>
  </w:font>
  <w:font w:name="隶书">
    <w:panose1 w:val="02010509060101010101"/>
    <w:charset w:val="86"/>
    <w:family w:val="modern"/>
    <w:pitch w:val="default"/>
    <w:sig w:usb0="00000001" w:usb1="080E0000" w:usb2="00000000" w:usb3="00000000" w:csb0="00040000" w:csb1="00000000"/>
  </w:font>
  <w:font w:name="方正仿宋简体">
    <w:altName w:val="宋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21" name="文本框 2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JB+ETYAAAACwEAAA8AAAAAAAAAAQAgAAAAIgAAAGRycy9kb3ducmV2&#10;LnhtbFBLAQIUABQAAAAIAIdO4kBGfG7vwwEAAHkDAAAOAAAAAAAAAAEAIAAAACcBAABkcnMvZTJv&#10;RG9jLnhtbFBLBQYAAAAABgAGAFkBAABcBQ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9"/>
      <w:pBdr>
        <w:bottom w:val="none" w:color="auto" w:sz="0" w:space="0"/>
      </w:pBdr>
      <w:spacing w:line="320" w:lineRule="exact"/>
      <w:ind w:firstLine="756" w:firstLineChars="400"/>
      <w:jc w:val="left"/>
    </w:pPr>
    <w:r>
      <w:rPr>
        <w:rStyle w:val="16"/>
        <w:rFonts w:hint="default"/>
        <w:w w:val="90"/>
      </w:rPr>
      <w:t>Beijing International Standard united Certification Co.,Ltd.</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9B86B9"/>
    <w:multiLevelType w:val="singleLevel"/>
    <w:tmpl w:val="F49B86B9"/>
    <w:lvl w:ilvl="0" w:tentative="0">
      <w:start w:val="1"/>
      <w:numFmt w:val="decimal"/>
      <w:suff w:val="nothing"/>
      <w:lvlText w:val="%1、"/>
      <w:lvlJc w:val="left"/>
    </w:lvl>
  </w:abstractNum>
  <w:abstractNum w:abstractNumId="1">
    <w:nsid w:val="221AAD87"/>
    <w:multiLevelType w:val="singleLevel"/>
    <w:tmpl w:val="221AAD87"/>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JhMzVmMjRhOTI3NTFjNmRlYmM5YzA2NWZhNjBiZTEifQ=="/>
  </w:docVars>
  <w:rsids>
    <w:rsidRoot w:val="00DD4B80"/>
    <w:rsid w:val="0001713F"/>
    <w:rsid w:val="000259AC"/>
    <w:rsid w:val="000B7900"/>
    <w:rsid w:val="000D6436"/>
    <w:rsid w:val="001032CB"/>
    <w:rsid w:val="001538EB"/>
    <w:rsid w:val="001541DA"/>
    <w:rsid w:val="001A2755"/>
    <w:rsid w:val="001E2BA0"/>
    <w:rsid w:val="002D1F1C"/>
    <w:rsid w:val="00376607"/>
    <w:rsid w:val="003852FD"/>
    <w:rsid w:val="00411CE7"/>
    <w:rsid w:val="0044635D"/>
    <w:rsid w:val="00477697"/>
    <w:rsid w:val="004B16A6"/>
    <w:rsid w:val="004E08A4"/>
    <w:rsid w:val="00500C21"/>
    <w:rsid w:val="005E51DA"/>
    <w:rsid w:val="005F58CE"/>
    <w:rsid w:val="006350F0"/>
    <w:rsid w:val="0066443D"/>
    <w:rsid w:val="0068005C"/>
    <w:rsid w:val="006C3B64"/>
    <w:rsid w:val="006E7A70"/>
    <w:rsid w:val="007420C5"/>
    <w:rsid w:val="007536EE"/>
    <w:rsid w:val="007B1A3B"/>
    <w:rsid w:val="007F5845"/>
    <w:rsid w:val="00802252"/>
    <w:rsid w:val="008102F1"/>
    <w:rsid w:val="00834B09"/>
    <w:rsid w:val="00893291"/>
    <w:rsid w:val="008E0C8E"/>
    <w:rsid w:val="008E45B6"/>
    <w:rsid w:val="0094266C"/>
    <w:rsid w:val="00954EA8"/>
    <w:rsid w:val="009B7866"/>
    <w:rsid w:val="009C3AF7"/>
    <w:rsid w:val="00A07938"/>
    <w:rsid w:val="00A3276E"/>
    <w:rsid w:val="00AA2D83"/>
    <w:rsid w:val="00AB7281"/>
    <w:rsid w:val="00B01EF6"/>
    <w:rsid w:val="00B325A1"/>
    <w:rsid w:val="00BB5BDD"/>
    <w:rsid w:val="00BB6546"/>
    <w:rsid w:val="00BE0E37"/>
    <w:rsid w:val="00BF540D"/>
    <w:rsid w:val="00C23315"/>
    <w:rsid w:val="00C343F0"/>
    <w:rsid w:val="00CB6525"/>
    <w:rsid w:val="00D5752A"/>
    <w:rsid w:val="00DD4B80"/>
    <w:rsid w:val="00E113F1"/>
    <w:rsid w:val="00E238F5"/>
    <w:rsid w:val="00E345F7"/>
    <w:rsid w:val="00E412FC"/>
    <w:rsid w:val="00E5540F"/>
    <w:rsid w:val="00EF3EBB"/>
    <w:rsid w:val="00F13AB9"/>
    <w:rsid w:val="00F66D86"/>
    <w:rsid w:val="00F67463"/>
    <w:rsid w:val="00F922A5"/>
    <w:rsid w:val="00FB75CB"/>
    <w:rsid w:val="00FD12F5"/>
    <w:rsid w:val="00FD6519"/>
    <w:rsid w:val="023C6129"/>
    <w:rsid w:val="03011BBD"/>
    <w:rsid w:val="030408F7"/>
    <w:rsid w:val="045B4895"/>
    <w:rsid w:val="04D01132"/>
    <w:rsid w:val="04E0227F"/>
    <w:rsid w:val="053171B4"/>
    <w:rsid w:val="05C50C80"/>
    <w:rsid w:val="066A52E1"/>
    <w:rsid w:val="068154EF"/>
    <w:rsid w:val="069C1ED5"/>
    <w:rsid w:val="07071325"/>
    <w:rsid w:val="078A0568"/>
    <w:rsid w:val="07EF46DA"/>
    <w:rsid w:val="084203C5"/>
    <w:rsid w:val="08ED4DD6"/>
    <w:rsid w:val="097E58C9"/>
    <w:rsid w:val="0A4D7E01"/>
    <w:rsid w:val="0B7C582A"/>
    <w:rsid w:val="0BD73A5B"/>
    <w:rsid w:val="0CC2278B"/>
    <w:rsid w:val="0D9D0144"/>
    <w:rsid w:val="0DF31FE9"/>
    <w:rsid w:val="0ECE66B2"/>
    <w:rsid w:val="0F3D4A3A"/>
    <w:rsid w:val="0FC11AFA"/>
    <w:rsid w:val="10C02EF3"/>
    <w:rsid w:val="118E6531"/>
    <w:rsid w:val="11E5694E"/>
    <w:rsid w:val="12236D43"/>
    <w:rsid w:val="122B0EB3"/>
    <w:rsid w:val="12675D51"/>
    <w:rsid w:val="12F5292A"/>
    <w:rsid w:val="14460C11"/>
    <w:rsid w:val="14537014"/>
    <w:rsid w:val="149D63BB"/>
    <w:rsid w:val="164244C7"/>
    <w:rsid w:val="169366B0"/>
    <w:rsid w:val="17095180"/>
    <w:rsid w:val="17306175"/>
    <w:rsid w:val="18170ED9"/>
    <w:rsid w:val="18581E27"/>
    <w:rsid w:val="18B37592"/>
    <w:rsid w:val="19704F4F"/>
    <w:rsid w:val="19772A79"/>
    <w:rsid w:val="19B12C49"/>
    <w:rsid w:val="19D02293"/>
    <w:rsid w:val="1A5F56EF"/>
    <w:rsid w:val="1B3407E3"/>
    <w:rsid w:val="1BA80F03"/>
    <w:rsid w:val="1BB07800"/>
    <w:rsid w:val="1BE10978"/>
    <w:rsid w:val="1E485CD4"/>
    <w:rsid w:val="206E78EC"/>
    <w:rsid w:val="212A4823"/>
    <w:rsid w:val="218B3026"/>
    <w:rsid w:val="22682C67"/>
    <w:rsid w:val="229B7AE6"/>
    <w:rsid w:val="22FC2204"/>
    <w:rsid w:val="2341673D"/>
    <w:rsid w:val="23E15A7C"/>
    <w:rsid w:val="2543337E"/>
    <w:rsid w:val="25C74149"/>
    <w:rsid w:val="267E0CAB"/>
    <w:rsid w:val="26C37006"/>
    <w:rsid w:val="26D703BB"/>
    <w:rsid w:val="26FD374B"/>
    <w:rsid w:val="27392E24"/>
    <w:rsid w:val="27781B9E"/>
    <w:rsid w:val="27EC6D1F"/>
    <w:rsid w:val="28035FB0"/>
    <w:rsid w:val="28C037FD"/>
    <w:rsid w:val="29136238"/>
    <w:rsid w:val="29CD5935"/>
    <w:rsid w:val="2A2F5F6C"/>
    <w:rsid w:val="2A830F86"/>
    <w:rsid w:val="2ADD5419"/>
    <w:rsid w:val="2AEF03C9"/>
    <w:rsid w:val="2B564F27"/>
    <w:rsid w:val="2C4E7942"/>
    <w:rsid w:val="2C5123E1"/>
    <w:rsid w:val="2CA51642"/>
    <w:rsid w:val="2D04149E"/>
    <w:rsid w:val="2D517DC5"/>
    <w:rsid w:val="2D766A69"/>
    <w:rsid w:val="2DC50188"/>
    <w:rsid w:val="2E581132"/>
    <w:rsid w:val="2EE84CA6"/>
    <w:rsid w:val="2EF83CA8"/>
    <w:rsid w:val="2FE22D93"/>
    <w:rsid w:val="30073ABF"/>
    <w:rsid w:val="300A35B0"/>
    <w:rsid w:val="306A0AFC"/>
    <w:rsid w:val="319C7D36"/>
    <w:rsid w:val="31A22271"/>
    <w:rsid w:val="32A97E05"/>
    <w:rsid w:val="33A361F5"/>
    <w:rsid w:val="34750347"/>
    <w:rsid w:val="35EF29CF"/>
    <w:rsid w:val="361E6007"/>
    <w:rsid w:val="364641AA"/>
    <w:rsid w:val="373B43E6"/>
    <w:rsid w:val="374B6019"/>
    <w:rsid w:val="37881E3B"/>
    <w:rsid w:val="38145767"/>
    <w:rsid w:val="385826FD"/>
    <w:rsid w:val="38594359"/>
    <w:rsid w:val="38631DEE"/>
    <w:rsid w:val="3A347BA7"/>
    <w:rsid w:val="3B31058A"/>
    <w:rsid w:val="3B607EC1"/>
    <w:rsid w:val="3CA27813"/>
    <w:rsid w:val="3D0715A3"/>
    <w:rsid w:val="3D244A4F"/>
    <w:rsid w:val="3D795A27"/>
    <w:rsid w:val="3DAA7F19"/>
    <w:rsid w:val="3F362BE0"/>
    <w:rsid w:val="40880C4C"/>
    <w:rsid w:val="40B13858"/>
    <w:rsid w:val="412C5C81"/>
    <w:rsid w:val="42855051"/>
    <w:rsid w:val="435B1BF0"/>
    <w:rsid w:val="43933DE1"/>
    <w:rsid w:val="44330ECF"/>
    <w:rsid w:val="444632A3"/>
    <w:rsid w:val="447D4741"/>
    <w:rsid w:val="45603F46"/>
    <w:rsid w:val="45935CF2"/>
    <w:rsid w:val="465E0428"/>
    <w:rsid w:val="4667343F"/>
    <w:rsid w:val="46C92161"/>
    <w:rsid w:val="46ED6330"/>
    <w:rsid w:val="470D6011"/>
    <w:rsid w:val="47681A81"/>
    <w:rsid w:val="47763A09"/>
    <w:rsid w:val="488E19FE"/>
    <w:rsid w:val="48AB5140"/>
    <w:rsid w:val="4A114CFE"/>
    <w:rsid w:val="4A7931AF"/>
    <w:rsid w:val="4ACB3EF4"/>
    <w:rsid w:val="4AD827D0"/>
    <w:rsid w:val="4B34391F"/>
    <w:rsid w:val="4BDE649A"/>
    <w:rsid w:val="4C5972F7"/>
    <w:rsid w:val="4D56635F"/>
    <w:rsid w:val="4E8567CB"/>
    <w:rsid w:val="4ED45D3F"/>
    <w:rsid w:val="4EF00A95"/>
    <w:rsid w:val="4FCA62ED"/>
    <w:rsid w:val="51017E48"/>
    <w:rsid w:val="51090A7A"/>
    <w:rsid w:val="5161458D"/>
    <w:rsid w:val="51976D09"/>
    <w:rsid w:val="523D116B"/>
    <w:rsid w:val="52FB47CD"/>
    <w:rsid w:val="530E1143"/>
    <w:rsid w:val="5314773F"/>
    <w:rsid w:val="5462555D"/>
    <w:rsid w:val="547B6B84"/>
    <w:rsid w:val="5492579E"/>
    <w:rsid w:val="549C3CA0"/>
    <w:rsid w:val="54FB5FE3"/>
    <w:rsid w:val="551B429B"/>
    <w:rsid w:val="55C94029"/>
    <w:rsid w:val="55D9132D"/>
    <w:rsid w:val="561C28AB"/>
    <w:rsid w:val="56D119C3"/>
    <w:rsid w:val="57A3478F"/>
    <w:rsid w:val="57E814AC"/>
    <w:rsid w:val="57F86260"/>
    <w:rsid w:val="5AF72EDA"/>
    <w:rsid w:val="5B975D90"/>
    <w:rsid w:val="5C3B31D9"/>
    <w:rsid w:val="5C4D676A"/>
    <w:rsid w:val="5E800339"/>
    <w:rsid w:val="5ED11FE7"/>
    <w:rsid w:val="5F21609C"/>
    <w:rsid w:val="5FDE20B9"/>
    <w:rsid w:val="60065A38"/>
    <w:rsid w:val="609749F5"/>
    <w:rsid w:val="6346226B"/>
    <w:rsid w:val="642E6B65"/>
    <w:rsid w:val="64E04C97"/>
    <w:rsid w:val="6614439C"/>
    <w:rsid w:val="666619E0"/>
    <w:rsid w:val="6682533F"/>
    <w:rsid w:val="66FF7DA9"/>
    <w:rsid w:val="67AA3536"/>
    <w:rsid w:val="68AE0AEF"/>
    <w:rsid w:val="68FF0055"/>
    <w:rsid w:val="69A91168"/>
    <w:rsid w:val="69BA6068"/>
    <w:rsid w:val="6AC242D8"/>
    <w:rsid w:val="6B9D0130"/>
    <w:rsid w:val="6C025952"/>
    <w:rsid w:val="6C1D0284"/>
    <w:rsid w:val="6C3F2167"/>
    <w:rsid w:val="6C7E02FB"/>
    <w:rsid w:val="6CAB62DC"/>
    <w:rsid w:val="6D2F770C"/>
    <w:rsid w:val="6D5270A3"/>
    <w:rsid w:val="6DA21005"/>
    <w:rsid w:val="6DAC1227"/>
    <w:rsid w:val="6DE94229"/>
    <w:rsid w:val="6E787440"/>
    <w:rsid w:val="6F7743DD"/>
    <w:rsid w:val="6F90542C"/>
    <w:rsid w:val="70BC134B"/>
    <w:rsid w:val="70E4517B"/>
    <w:rsid w:val="71794CEA"/>
    <w:rsid w:val="71B43FF9"/>
    <w:rsid w:val="72E32C08"/>
    <w:rsid w:val="757B6DFF"/>
    <w:rsid w:val="75862CA5"/>
    <w:rsid w:val="75924901"/>
    <w:rsid w:val="75DC79B9"/>
    <w:rsid w:val="77904748"/>
    <w:rsid w:val="779722B2"/>
    <w:rsid w:val="77F008AA"/>
    <w:rsid w:val="78853F32"/>
    <w:rsid w:val="78D855C6"/>
    <w:rsid w:val="78E40E0F"/>
    <w:rsid w:val="79797A2B"/>
    <w:rsid w:val="79F83F77"/>
    <w:rsid w:val="7A5C3FD5"/>
    <w:rsid w:val="7A68361F"/>
    <w:rsid w:val="7A965738"/>
    <w:rsid w:val="7AC57372"/>
    <w:rsid w:val="7B985587"/>
    <w:rsid w:val="7D2106AF"/>
    <w:rsid w:val="7E4E5C75"/>
    <w:rsid w:val="7E8963FB"/>
    <w:rsid w:val="7F83730A"/>
    <w:rsid w:val="7FC57B0A"/>
    <w:rsid w:val="7FD91FF5"/>
    <w:rsid w:val="7FED75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99"/>
    <w:pPr>
      <w:spacing w:before="25" w:after="25"/>
    </w:pPr>
    <w:rPr>
      <w:bCs/>
      <w:spacing w:val="10"/>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ody Text"/>
    <w:basedOn w:val="1"/>
    <w:unhideWhenUsed/>
    <w:qFormat/>
    <w:uiPriority w:val="99"/>
    <w:pPr>
      <w:spacing w:line="420" w:lineRule="exact"/>
    </w:pPr>
    <w:rPr>
      <w:sz w:val="24"/>
    </w:rPr>
  </w:style>
  <w:style w:type="paragraph" w:styleId="6">
    <w:name w:val="Body Text Indent"/>
    <w:basedOn w:val="1"/>
    <w:link w:val="19"/>
    <w:qFormat/>
    <w:uiPriority w:val="0"/>
    <w:pPr>
      <w:ind w:left="360"/>
    </w:pPr>
    <w:rPr>
      <w:rFonts w:ascii="宋体"/>
      <w:sz w:val="20"/>
    </w:rPr>
  </w:style>
  <w:style w:type="paragraph" w:styleId="7">
    <w:name w:val="Balloon Text"/>
    <w:basedOn w:val="1"/>
    <w:link w:val="15"/>
    <w:semiHidden/>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页眉 字符"/>
    <w:basedOn w:val="12"/>
    <w:link w:val="9"/>
    <w:qFormat/>
    <w:uiPriority w:val="99"/>
    <w:rPr>
      <w:rFonts w:ascii="Times New Roman" w:hAnsi="Times New Roman" w:eastAsia="宋体" w:cs="Times New Roman"/>
      <w:sz w:val="18"/>
      <w:szCs w:val="18"/>
    </w:rPr>
  </w:style>
  <w:style w:type="character" w:customStyle="1" w:styleId="14">
    <w:name w:val="页脚 字符"/>
    <w:basedOn w:val="12"/>
    <w:link w:val="8"/>
    <w:qFormat/>
    <w:uiPriority w:val="99"/>
    <w:rPr>
      <w:rFonts w:ascii="Times New Roman" w:hAnsi="Times New Roman" w:eastAsia="宋体" w:cs="Times New Roman"/>
      <w:sz w:val="18"/>
      <w:szCs w:val="18"/>
    </w:rPr>
  </w:style>
  <w:style w:type="character" w:customStyle="1" w:styleId="15">
    <w:name w:val="批注框文本 字符"/>
    <w:basedOn w:val="12"/>
    <w:link w:val="7"/>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_Style 2"/>
    <w:basedOn w:val="1"/>
    <w:qFormat/>
    <w:uiPriority w:val="34"/>
    <w:pPr>
      <w:ind w:firstLine="420" w:firstLineChars="200"/>
    </w:pPr>
    <w:rPr>
      <w:rFonts w:ascii="Calibri" w:hAnsi="Calibri"/>
      <w:sz w:val="24"/>
      <w:szCs w:val="22"/>
    </w:rPr>
  </w:style>
  <w:style w:type="paragraph" w:customStyle="1" w:styleId="18">
    <w:name w:val="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character" w:customStyle="1" w:styleId="19">
    <w:name w:val="正文文本缩进 字符"/>
    <w:basedOn w:val="12"/>
    <w:link w:val="6"/>
    <w:qFormat/>
    <w:uiPriority w:val="0"/>
    <w:rPr>
      <w:rFonts w:ascii="宋体" w:hAnsi="Times New Roman" w:eastAsia="宋体" w:cs="Times New Roman"/>
      <w:kern w:val="2"/>
    </w:rPr>
  </w:style>
  <w:style w:type="paragraph" w:styleId="2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1042</Words>
  <Characters>5942</Characters>
  <Lines>49</Lines>
  <Paragraphs>13</Paragraphs>
  <TotalTime>36</TotalTime>
  <ScaleCrop>false</ScaleCrop>
  <LinksUpToDate>false</LinksUpToDate>
  <CharactersWithSpaces>6971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2020-09-21T02:05:00Z</dcterms:created>
  <dc:creator>微软用户</dc:creator>
  <cp:lastModifiedBy>郭力</cp:lastModifiedBy>
  <dcterms:modified xsi:type="dcterms:W3CDTF">2023-02-23T06:25:54Z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EFC6982C77E645A9B7B80B4719B82D23</vt:lpwstr>
  </property>
</Properties>
</file>