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Times New Roman" w:hAnsi="Times New Roman" w:eastAsia="黑体"/>
          <w:sz w:val="18"/>
          <w:szCs w:val="21"/>
        </w:rPr>
      </w:pPr>
      <w:r>
        <w:rPr>
          <w:rFonts w:hint="eastAsia" w:ascii="Times New Roman" w:hAnsi="Times New Roman"/>
          <w:bCs/>
          <w:kern w:val="0"/>
          <w:sz w:val="18"/>
          <w:szCs w:val="21"/>
          <w:lang w:val="en-US" w:eastAsia="zh-CN"/>
        </w:rPr>
        <w:t xml:space="preserve">                                                   </w:t>
      </w:r>
      <w:r>
        <w:rPr>
          <w:rFonts w:ascii="Times New Roman" w:hAnsi="Times New Roman"/>
          <w:bCs/>
          <w:kern w:val="0"/>
          <w:sz w:val="18"/>
          <w:szCs w:val="21"/>
        </w:rPr>
        <w:t>编号：</w:t>
      </w:r>
      <w:bookmarkStart w:id="0" w:name="合同编号"/>
      <w:r>
        <w:rPr>
          <w:szCs w:val="21"/>
          <w:u w:val="single"/>
        </w:rPr>
        <w:t>0026-2023-R04</w:t>
      </w:r>
      <w:bookmarkEnd w:id="0"/>
    </w:p>
    <w:p>
      <w:pPr>
        <w:ind w:left="421" w:hanging="421" w:hangingChars="131"/>
        <w:jc w:val="center"/>
        <w:rPr>
          <w:rFonts w:ascii="Times New Roman" w:hAnsi="Times New Roman"/>
          <w:b/>
          <w:sz w:val="32"/>
          <w:szCs w:val="32"/>
        </w:rPr>
      </w:pPr>
      <w:bookmarkStart w:id="20" w:name="_GoBack"/>
      <w:bookmarkEnd w:id="20"/>
      <w:r>
        <w:rPr>
          <w:rFonts w:hint="eastAsia" w:ascii="Times New Roman" w:hAnsi="Times New Roman"/>
          <w:b/>
          <w:sz w:val="32"/>
          <w:szCs w:val="32"/>
          <w:lang w:eastAsia="zh-CN"/>
        </w:rPr>
        <w:t>审核</w:t>
      </w:r>
      <w:r>
        <w:rPr>
          <w:rFonts w:hint="eastAsia" w:ascii="Times New Roman" w:hAnsi="Times New Roman"/>
          <w:b/>
          <w:sz w:val="32"/>
          <w:szCs w:val="32"/>
        </w:rPr>
        <w:t>结果汇总表</w:t>
      </w:r>
    </w:p>
    <w:p>
      <w:pPr>
        <w:ind w:left="276" w:hanging="276" w:hangingChars="131"/>
        <w:rPr>
          <w:rFonts w:ascii="Times New Roman" w:hAnsi="Times New Roman"/>
          <w:b/>
          <w:sz w:val="32"/>
          <w:szCs w:val="32"/>
        </w:rPr>
      </w:pPr>
      <w:r>
        <w:rPr>
          <w:rFonts w:hint="eastAsia" w:ascii="Times New Roman" w:hAnsi="Times New Roman"/>
          <w:b/>
          <w:bCs/>
          <w:kern w:val="0"/>
          <w:szCs w:val="21"/>
        </w:rPr>
        <w:t>用能单位：</w:t>
      </w:r>
      <w:bookmarkStart w:id="1" w:name="组织名称"/>
      <w:r>
        <w:rPr>
          <w:rFonts w:hint="eastAsia" w:ascii="宋体" w:hAnsi="宋体"/>
          <w:szCs w:val="21"/>
        </w:rPr>
        <w:t>烟台东方威思顿电气有限公司</w:t>
      </w:r>
      <w:bookmarkEnd w:id="1"/>
    </w:p>
    <w:tbl>
      <w:tblPr>
        <w:tblStyle w:val="7"/>
        <w:tblW w:w="92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8"/>
        <w:gridCol w:w="760"/>
        <w:gridCol w:w="856"/>
        <w:gridCol w:w="856"/>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审核</w:t>
            </w:r>
            <w:r>
              <w:rPr>
                <w:rFonts w:hint="eastAsia" w:ascii="宋体" w:hAnsi="宋体" w:eastAsia="宋体" w:cs="宋体"/>
                <w:i w:val="0"/>
                <w:iCs w:val="0"/>
                <w:color w:val="000000"/>
                <w:kern w:val="0"/>
                <w:sz w:val="21"/>
                <w:szCs w:val="21"/>
                <w:u w:val="none"/>
                <w:lang w:val="en-US" w:eastAsia="zh-CN" w:bidi="ar"/>
              </w:rPr>
              <w:t>规范</w:t>
            </w:r>
            <w:r>
              <w:rPr>
                <w:rStyle w:val="14"/>
                <w:lang w:val="en-US" w:eastAsia="zh-CN" w:bidi="ar"/>
              </w:rPr>
              <w:t>条款号</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评定结论</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说明 </w:t>
            </w:r>
            <w:r>
              <w:rPr>
                <w:rStyle w:val="15"/>
                <w:rFonts w:eastAsia="宋体"/>
                <w:lang w:val="en-US" w:eastAsia="zh-CN" w:bidi="ar"/>
              </w:rPr>
              <w:t xml:space="preserve">                </w:t>
            </w:r>
            <w:r>
              <w:rPr>
                <w:rStyle w:val="14"/>
                <w:lang w:val="en-US" w:eastAsia="zh-CN" w:bidi="ar"/>
              </w:rPr>
              <w:t>（指出不符合项报告编号）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不符合</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不适用</w:t>
            </w: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Style w:val="16"/>
                <w:lang w:val="en-US" w:eastAsia="zh-CN" w:bidi="ar"/>
              </w:rPr>
              <w:t>能源计量管理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15"/>
                <w:rFonts w:eastAsia="宋体"/>
                <w:lang w:val="en-US" w:eastAsia="zh-CN" w:bidi="ar"/>
              </w:rPr>
              <w:t xml:space="preserve">.1 </w:t>
            </w:r>
            <w:r>
              <w:rPr>
                <w:rStyle w:val="14"/>
                <w:lang w:val="en-US" w:eastAsia="zh-CN" w:bidi="ar"/>
              </w:rPr>
              <w:t>总则</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Style w:val="17"/>
                <w:rFonts w:eastAsia="宋体"/>
                <w:lang w:val="en-US" w:eastAsia="zh-CN" w:bidi="ar"/>
              </w:rPr>
              <w:t xml:space="preserve">.2 </w:t>
            </w:r>
            <w:r>
              <w:rPr>
                <w:rStyle w:val="16"/>
                <w:lang w:val="en-US" w:eastAsia="zh-CN" w:bidi="ar"/>
              </w:rPr>
              <w:t>组织与管理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15"/>
                <w:rFonts w:eastAsia="宋体"/>
                <w:lang w:val="en-US" w:eastAsia="zh-CN" w:bidi="ar"/>
              </w:rPr>
              <w:t>.2.1</w:t>
            </w:r>
            <w:r>
              <w:rPr>
                <w:rStyle w:val="14"/>
                <w:lang w:val="en-US" w:eastAsia="zh-CN" w:bidi="ar"/>
              </w:rPr>
              <w:t>组织机构</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4.2.2 </w:t>
            </w:r>
            <w:r>
              <w:rPr>
                <w:rStyle w:val="16"/>
                <w:lang w:val="en-US" w:eastAsia="zh-CN" w:bidi="ar"/>
              </w:rPr>
              <w:t>管理职责</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4.2.2.1 </w:t>
            </w:r>
            <w:r>
              <w:rPr>
                <w:rStyle w:val="14"/>
                <w:lang w:val="en-US" w:eastAsia="zh-CN" w:bidi="ar"/>
              </w:rPr>
              <w:t>最高管理者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4.2.2.2 </w:t>
            </w:r>
            <w:r>
              <w:rPr>
                <w:rStyle w:val="14"/>
                <w:lang w:val="en-US" w:eastAsia="zh-CN" w:bidi="ar"/>
              </w:rPr>
              <w:t>分管负责人</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4.2.2.3 </w:t>
            </w:r>
            <w:r>
              <w:rPr>
                <w:rStyle w:val="14"/>
                <w:lang w:val="en-US" w:eastAsia="zh-CN" w:bidi="ar"/>
              </w:rPr>
              <w:t>主管部门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4.2.2.4 </w:t>
            </w:r>
            <w:r>
              <w:rPr>
                <w:rStyle w:val="14"/>
                <w:lang w:val="en-US" w:eastAsia="zh-CN" w:bidi="ar"/>
              </w:rPr>
              <w:t>能源计量岗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4.3 </w:t>
            </w:r>
            <w:r>
              <w:rPr>
                <w:rStyle w:val="16"/>
                <w:lang w:val="en-US" w:eastAsia="zh-CN" w:bidi="ar"/>
              </w:rPr>
              <w:t>能源计量管理制度</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4.3.1 </w:t>
            </w:r>
            <w:r>
              <w:rPr>
                <w:rStyle w:val="14"/>
                <w:lang w:val="en-US" w:eastAsia="zh-CN" w:bidi="ar"/>
              </w:rPr>
              <w:t>管理制度应形成文件，并宣贯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4.3.2 </w:t>
            </w:r>
            <w:r>
              <w:rPr>
                <w:rStyle w:val="14"/>
                <w:lang w:val="en-US" w:eastAsia="zh-CN" w:bidi="ar"/>
              </w:rPr>
              <w:t>能源计量管理制度的内容</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4.4 </w:t>
            </w:r>
            <w:r>
              <w:rPr>
                <w:rStyle w:val="16"/>
                <w:lang w:val="en-US" w:eastAsia="zh-CN" w:bidi="ar"/>
              </w:rPr>
              <w:t>能源计量目标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4.4.1 </w:t>
            </w:r>
            <w:r>
              <w:rPr>
                <w:rStyle w:val="15"/>
                <w:rFonts w:eastAsia="宋体"/>
                <w:lang w:val="en-US" w:eastAsia="zh-CN" w:bidi="ar"/>
              </w:rPr>
              <w:t xml:space="preserve"> </w:t>
            </w:r>
            <w:r>
              <w:rPr>
                <w:rStyle w:val="14"/>
                <w:lang w:val="en-US" w:eastAsia="zh-CN" w:bidi="ar"/>
              </w:rPr>
              <w:t>能源计量目标应形成文件，并与能源方针和节能目标保持一致</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4.4.2 </w:t>
            </w:r>
            <w:r>
              <w:rPr>
                <w:rStyle w:val="15"/>
                <w:rFonts w:eastAsia="宋体"/>
                <w:lang w:val="en-US" w:eastAsia="zh-CN" w:bidi="ar"/>
              </w:rPr>
              <w:t xml:space="preserve"> </w:t>
            </w:r>
            <w:r>
              <w:rPr>
                <w:rStyle w:val="14"/>
                <w:lang w:val="en-US" w:eastAsia="zh-CN" w:bidi="ar"/>
              </w:rPr>
              <w:t>能源计量目标的内容</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4.4.3 </w:t>
            </w:r>
            <w:r>
              <w:rPr>
                <w:rStyle w:val="14"/>
                <w:lang w:val="en-US" w:eastAsia="zh-CN" w:bidi="ar"/>
              </w:rPr>
              <w:t>能源计量目标的测量方法和定期评价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5 </w:t>
            </w:r>
            <w:r>
              <w:rPr>
                <w:rStyle w:val="16"/>
                <w:lang w:val="en-US" w:eastAsia="zh-CN" w:bidi="ar"/>
              </w:rPr>
              <w:t>能源计量人员</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5.1 </w:t>
            </w:r>
            <w:r>
              <w:rPr>
                <w:rStyle w:val="16"/>
                <w:lang w:val="en-US" w:eastAsia="zh-CN" w:bidi="ar"/>
              </w:rPr>
              <w:t>能源计量人员的配备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5.1.1 </w:t>
            </w:r>
            <w:r>
              <w:rPr>
                <w:rStyle w:val="14"/>
                <w:lang w:val="en-US" w:eastAsia="zh-CN" w:bidi="ar"/>
              </w:rPr>
              <w:t>配备足够的专业管理人员</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5.1.2 </w:t>
            </w:r>
            <w:r>
              <w:rPr>
                <w:rStyle w:val="14"/>
                <w:lang w:val="en-US" w:eastAsia="zh-CN" w:bidi="ar"/>
              </w:rPr>
              <w:t>应设专人负责能源计量器具管理工作</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5.1.3 </w:t>
            </w:r>
            <w:r>
              <w:rPr>
                <w:rStyle w:val="14"/>
                <w:lang w:val="en-US" w:eastAsia="zh-CN" w:bidi="ar"/>
              </w:rPr>
              <w:t>应设专人负责能源计量数据管理工作</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5.2 </w:t>
            </w:r>
            <w:r>
              <w:rPr>
                <w:rStyle w:val="17"/>
                <w:rFonts w:eastAsia="宋体"/>
                <w:lang w:val="en-US" w:eastAsia="zh-CN" w:bidi="ar"/>
              </w:rPr>
              <w:t xml:space="preserve"> </w:t>
            </w:r>
            <w:r>
              <w:rPr>
                <w:rStyle w:val="16"/>
                <w:lang w:val="en-US" w:eastAsia="zh-CN" w:bidi="ar"/>
              </w:rPr>
              <w:t>人员的培训和资质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5.2.1 </w:t>
            </w:r>
            <w:r>
              <w:rPr>
                <w:rStyle w:val="14"/>
                <w:lang w:val="en-US" w:eastAsia="zh-CN" w:bidi="ar"/>
              </w:rPr>
              <w:t>应掌握从事岗位所需的专业技术和业务知识，具备能源计量技术和业务能力，定期接受培训，并按有关规定持证上岗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5.2.2 </w:t>
            </w:r>
            <w:r>
              <w:rPr>
                <w:rStyle w:val="14"/>
                <w:lang w:val="en-US" w:eastAsia="zh-CN" w:bidi="ar"/>
              </w:rPr>
              <w:t>从事计量检定</w:t>
            </w:r>
            <w:r>
              <w:rPr>
                <w:rStyle w:val="15"/>
                <w:rFonts w:eastAsia="宋体"/>
                <w:lang w:val="en-US" w:eastAsia="zh-CN" w:bidi="ar"/>
              </w:rPr>
              <w:t>/</w:t>
            </w:r>
            <w:r>
              <w:rPr>
                <w:rStyle w:val="14"/>
                <w:lang w:val="en-US" w:eastAsia="zh-CN" w:bidi="ar"/>
              </w:rPr>
              <w:t>校准等人员应通过相关培训考核，取得相应资质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5.2.3 </w:t>
            </w:r>
            <w:r>
              <w:rPr>
                <w:rStyle w:val="14"/>
                <w:lang w:val="en-US" w:eastAsia="zh-CN" w:bidi="ar"/>
              </w:rPr>
              <w:t>应建立能源计量工作人员技术档案</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Style w:val="17"/>
                <w:rFonts w:eastAsia="宋体"/>
                <w:lang w:val="en-US" w:eastAsia="zh-CN" w:bidi="ar"/>
              </w:rPr>
              <w:t xml:space="preserve"> </w:t>
            </w:r>
            <w:r>
              <w:rPr>
                <w:rStyle w:val="16"/>
                <w:lang w:val="en-US" w:eastAsia="zh-CN" w:bidi="ar"/>
              </w:rPr>
              <w:t>能源计量器具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6.1 </w:t>
            </w:r>
            <w:r>
              <w:rPr>
                <w:rStyle w:val="16"/>
                <w:lang w:val="en-US" w:eastAsia="zh-CN" w:bidi="ar"/>
              </w:rPr>
              <w:t>能源计量器具的配备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6.1.1 </w:t>
            </w:r>
            <w:r>
              <w:rPr>
                <w:rStyle w:val="16"/>
                <w:lang w:val="en-US" w:eastAsia="zh-CN" w:bidi="ar"/>
              </w:rPr>
              <w:t>能源计量器具的配备原则</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6.1.1.1 </w:t>
            </w:r>
            <w:r>
              <w:rPr>
                <w:rStyle w:val="14"/>
                <w:lang w:val="en-US" w:eastAsia="zh-CN" w:bidi="ar"/>
              </w:rPr>
              <w:t>能源计量器具配备应满足能源分类、分级、分项计量要求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6.1.1.2 </w:t>
            </w:r>
            <w:r>
              <w:rPr>
                <w:rStyle w:val="14"/>
                <w:lang w:val="en-US" w:eastAsia="zh-CN" w:bidi="ar"/>
              </w:rPr>
              <w:t>应配备必要的便携式能源计量器具，以满足自检自查要求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6.1.2 </w:t>
            </w:r>
            <w:r>
              <w:rPr>
                <w:rStyle w:val="16"/>
                <w:lang w:val="en-US" w:eastAsia="zh-CN" w:bidi="ar"/>
              </w:rPr>
              <w:t>能源计量器具的配备要求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6.1.2.1 </w:t>
            </w:r>
            <w:r>
              <w:rPr>
                <w:rStyle w:val="14"/>
                <w:lang w:val="en-US" w:eastAsia="zh-CN" w:bidi="ar"/>
              </w:rPr>
              <w:t>能源计量器具配备应符合《用能单位能源计量器具配备和管理通则》（</w:t>
            </w:r>
            <w:r>
              <w:rPr>
                <w:rStyle w:val="15"/>
                <w:rFonts w:eastAsia="宋体"/>
                <w:lang w:val="en-US" w:eastAsia="zh-CN" w:bidi="ar"/>
              </w:rPr>
              <w:t>GB17167-2006</w:t>
            </w:r>
            <w:r>
              <w:rPr>
                <w:rStyle w:val="14"/>
                <w:lang w:val="en-US" w:eastAsia="zh-CN" w:bidi="ar"/>
              </w:rPr>
              <w:t>）要求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6.1.2.2 </w:t>
            </w:r>
            <w:r>
              <w:rPr>
                <w:rStyle w:val="14"/>
                <w:lang w:val="en-US" w:eastAsia="zh-CN" w:bidi="ar"/>
              </w:rPr>
              <w:t>有关国家标准对特殊行业的能源计量器具配备有特定要求的，应执行其规定</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6.1.3 </w:t>
            </w:r>
            <w:r>
              <w:rPr>
                <w:rStyle w:val="16"/>
                <w:lang w:val="en-US" w:eastAsia="zh-CN" w:bidi="ar"/>
              </w:rPr>
              <w:t>能源计量器具理论需要量确认</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6.1.3.1 </w:t>
            </w:r>
            <w:r>
              <w:rPr>
                <w:rStyle w:val="14"/>
                <w:lang w:val="en-US" w:eastAsia="zh-CN" w:bidi="ar"/>
              </w:rPr>
              <w:t>应形成能源流向图和能源计量采集点网络图</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6.1.3.2 </w:t>
            </w:r>
            <w:r>
              <w:rPr>
                <w:rStyle w:val="14"/>
                <w:lang w:val="en-US" w:eastAsia="zh-CN" w:bidi="ar"/>
              </w:rPr>
              <w:t>设置的能源计量采集点应覆盖重点用能单位能源分类、分级、分项计量的需求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6.1.3.3 </w:t>
            </w:r>
            <w:r>
              <w:rPr>
                <w:rStyle w:val="14"/>
                <w:lang w:val="en-US" w:eastAsia="zh-CN" w:bidi="ar"/>
              </w:rPr>
              <w:t>重点用能单位应根据能源计量采集点确认需配备的能源计量器具种类、数量、准确度等级</w:t>
            </w:r>
            <w:r>
              <w:rPr>
                <w:rStyle w:val="15"/>
                <w:rFonts w:eastAsia="宋体"/>
                <w:lang w:val="en-US" w:eastAsia="zh-CN" w:bidi="ar"/>
              </w:rPr>
              <w:t>,</w:t>
            </w:r>
            <w:r>
              <w:rPr>
                <w:rStyle w:val="14"/>
                <w:lang w:val="en-US" w:eastAsia="zh-CN" w:bidi="ar"/>
              </w:rPr>
              <w:t>并形成文件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i w:val="0"/>
                <w:iCs w:val="0"/>
                <w:color w:val="000000"/>
                <w:sz w:val="21"/>
                <w:szCs w:val="21"/>
                <w:u w:val="none"/>
              </w:rPr>
            </w:pPr>
            <w:r>
              <w:rPr>
                <w:rFonts w:hint="eastAsia" w:ascii="Times New Roman" w:hAnsi="Times New Roman"/>
                <w:kern w:val="0"/>
                <w:szCs w:val="21"/>
              </w:rPr>
              <w:t>6.1.3.4 重点用能单位应定期对能源流向图、能源计量采集点和能源计量器具需要量进行评审,以符合实际状况</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overflowPunct w:val="0"/>
              <w:autoSpaceDE w:val="0"/>
              <w:autoSpaceDN w:val="0"/>
              <w:spacing w:line="400" w:lineRule="exact"/>
              <w:jc w:val="left"/>
              <w:rPr>
                <w:rFonts w:hint="default" w:ascii="Times New Roman" w:hAnsi="Times New Roman" w:eastAsia="宋体" w:cs="Times New Roman"/>
                <w:b w:val="0"/>
                <w:kern w:val="0"/>
                <w:sz w:val="21"/>
                <w:szCs w:val="21"/>
                <w:lang w:val="en-US" w:eastAsia="zh-CN" w:bidi="ar-SA"/>
              </w:rPr>
            </w:pPr>
            <w:bookmarkStart w:id="2" w:name="_Toc17031"/>
            <w:bookmarkStart w:id="3" w:name="_Toc329868426"/>
            <w:r>
              <w:rPr>
                <w:rFonts w:hint="eastAsia" w:ascii="Times New Roman" w:hAnsi="Times New Roman" w:eastAsia="宋体" w:cs="Times New Roman"/>
                <w:b w:val="0"/>
                <w:kern w:val="0"/>
                <w:sz w:val="21"/>
                <w:szCs w:val="21"/>
                <w:lang w:val="en-US" w:eastAsia="zh-CN" w:bidi="ar-SA"/>
              </w:rPr>
              <w:t>6.2  能源计量器具管理</w:t>
            </w:r>
            <w:bookmarkEnd w:id="2"/>
            <w:bookmarkEnd w:id="3"/>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6.2.1 能源计量器具的管理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6.2.2 能源计量器具台张或一览表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6.2.3 能源计量器具档案</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6.2.4 能源计量器具标识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bookmarkStart w:id="4" w:name="_Toc329868427"/>
            <w:bookmarkStart w:id="5" w:name="_Toc20710"/>
            <w:r>
              <w:rPr>
                <w:rFonts w:hint="eastAsia" w:ascii="Times New Roman" w:hAnsi="Times New Roman" w:eastAsia="宋体" w:cs="Times New Roman"/>
                <w:b w:val="0"/>
                <w:kern w:val="0"/>
                <w:sz w:val="21"/>
                <w:szCs w:val="21"/>
                <w:lang w:val="en-US" w:eastAsia="zh-CN" w:bidi="ar-SA"/>
              </w:rPr>
              <w:t>6.3  能源计量器具检定/校准</w:t>
            </w:r>
            <w:bookmarkEnd w:id="4"/>
            <w:bookmarkEnd w:id="5"/>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6.3.1 能源计量器具量值传递或溯源图</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6.3.2  自行检定/校准能源计量器具应建立本单位最高计量标准，并经考核合格</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6.3.3  能源计量器具周期检定校准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6.4  能源计量器具使用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6.4.1 能源计量器具应处于有效的检定校准状态</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6.4.2 能源计量器具应专人负责，说明书、检定校准书等资料妥善保存，并易于取用。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6.4.3 能源计量器具应在规定的环境下使用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6.4.4 不得改动能源计量器具的铅封、封印及其他保护装置</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6.4.5 能源计量器具的意外情况的处置</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bookmarkStart w:id="6" w:name="_Toc13734"/>
            <w:bookmarkStart w:id="7" w:name="_Toc329868429"/>
            <w:r>
              <w:rPr>
                <w:rFonts w:hint="eastAsia" w:ascii="Times New Roman" w:hAnsi="Times New Roman" w:eastAsia="宋体" w:cs="Times New Roman"/>
                <w:b w:val="0"/>
                <w:kern w:val="0"/>
                <w:sz w:val="21"/>
                <w:szCs w:val="21"/>
                <w:lang w:val="en-US" w:eastAsia="zh-CN" w:bidi="ar-SA"/>
              </w:rPr>
              <w:t>7  能源计量数据管理</w:t>
            </w:r>
            <w:bookmarkEnd w:id="6"/>
            <w:bookmarkEnd w:id="7"/>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bookmarkStart w:id="8" w:name="_Toc30460"/>
            <w:bookmarkStart w:id="9" w:name="_Toc329868430"/>
            <w:r>
              <w:rPr>
                <w:rFonts w:hint="eastAsia" w:ascii="Times New Roman" w:hAnsi="Times New Roman" w:eastAsia="宋体" w:cs="Times New Roman"/>
                <w:b w:val="0"/>
                <w:kern w:val="0"/>
                <w:sz w:val="21"/>
                <w:szCs w:val="21"/>
                <w:lang w:val="en-US" w:eastAsia="zh-CN" w:bidi="ar-SA"/>
              </w:rPr>
              <w:t>7.1 能源计量数据采集</w:t>
            </w:r>
            <w:bookmarkEnd w:id="8"/>
            <w:bookmarkEnd w:id="9"/>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7.1.1 能源计量数据采集原则</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7.1.2  能源计量数据采集要求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7.1.3 能源计量数据采集方式</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7.1.4  能源计量采集应按照标准、规范或程序并在受控条件下进行</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7.1.5  能源计量采集记录要求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cs="Times New Roman"/>
                <w:b w:val="0"/>
                <w:kern w:val="0"/>
                <w:sz w:val="21"/>
                <w:szCs w:val="21"/>
                <w:lang w:val="en-US" w:eastAsia="zh-CN" w:bidi="ar-SA"/>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bookmarkStart w:id="10" w:name="_Toc329868431"/>
            <w:bookmarkStart w:id="11" w:name="_Toc18088"/>
            <w:r>
              <w:rPr>
                <w:rFonts w:hint="eastAsia" w:ascii="Times New Roman" w:hAnsi="Times New Roman" w:eastAsia="宋体" w:cs="Times New Roman"/>
                <w:b w:val="0"/>
                <w:kern w:val="0"/>
                <w:sz w:val="21"/>
                <w:szCs w:val="21"/>
                <w:lang w:val="en-US" w:eastAsia="zh-CN" w:bidi="ar-SA"/>
              </w:rPr>
              <w:t>7.2  能源计量数据处理</w:t>
            </w:r>
            <w:bookmarkEnd w:id="10"/>
            <w:bookmarkEnd w:id="11"/>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7.2.1  能源计量原始数据不得随意更改</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7.2.2 能源计量数据意外情况的处置</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7.2.3  经处理后的能源计量数据应由授权人员进行审核确认</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bookmarkStart w:id="12" w:name="_Toc28310"/>
            <w:bookmarkStart w:id="13" w:name="_Toc329868432"/>
            <w:r>
              <w:rPr>
                <w:rFonts w:hint="eastAsia" w:ascii="Times New Roman" w:hAnsi="Times New Roman" w:eastAsia="宋体" w:cs="Times New Roman"/>
                <w:b w:val="0"/>
                <w:kern w:val="0"/>
                <w:sz w:val="21"/>
                <w:szCs w:val="21"/>
                <w:lang w:val="en-US" w:eastAsia="zh-CN" w:bidi="ar-SA"/>
              </w:rPr>
              <w:t>7.3  能源计量数据应用</w:t>
            </w:r>
            <w:bookmarkEnd w:id="12"/>
            <w:bookmarkEnd w:id="13"/>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7.3.1 能源统计报表数据应能追溯至计量采集记录。</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7.3.2  重点用能单位制定年度节能目标和实施方案，应以能源计量数据为基础，有针对性地采取计量管理或计量改造措施。</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7.3.3  重点用能单位应利用能源计量数据进行节能分析。</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7.3.4  重点用能单位应将能源计量数据作为开展能源审计、能源平衡测试、能源效率限额对标、节能降耗改造等活动的依据，提高能源使用效率。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bookmarkStart w:id="14" w:name="_Toc329868433"/>
            <w:bookmarkStart w:id="15" w:name="_Toc4476"/>
            <w:r>
              <w:rPr>
                <w:rFonts w:hint="eastAsia" w:ascii="Times New Roman" w:hAnsi="Times New Roman" w:eastAsia="宋体" w:cs="Times New Roman"/>
                <w:b w:val="0"/>
                <w:kern w:val="0"/>
                <w:sz w:val="21"/>
                <w:szCs w:val="21"/>
                <w:lang w:val="en-US" w:eastAsia="zh-CN" w:bidi="ar-SA"/>
              </w:rPr>
              <w:t>8  自查与整改</w:t>
            </w:r>
            <w:bookmarkEnd w:id="14"/>
            <w:bookmarkEnd w:id="15"/>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bookmarkStart w:id="16" w:name="_Toc329868434"/>
            <w:bookmarkStart w:id="17" w:name="_Toc23067"/>
            <w:r>
              <w:rPr>
                <w:rFonts w:hint="eastAsia" w:ascii="Times New Roman" w:hAnsi="Times New Roman" w:eastAsia="宋体" w:cs="Times New Roman"/>
                <w:b w:val="0"/>
                <w:kern w:val="0"/>
                <w:sz w:val="21"/>
                <w:szCs w:val="21"/>
                <w:lang w:val="en-US" w:eastAsia="zh-CN" w:bidi="ar-SA"/>
              </w:rPr>
              <w:t>8.1  自查</w:t>
            </w:r>
            <w:bookmarkEnd w:id="16"/>
            <w:bookmarkEnd w:id="17"/>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8.1.1  重点用能单位每年应制定能源计量自查方案并组织自查</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8.1.2  自查应形成记录，</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8.1.3  自查应形成报告，</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left"/>
              <w:rPr>
                <w:rFonts w:hint="eastAsia" w:ascii="Times New Roman" w:hAnsi="Times New Roman" w:eastAsia="宋体" w:cs="Times New Roman"/>
                <w:b w:val="0"/>
                <w:kern w:val="0"/>
                <w:sz w:val="21"/>
                <w:szCs w:val="21"/>
                <w:lang w:val="en-US" w:eastAsia="zh-CN" w:bidi="ar-SA"/>
              </w:rPr>
            </w:pPr>
            <w:bookmarkStart w:id="18" w:name="_Toc329868435"/>
            <w:bookmarkStart w:id="19" w:name="_Toc14713"/>
            <w:r>
              <w:rPr>
                <w:rFonts w:hint="eastAsia" w:ascii="Times New Roman" w:hAnsi="Times New Roman" w:eastAsia="宋体" w:cs="Times New Roman"/>
                <w:b w:val="0"/>
                <w:kern w:val="0"/>
                <w:sz w:val="21"/>
                <w:szCs w:val="21"/>
                <w:lang w:val="en-US" w:eastAsia="zh-CN" w:bidi="ar-SA"/>
              </w:rPr>
              <w:t>8.2  整改</w:t>
            </w:r>
            <w:bookmarkEnd w:id="18"/>
            <w:bookmarkEnd w:id="19"/>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b w:val="0"/>
                <w:kern w:val="0"/>
                <w:sz w:val="21"/>
                <w:szCs w:val="21"/>
                <w:lang w:val="en-US" w:eastAsia="zh-CN" w:bidi="ar-SA"/>
              </w:rPr>
            </w:pPr>
            <w:r>
              <w:rPr>
                <w:rFonts w:hint="default" w:ascii="Arial" w:hAnsi="Arial" w:eastAsia="宋体" w:cs="Arial"/>
                <w:i w:val="0"/>
                <w:iCs w:val="0"/>
                <w:color w:val="000000"/>
                <w:sz w:val="21"/>
                <w:szCs w:val="21"/>
                <w:u w:val="none"/>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2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210" w:firstLineChars="100"/>
              <w:jc w:val="center"/>
              <w:textAlignment w:val="top"/>
              <w:rPr>
                <w:rFonts w:hint="default" w:ascii="Times New Roman" w:hAnsi="Times New Roman" w:eastAsia="宋体" w:cs="Times New Roman"/>
                <w:b w:val="0"/>
                <w:kern w:val="0"/>
                <w:sz w:val="21"/>
                <w:szCs w:val="21"/>
                <w:lang w:val="en-US" w:eastAsia="zh-CN" w:bidi="ar-SA"/>
              </w:rPr>
            </w:pPr>
            <w:r>
              <w:rPr>
                <w:rFonts w:hint="eastAsia" w:ascii="Times New Roman" w:hAnsi="Times New Roman" w:eastAsia="宋体" w:cs="Times New Roman"/>
                <w:b w:val="0"/>
                <w:kern w:val="0"/>
                <w:sz w:val="21"/>
                <w:szCs w:val="21"/>
                <w:lang w:val="en-US" w:eastAsia="zh-CN" w:bidi="ar-SA"/>
              </w:rPr>
              <w:t>合计</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cs="Times New Roman"/>
                <w:b w:val="0"/>
                <w:kern w:val="0"/>
                <w:sz w:val="21"/>
                <w:szCs w:val="21"/>
                <w:lang w:val="en-US" w:eastAsia="zh-CN" w:bidi="ar-SA"/>
              </w:rPr>
              <w:t>73</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cs="Times New Roman"/>
                <w:b w:val="0"/>
                <w:kern w:val="0"/>
                <w:sz w:val="21"/>
                <w:szCs w:val="21"/>
                <w:lang w:val="en-US" w:eastAsia="zh-CN" w:bidi="ar-SA"/>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r>
              <w:rPr>
                <w:rFonts w:hint="eastAsia" w:ascii="Times New Roman" w:hAnsi="Times New Roman" w:cs="Times New Roman"/>
                <w:b w:val="0"/>
                <w:kern w:val="0"/>
                <w:sz w:val="21"/>
                <w:szCs w:val="21"/>
                <w:lang w:val="en-US" w:eastAsia="zh-CN" w:bidi="ar-SA"/>
              </w:rPr>
              <w:t>1</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b w:val="0"/>
                <w:kern w:val="0"/>
                <w:sz w:val="21"/>
                <w:szCs w:val="21"/>
                <w:lang w:val="en-US" w:eastAsia="zh-CN" w:bidi="ar-SA"/>
              </w:rPr>
            </w:pPr>
          </w:p>
        </w:tc>
      </w:tr>
    </w:tbl>
    <w:p>
      <w:pPr>
        <w:jc w:val="left"/>
        <w:rPr>
          <w:rFonts w:hint="eastAsia" w:ascii="Times New Roman" w:hAnsi="Times New Roman" w:eastAsia="宋体" w:cs="Times New Roman"/>
          <w:b w:val="0"/>
          <w:kern w:val="0"/>
          <w:sz w:val="21"/>
          <w:szCs w:val="21"/>
          <w:lang w:val="en-US" w:eastAsia="zh-CN" w:bidi="ar-SA"/>
        </w:rPr>
      </w:pPr>
    </w:p>
    <w:p>
      <w:pPr>
        <w:ind w:firstLine="420" w:firstLineChars="200"/>
        <w:rPr>
          <w:rFonts w:hint="default" w:eastAsia="宋体"/>
          <w:lang w:val="en-US" w:eastAsia="zh-CN"/>
        </w:rPr>
      </w:pPr>
      <w:r>
        <w:rPr>
          <w:rFonts w:hint="eastAsia" w:ascii="宋体" w:hAnsi="宋体" w:cs="宋体"/>
          <w:kern w:val="0"/>
          <w:szCs w:val="21"/>
        </w:rPr>
        <w:t>审核组组长（签字）：</w:t>
      </w:r>
      <w:r>
        <w:rPr>
          <w:color w:val="auto"/>
          <w:szCs w:val="21"/>
        </w:rPr>
        <w:drawing>
          <wp:inline distT="0" distB="0" distL="114300" distR="114300">
            <wp:extent cx="614680" cy="360680"/>
            <wp:effectExtent l="0" t="0" r="7620" b="7620"/>
            <wp:docPr id="1" name="图片 1" descr="微信图片_2023021314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3141715"/>
                    <pic:cNvPicPr>
                      <a:picLocks noChangeAspect="1"/>
                    </pic:cNvPicPr>
                  </pic:nvPicPr>
                  <pic:blipFill>
                    <a:blip r:embed="rId10"/>
                    <a:stretch>
                      <a:fillRect/>
                    </a:stretch>
                  </pic:blipFill>
                  <pic:spPr>
                    <a:xfrm>
                      <a:off x="0" y="0"/>
                      <a:ext cx="614680" cy="360680"/>
                    </a:xfrm>
                    <a:prstGeom prst="rect">
                      <a:avLst/>
                    </a:prstGeom>
                    <a:noFill/>
                    <a:ln>
                      <a:noFill/>
                    </a:ln>
                  </pic:spPr>
                </pic:pic>
              </a:graphicData>
            </a:graphic>
          </wp:inline>
        </w:drawing>
      </w:r>
      <w:r>
        <w:rPr>
          <w:rFonts w:hint="eastAsia" w:ascii="宋体" w:hAnsi="宋体" w:cs="宋体"/>
          <w:kern w:val="0"/>
          <w:szCs w:val="21"/>
        </w:rPr>
        <w:t xml:space="preserve">                            日期：</w:t>
      </w:r>
      <w:r>
        <w:rPr>
          <w:rFonts w:hint="eastAsia" w:ascii="宋体" w:hAnsi="宋体" w:cs="宋体"/>
          <w:kern w:val="0"/>
          <w:szCs w:val="21"/>
          <w:lang w:val="en-US" w:eastAsia="zh-CN"/>
        </w:rPr>
        <w:t>2023.02.16</w:t>
      </w:r>
    </w:p>
    <w:p>
      <w:pPr>
        <w:jc w:val="righ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266" w:bottom="1440" w:left="11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pPr>
    <w:r>
      <w:tab/>
    </w:r>
  </w:p>
  <w:p>
    <w:pPr>
      <w:pStyle w:val="6"/>
      <w:pBdr>
        <w:bottom w:val="none" w:color="auto" w:sz="0" w:space="0"/>
      </w:pBdr>
      <w:spacing w:line="320" w:lineRule="exact"/>
      <w:ind w:firstLine="315" w:firstLineChars="150"/>
      <w:jc w:val="left"/>
      <w:rPr>
        <w:rStyle w:val="13"/>
        <w:rFonts w:hint="default" w:ascii="Times New Roman" w:hAnsi="Times New Roman" w:cs="Times New Roman"/>
        <w:szCs w:val="21"/>
      </w:rPr>
    </w:pPr>
    <w:r>
      <w:rPr>
        <w:rFonts w:ascii="Times New Roman" w:hAnsi="Times New Roman" w:cs="Times New Roman"/>
        <w:sz w:val="21"/>
        <w:szCs w:val="21"/>
      </w:rPr>
      <w:pict>
        <v:shape id="文本框 1" o:spid="_x0000_s1029" o:spt="202" type="#_x0000_t202" style="position:absolute;left:0pt;margin-left:311.45pt;margin-top:11.4pt;height:20.4pt;width:118.85pt;z-index:251659264;mso-width-relative:page;mso-height-relative:page;" stroked="f" coordsize="21600,21600"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v:path/>
          <v:fill focussize="0,0"/>
          <v:stroke on="f" joinstyle="miter"/>
          <v:imagedata o:title=""/>
          <o:lock v:ext="edit"/>
          <v:textbox>
            <w:txbxContent>
              <w:p>
                <w:pPr>
                  <w:rPr>
                    <w:rFonts w:ascii="Times New Roman" w:hAnsi="Times New Roman"/>
                    <w:sz w:val="18"/>
                    <w:szCs w:val="18"/>
                  </w:rPr>
                </w:pPr>
                <w:r>
                  <w:rPr>
                    <w:rFonts w:hint="eastAsia" w:ascii="Times New Roman" w:hAnsi="Times New Roman"/>
                    <w:szCs w:val="21"/>
                  </w:rPr>
                  <w:t>ISC-N-I-16</w:t>
                </w:r>
                <w:r>
                  <w:rPr>
                    <w:rFonts w:ascii="Times New Roman" w:hAnsi="Times New Roman"/>
                    <w:szCs w:val="21"/>
                  </w:rPr>
                  <w:t>（0</w:t>
                </w:r>
                <w:r>
                  <w:rPr>
                    <w:rFonts w:hint="eastAsia" w:ascii="Times New Roman" w:hAnsi="Times New Roman"/>
                    <w:szCs w:val="21"/>
                  </w:rPr>
                  <w:t>1</w:t>
                </w:r>
                <w:r>
                  <w:rPr>
                    <w:rFonts w:ascii="Times New Roman" w:hAnsi="Times New Roman"/>
                    <w:szCs w:val="21"/>
                  </w:rPr>
                  <w:t>版）</w:t>
                </w:r>
              </w:p>
            </w:txbxContent>
          </v:textbox>
        </v:shape>
      </w:pict>
    </w:r>
    <w:r>
      <w:rPr>
        <w:rFonts w:ascii="Times New Roman" w:hAnsi="Times New Roman" w:cs="Times New Roman"/>
        <w:sz w:val="21"/>
        <w:szCs w:val="21"/>
      </w:rPr>
      <w:drawing>
        <wp:anchor distT="0" distB="0" distL="114300" distR="114300" simplePos="0" relativeHeight="251661312" behindDoc="0" locked="0" layoutInCell="1" allowOverlap="1">
          <wp:simplePos x="0" y="0"/>
          <wp:positionH relativeFrom="column">
            <wp:posOffset>-168275</wp:posOffset>
          </wp:positionH>
          <wp:positionV relativeFrom="paragraph">
            <wp:posOffset>44450</wp:posOffset>
          </wp:positionV>
          <wp:extent cx="349885" cy="349885"/>
          <wp:effectExtent l="19050" t="0" r="0"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1"/>
                  <a:stretch>
                    <a:fillRect/>
                  </a:stretch>
                </pic:blipFill>
                <pic:spPr>
                  <a:xfrm>
                    <a:off x="0" y="0"/>
                    <a:ext cx="349885" cy="349885"/>
                  </a:xfrm>
                  <a:prstGeom prst="rect">
                    <a:avLst/>
                  </a:prstGeom>
                  <a:noFill/>
                  <a:ln>
                    <a:noFill/>
                  </a:ln>
                </pic:spPr>
              </pic:pic>
            </a:graphicData>
          </a:graphic>
        </wp:anchor>
      </w:drawing>
    </w:r>
    <w:r>
      <w:rPr>
        <w:rStyle w:val="13"/>
        <w:rFonts w:hint="default" w:ascii="Times New Roman" w:hAnsi="Times New Roman" w:cs="Times New Roman"/>
        <w:szCs w:val="21"/>
      </w:rPr>
      <w:t>北京国标联合认证有限公司</w:t>
    </w:r>
  </w:p>
  <w:p>
    <w:pPr>
      <w:pStyle w:val="6"/>
      <w:pBdr>
        <w:bottom w:val="none" w:color="auto" w:sz="0" w:space="1"/>
      </w:pBdr>
      <w:spacing w:line="320" w:lineRule="exact"/>
      <w:ind w:firstLine="330" w:firstLineChars="197"/>
      <w:jc w:val="left"/>
    </w:pPr>
    <w:r>
      <w:rPr>
        <w:rStyle w:val="13"/>
        <w:rFonts w:hint="default" w:ascii="Times New Roman" w:hAnsi="Times New Roman" w:cs="Times New Roman"/>
        <w:w w:val="80"/>
        <w:szCs w:val="21"/>
      </w:rPr>
      <w:t>Beijing International Standard united Certification Co.,Ltd.</w:t>
    </w:r>
  </w:p>
  <w:p>
    <w:r>
      <w:pict>
        <v:line id="_x0000_s1030" o:spid="_x0000_s1030" o:spt="20" style="position:absolute;left:0pt;margin-left:-0.45pt;margin-top:3pt;height:0pt;width:425.25pt;z-index:251660288;mso-width-relative:page;mso-height-relative:page;" coordsize="21600,21600"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v:path arrowok="t"/>
          <v:fill focussize="0,0"/>
          <v:stroke/>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E1NmY4Yjc3ZWQ0OWJiZGU5NWVlYjkyYzAyYWI2ZDYifQ=="/>
  </w:docVars>
  <w:rsids>
    <w:rsidRoot w:val="006B4687"/>
    <w:rsid w:val="000A409E"/>
    <w:rsid w:val="001523D4"/>
    <w:rsid w:val="00165EBC"/>
    <w:rsid w:val="00167FEC"/>
    <w:rsid w:val="001A1779"/>
    <w:rsid w:val="001D4CF9"/>
    <w:rsid w:val="001E0BBB"/>
    <w:rsid w:val="00213297"/>
    <w:rsid w:val="002B1AD8"/>
    <w:rsid w:val="002D32D5"/>
    <w:rsid w:val="002F1346"/>
    <w:rsid w:val="00443B27"/>
    <w:rsid w:val="004564EA"/>
    <w:rsid w:val="004902BC"/>
    <w:rsid w:val="004E12B2"/>
    <w:rsid w:val="005C1D41"/>
    <w:rsid w:val="005E48C3"/>
    <w:rsid w:val="005F0344"/>
    <w:rsid w:val="006256FF"/>
    <w:rsid w:val="006331E1"/>
    <w:rsid w:val="006779F9"/>
    <w:rsid w:val="006A57B6"/>
    <w:rsid w:val="006A58EF"/>
    <w:rsid w:val="006B4687"/>
    <w:rsid w:val="007B422E"/>
    <w:rsid w:val="007C3BD8"/>
    <w:rsid w:val="00805A11"/>
    <w:rsid w:val="00813C42"/>
    <w:rsid w:val="00885B6D"/>
    <w:rsid w:val="0090673C"/>
    <w:rsid w:val="009617A0"/>
    <w:rsid w:val="009C6468"/>
    <w:rsid w:val="009E059D"/>
    <w:rsid w:val="00A45A39"/>
    <w:rsid w:val="00A95E72"/>
    <w:rsid w:val="00AF77A1"/>
    <w:rsid w:val="00C47D67"/>
    <w:rsid w:val="00CA0D89"/>
    <w:rsid w:val="00D2422A"/>
    <w:rsid w:val="00D47199"/>
    <w:rsid w:val="00D650D3"/>
    <w:rsid w:val="00E06CC9"/>
    <w:rsid w:val="00E9149A"/>
    <w:rsid w:val="00E92F52"/>
    <w:rsid w:val="00E93935"/>
    <w:rsid w:val="00ED4DF0"/>
    <w:rsid w:val="00EE20B6"/>
    <w:rsid w:val="00F41E71"/>
    <w:rsid w:val="00F4631A"/>
    <w:rsid w:val="00F54A6A"/>
    <w:rsid w:val="00FF46E0"/>
    <w:rsid w:val="02957B54"/>
    <w:rsid w:val="09306D58"/>
    <w:rsid w:val="09F12262"/>
    <w:rsid w:val="180532E9"/>
    <w:rsid w:val="206B5C40"/>
    <w:rsid w:val="22722FA1"/>
    <w:rsid w:val="2CB71EB3"/>
    <w:rsid w:val="2DA13347"/>
    <w:rsid w:val="2ECC2F9A"/>
    <w:rsid w:val="36B86A02"/>
    <w:rsid w:val="40055B41"/>
    <w:rsid w:val="42A332EC"/>
    <w:rsid w:val="4A5D1549"/>
    <w:rsid w:val="52795490"/>
    <w:rsid w:val="56122319"/>
    <w:rsid w:val="563A45D6"/>
    <w:rsid w:val="58322839"/>
    <w:rsid w:val="5C0C46BE"/>
    <w:rsid w:val="69A71C90"/>
    <w:rsid w:val="6B9B7A7C"/>
    <w:rsid w:val="6D767CAB"/>
    <w:rsid w:val="6F011A46"/>
    <w:rsid w:val="769F0779"/>
    <w:rsid w:val="7945543C"/>
    <w:rsid w:val="7C7205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spacing w:line="460" w:lineRule="exact"/>
      <w:jc w:val="center"/>
      <w:outlineLvl w:val="1"/>
    </w:pPr>
    <w:rPr>
      <w:b/>
      <w:bCs/>
      <w:sz w:val="30"/>
    </w:rPr>
  </w:style>
  <w:style w:type="paragraph" w:styleId="3">
    <w:name w:val="heading 3"/>
    <w:basedOn w:val="1"/>
    <w:next w:val="1"/>
    <w:qFormat/>
    <w:uiPriority w:val="0"/>
    <w:pPr>
      <w:keepNext/>
      <w:keepLines/>
      <w:spacing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Font Style99"/>
    <w:qFormat/>
    <w:uiPriority w:val="0"/>
    <w:rPr>
      <w:rFonts w:ascii="黑体" w:eastAsia="黑体" w:cs="黑体"/>
      <w:sz w:val="20"/>
      <w:szCs w:val="20"/>
    </w:rPr>
  </w:style>
  <w:style w:type="character" w:customStyle="1" w:styleId="12">
    <w:name w:val="批注框文本 Char"/>
    <w:basedOn w:val="8"/>
    <w:link w:val="4"/>
    <w:semiHidden/>
    <w:qFormat/>
    <w:uiPriority w:val="99"/>
    <w:rPr>
      <w:rFonts w:ascii="Calibri" w:hAnsi="Calibri"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font1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default" w:ascii="Times New Roman" w:hAnsi="Times New Roman" w:cs="Times New Roman"/>
      <w:color w:val="000000"/>
      <w:sz w:val="21"/>
      <w:szCs w:val="21"/>
      <w:u w:val="none"/>
    </w:rPr>
  </w:style>
  <w:style w:type="character" w:customStyle="1" w:styleId="16">
    <w:name w:val="font31"/>
    <w:basedOn w:val="8"/>
    <w:qFormat/>
    <w:uiPriority w:val="0"/>
    <w:rPr>
      <w:rFonts w:hint="eastAsia" w:ascii="宋体" w:hAnsi="宋体" w:eastAsia="宋体" w:cs="宋体"/>
      <w:b/>
      <w:bCs/>
      <w:color w:val="000000"/>
      <w:sz w:val="21"/>
      <w:szCs w:val="21"/>
      <w:u w:val="none"/>
    </w:rPr>
  </w:style>
  <w:style w:type="character" w:customStyle="1" w:styleId="17">
    <w:name w:val="font41"/>
    <w:basedOn w:val="8"/>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1412</Words>
  <Characters>1721</Characters>
  <Lines>13</Lines>
  <Paragraphs>3</Paragraphs>
  <TotalTime>0</TotalTime>
  <ScaleCrop>false</ScaleCrop>
  <LinksUpToDate>false</LinksUpToDate>
  <CharactersWithSpaces>1915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狂飙</cp:lastModifiedBy>
  <dcterms:modified xsi:type="dcterms:W3CDTF">2023-02-22T01:18:58Z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1CA6DF868A6046E58F7548AD98044FB5</vt:lpwstr>
  </property>
</Properties>
</file>