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高碑店市球烧环保科技有限公司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高碑店市112线西侧（石家庄村段）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高碑店市112线西侧（石家庄村段）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丁红云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13722436215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dingyouhua1@qq.com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李凯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0124-2023-EO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E：风机、工业除尘器的生产，电蓄热采暖器、超低温空气源热泵的销售所涉及场所的相关环境管理活动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O：风机、工业除尘器的生产，电蓄热采暖器、超低温空气源热泵的销售所涉及场所的相关职业健康安全管理活动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E：18.02.05;18.05.07;29.10.07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O：18.02.05;18.05.07;29.10.07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  <w:lang w:eastAsia="zh-CN"/>
              </w:rPr>
              <w:t>QS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</w:rPr>
              <w:t>/QES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202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 xml:space="preserve">2023年02月11日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 xml:space="preserve">午至2023年02月12日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E:18.02.05,18.05.07,29.10.07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O:18.02.05,18.05.07,29.10.07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2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bookmarkStart w:id="31" w:name="_GoBack"/>
      <w:r>
        <w:drawing>
          <wp:inline distT="0" distB="0" distL="114300" distR="114300">
            <wp:extent cx="5853430" cy="56381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5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85"/>
        <w:gridCol w:w="1005"/>
        <w:gridCol w:w="3352"/>
        <w:gridCol w:w="262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bidi w:val="0"/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38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352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62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02-11</w:t>
            </w:r>
          </w:p>
        </w:tc>
        <w:tc>
          <w:tcPr>
            <w:tcW w:w="138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62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35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范围的确认、资质的确认、法律法规执行情况、环境安全抽查及相关方投诉情况、一阶段不符合验证；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组织及其环境；相关方的需求和希望；管理体系的范围；管理体系及其过程；领导作用和承诺；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管理方针；组织的岗位、职责权限；应对风险和机会的策划；目标和实现计划；资源提供；管理评审；总则；持续改进</w:t>
            </w:r>
          </w:p>
        </w:tc>
        <w:tc>
          <w:tcPr>
            <w:tcW w:w="262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EO:4.1/4.2/7.1/9.3/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10.1/10.3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4.3/4.4/5.1/5.2/5.3/6.2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/6.1.1/6.1.4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4.3/4.4/5.1/5.2/5.3/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6.1.1/6.1.4/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33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00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</w:t>
            </w:r>
          </w:p>
        </w:tc>
        <w:tc>
          <w:tcPr>
            <w:tcW w:w="3352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的岗位、职责权限；目标、方案；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环境因素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应急准备和响应</w:t>
            </w:r>
          </w:p>
        </w:tc>
        <w:tc>
          <w:tcPr>
            <w:tcW w:w="262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EO:6.1.2/8.1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O:5.3/6.2/8.2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E:5.3/6.2/8.2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02-12</w:t>
            </w:r>
          </w:p>
        </w:tc>
        <w:tc>
          <w:tcPr>
            <w:tcW w:w="1385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05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</w:t>
            </w:r>
          </w:p>
        </w:tc>
        <w:tc>
          <w:tcPr>
            <w:tcW w:w="3352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的岗位、职责权限；目标、方案；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环境因素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运行控制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应急准备和响应</w:t>
            </w:r>
          </w:p>
        </w:tc>
        <w:tc>
          <w:tcPr>
            <w:tcW w:w="2625" w:type="dxa"/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EO:6.1.2/8.1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O:5.3/6.2/8.2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E:5.3/6.2/8.2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12:30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352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33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00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352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的岗位、职责权限；目标、方案；环境因素/危险源识别评价；合规义务；法律法规要求；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应急准备和响应；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文件化信息；能力；意识；沟通；能力、培训和意识；信息交流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参与和协商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合规性评价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内部审核；不合格及纠正和预防措施控制</w:t>
            </w:r>
          </w:p>
        </w:tc>
        <w:tc>
          <w:tcPr>
            <w:tcW w:w="2625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E0:7.2/7.5/9.1.1/9.2/10.2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O:5.3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5.4/6.2/6.1.2/6.1.3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/7.3/7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.4/8.1/8.2/9.1.2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B审核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:5.3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6.2/6.1.2/6.1.3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/7.3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/7.4/8.1/8.2/9.1.2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5:30-16:00</w:t>
            </w:r>
          </w:p>
        </w:tc>
        <w:tc>
          <w:tcPr>
            <w:tcW w:w="100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2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审核组整理资料和管代沟通</w:t>
            </w:r>
          </w:p>
        </w:tc>
        <w:tc>
          <w:tcPr>
            <w:tcW w:w="26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0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352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会议</w:t>
            </w:r>
          </w:p>
        </w:tc>
        <w:tc>
          <w:tcPr>
            <w:tcW w:w="26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133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1F30F4A"/>
    <w:rsid w:val="0B68652D"/>
    <w:rsid w:val="0C6208A9"/>
    <w:rsid w:val="13D822A1"/>
    <w:rsid w:val="2E6C118C"/>
    <w:rsid w:val="4CBF42FD"/>
    <w:rsid w:val="55942B98"/>
    <w:rsid w:val="60854832"/>
    <w:rsid w:val="6DF47134"/>
    <w:rsid w:val="74E62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1549</Words>
  <Characters>2431</Characters>
  <Lines>37</Lines>
  <Paragraphs>10</Paragraphs>
  <TotalTime>0</TotalTime>
  <ScaleCrop>false</ScaleCrop>
  <LinksUpToDate>false</LinksUpToDate>
  <CharactersWithSpaces>2464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2023-02-12T06:15:49Z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