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重庆爱景节能技术有限公司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刘欢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宋明珠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2023年02月07日 上午至2023年02月07日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91500000MA5UAKCRXB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永久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企业的经营范围为:一般项目：特种设备出租；特种设备销售；基础化学原料制造（不含危险化学品等许可类化学品的制造）；气体压缩机械销售；工业自动控制系统装置销售；工业控制计算机及系统销售；机械设备租赁；光伏发电设备租赁；气体、液体分离及纯净设备销售；从事节能技术、环保技术领域内的技术开发、技术转让、技术咨询、技术服务；合同能源管理；销售：节能产品、润滑油、环保设备、I类医疗器械、II类医疗器械（须经审批的经营项目，取得审批后方可从事经营）、机电设备及配件、水泵；货物及技术进出口。 【依法须经批准的项目，经相关部门批准后方可开展经营活动】 。（除依法须经批准的项目外，凭营业执照依法自主开展经营活动）；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压缩空气系统节能技术及合同能源管理服务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重庆市两江新区西湖支路2号精信中心B塔9层4号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重庆市两江新区西湖支路2号精信中心B塔9层4号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服务流程：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用能检测—设计—定制节能设备—改造建设—验收—项目运营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标准宣贯的时间：2022年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贯彻情况：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文件发放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展板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网站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员工手册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技术服务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合格率100％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1次/季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交付合格数/交付总数*100%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100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合同按时完成率100%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1次/季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按时完成数/合同总数*100%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100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顾客满意度≥90分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9</w:t>
                  </w: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火灾发生为0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废弃物分类收集处理率100%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处理数/总数*100%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100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重大安全事故发生为0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pStyle w:val="2"/>
                    <w:tabs>
                      <w:tab w:val="left" w:pos="1200"/>
                    </w:tabs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重大伤亡事故发和为0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本公司的</w:t>
            </w:r>
            <w:r>
              <w:rPr>
                <w:rFonts w:hint="eastAsia"/>
                <w:color w:val="000000"/>
                <w:szCs w:val="18"/>
              </w:rPr>
              <w:t>压缩空气系统节能技术及合同能源管理服务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严格按照国家标准和法律</w:t>
            </w:r>
            <w:r>
              <w:rPr>
                <w:rFonts w:hint="eastAsia"/>
                <w:color w:val="000000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4163060</wp:posOffset>
                  </wp:positionH>
                  <wp:positionV relativeFrom="paragraph">
                    <wp:posOffset>7761605</wp:posOffset>
                  </wp:positionV>
                  <wp:extent cx="590550" cy="269875"/>
                  <wp:effectExtent l="0" t="0" r="6350" b="9525"/>
                  <wp:wrapNone/>
                  <wp:docPr id="1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24309\AppData\Local\Temp\WeChat Files\5312dc77a33e48f7e27afd13559367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4163060</wp:posOffset>
                  </wp:positionH>
                  <wp:positionV relativeFrom="paragraph">
                    <wp:posOffset>9198610</wp:posOffset>
                  </wp:positionV>
                  <wp:extent cx="590550" cy="269875"/>
                  <wp:effectExtent l="0" t="0" r="6350" b="9525"/>
                  <wp:wrapNone/>
                  <wp:docPr id="3" name="图片 3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AppData\Local\Temp\WeChat Files\5312dc77a33e48f7e27afd13559367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法规执行，不需要进行设计和开发</w:t>
            </w:r>
            <w:r>
              <w:rPr>
                <w:rFonts w:hint="eastAsia"/>
                <w:color w:val="000000"/>
                <w:szCs w:val="18"/>
              </w:rPr>
              <w:t>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技术</w:t>
            </w:r>
            <w:r>
              <w:rPr>
                <w:rFonts w:hint="eastAsia"/>
                <w:color w:val="000000"/>
                <w:lang w:eastAsia="zh-CN"/>
              </w:rPr>
              <w:t>服务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eastAsia="zh-CN"/>
              </w:rPr>
              <w:t>及时性和满意度调查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2022年12月25日进行了满意度调查，为95分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运行</w:t>
            </w:r>
            <w:r>
              <w:rPr>
                <w:rFonts w:hint="eastAsia"/>
                <w:color w:val="000000"/>
              </w:rPr>
              <w:t>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电脑、路由器、打印机、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LED显示器等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1161554"/>
    <w:rsid w:val="1E7015A5"/>
    <w:rsid w:val="46E56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3543</Words>
  <Characters>3731</Characters>
  <Lines>92</Lines>
  <Paragraphs>26</Paragraphs>
  <TotalTime>1</TotalTime>
  <ScaleCrop>false</ScaleCrop>
  <LinksUpToDate>false</LinksUpToDate>
  <CharactersWithSpaces>4160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2023-02-11T16:09:11Z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