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西安博瀚华源汽车科技有限公司</w:t>
            </w: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皮振文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top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现场查看顾客财产登记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情况</w:t>
            </w:r>
            <w:r>
              <w:rPr>
                <w:rFonts w:hint="eastAsia" w:ascii="方正仿宋简体" w:eastAsia="方正仿宋简体"/>
                <w:b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  <w:r>
              <w:rPr>
                <w:rFonts w:hint="eastAsia" w:ascii="方正仿宋简体" w:eastAsia="方正仿宋简体"/>
                <w:b/>
              </w:rPr>
              <w:t>未能提供相关资料证实。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  <w:bookmarkStart w:id="19" w:name="_GoBack"/>
            <w:bookmarkEnd w:id="19"/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000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现场查看顾客财产登记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情况</w:t>
            </w:r>
            <w:r>
              <w:rPr>
                <w:rFonts w:hint="eastAsia" w:ascii="方正仿宋简体" w:eastAsia="方正仿宋简体"/>
                <w:b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  <w:r>
              <w:rPr>
                <w:rFonts w:hint="eastAsia" w:ascii="方正仿宋简体" w:eastAsia="方正仿宋简体"/>
                <w:b/>
              </w:rPr>
              <w:t>未能提供相关资料证实。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000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由供销部填写《顾客财产登记表》，把顾客的信息等顾客相关财产登录在册，并由专人保管</w:t>
            </w:r>
            <w:r>
              <w:rPr>
                <w:rFonts w:hint="eastAsia" w:eastAsia="方正仿宋简体"/>
                <w:b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000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理解</w:t>
            </w:r>
            <w:r>
              <w:rPr>
                <w:rFonts w:hint="eastAsia" w:ascii="宋体" w:hAnsi="宋体"/>
                <w:b/>
                <w:szCs w:val="21"/>
              </w:rPr>
              <w:t>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000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23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000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法律法规进行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000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2B1D1EF3"/>
    <w:rsid w:val="2C613836"/>
    <w:rsid w:val="601F7A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2023-02-02T07:00:09Z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2052-11.1.0.12980</vt:lpwstr>
  </property>
</Properties>
</file>