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1237"/>
        <w:gridCol w:w="10800"/>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37"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00" w:type="dxa"/>
            <w:vAlign w:val="center"/>
          </w:tcPr>
          <w:p>
            <w:pPr>
              <w:rPr>
                <w:rFonts w:hint="eastAsia" w:eastAsia="宋体"/>
                <w:sz w:val="24"/>
                <w:szCs w:val="24"/>
                <w:lang w:eastAsia="zh-CN"/>
              </w:rPr>
            </w:pPr>
            <w:r>
              <w:rPr>
                <w:rFonts w:hint="eastAsia"/>
                <w:sz w:val="24"/>
                <w:szCs w:val="24"/>
              </w:rPr>
              <w:t>受审核部门：管理层</w:t>
            </w:r>
            <w:r>
              <w:rPr>
                <w:rFonts w:hint="eastAsia"/>
                <w:sz w:val="24"/>
                <w:szCs w:val="24"/>
                <w:lang w:eastAsia="zh-CN"/>
              </w:rPr>
              <w:t>、</w:t>
            </w:r>
            <w:r>
              <w:rPr>
                <w:rFonts w:hint="eastAsia"/>
                <w:sz w:val="24"/>
                <w:szCs w:val="24"/>
              </w:rPr>
              <w:t>安全事务代表</w:t>
            </w:r>
            <w:r>
              <w:rPr>
                <w:rFonts w:hint="eastAsia"/>
                <w:sz w:val="24"/>
                <w:szCs w:val="24"/>
                <w:lang w:val="en-US" w:eastAsia="zh-CN"/>
              </w:rPr>
              <w:t xml:space="preserve">  </w:t>
            </w:r>
            <w:r>
              <w:rPr>
                <w:rFonts w:hint="eastAsia"/>
                <w:sz w:val="24"/>
                <w:szCs w:val="24"/>
              </w:rPr>
              <w:t>主管领导：</w:t>
            </w:r>
            <w:bookmarkStart w:id="0" w:name="管理者代表"/>
            <w:r>
              <w:rPr>
                <w:rFonts w:hint="eastAsia"/>
                <w:sz w:val="24"/>
                <w:szCs w:val="24"/>
              </w:rPr>
              <w:t>徐明</w:t>
            </w:r>
            <w:bookmarkEnd w:id="0"/>
            <w:r>
              <w:rPr>
                <w:rFonts w:hint="eastAsia"/>
                <w:sz w:val="24"/>
                <w:szCs w:val="24"/>
                <w:lang w:val="en-US" w:eastAsia="zh-CN"/>
              </w:rPr>
              <w:t xml:space="preserve">    </w:t>
            </w:r>
            <w:r>
              <w:rPr>
                <w:rFonts w:hint="eastAsia"/>
                <w:sz w:val="24"/>
                <w:szCs w:val="24"/>
              </w:rPr>
              <w:t>陪同人员：</w:t>
            </w:r>
            <w:r>
              <w:rPr>
                <w:rFonts w:hint="eastAsia"/>
                <w:sz w:val="24"/>
                <w:szCs w:val="24"/>
                <w:lang w:eastAsia="zh-CN"/>
              </w:rPr>
              <w:t>许丽萍</w:t>
            </w:r>
          </w:p>
        </w:tc>
        <w:tc>
          <w:tcPr>
            <w:tcW w:w="95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0" w:type="dxa"/>
            <w:vMerge w:val="continue"/>
            <w:vAlign w:val="center"/>
          </w:tcPr>
          <w:p/>
        </w:tc>
        <w:tc>
          <w:tcPr>
            <w:tcW w:w="1237" w:type="dxa"/>
            <w:vMerge w:val="continue"/>
            <w:vAlign w:val="center"/>
          </w:tcPr>
          <w:p/>
        </w:tc>
        <w:tc>
          <w:tcPr>
            <w:tcW w:w="10800" w:type="dxa"/>
            <w:vAlign w:val="center"/>
          </w:tcPr>
          <w:p>
            <w:pPr>
              <w:spacing w:before="120"/>
            </w:pPr>
            <w:r>
              <w:rPr>
                <w:rFonts w:hint="eastAsia"/>
                <w:sz w:val="24"/>
                <w:szCs w:val="24"/>
              </w:rPr>
              <w:t>审核员：</w:t>
            </w:r>
            <w:bookmarkStart w:id="1" w:name="审核组成员不含组长"/>
            <w:bookmarkEnd w:id="1"/>
            <w:r>
              <w:rPr>
                <w:rFonts w:hint="eastAsia"/>
                <w:sz w:val="24"/>
                <w:szCs w:val="24"/>
                <w:lang w:eastAsia="zh-CN"/>
              </w:rPr>
              <w:t>褚敏杰</w:t>
            </w:r>
            <w:r>
              <w:rPr>
                <w:rFonts w:hint="eastAsia"/>
                <w:sz w:val="24"/>
                <w:szCs w:val="24"/>
                <w:lang w:val="en-US" w:eastAsia="zh-CN"/>
              </w:rPr>
              <w:t xml:space="preserve">                    </w:t>
            </w:r>
            <w:r>
              <w:rPr>
                <w:rFonts w:hint="eastAsia"/>
                <w:sz w:val="24"/>
                <w:szCs w:val="24"/>
              </w:rPr>
              <w:t>审核时间：</w:t>
            </w:r>
            <w:bookmarkStart w:id="2" w:name="审核日期"/>
            <w:r>
              <w:rPr>
                <w:rFonts w:hint="eastAsia"/>
                <w:sz w:val="24"/>
                <w:szCs w:val="24"/>
              </w:rPr>
              <w:t>2023年02月06日</w:t>
            </w:r>
            <w:bookmarkEnd w:id="2"/>
          </w:p>
        </w:tc>
        <w:tc>
          <w:tcPr>
            <w:tcW w:w="95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0" w:type="dxa"/>
            <w:vMerge w:val="continue"/>
            <w:vAlign w:val="center"/>
          </w:tcPr>
          <w:p/>
        </w:tc>
        <w:tc>
          <w:tcPr>
            <w:tcW w:w="1237" w:type="dxa"/>
            <w:vMerge w:val="continue"/>
            <w:vAlign w:val="center"/>
          </w:tcPr>
          <w:p/>
        </w:tc>
        <w:tc>
          <w:tcPr>
            <w:tcW w:w="10800" w:type="dxa"/>
            <w:vAlign w:val="center"/>
          </w:tcPr>
          <w:p>
            <w:pPr>
              <w:rPr>
                <w:rFonts w:hint="eastAsia"/>
                <w:sz w:val="24"/>
                <w:szCs w:val="24"/>
              </w:rPr>
            </w:pPr>
            <w:r>
              <w:rPr>
                <w:rFonts w:hint="eastAsia"/>
                <w:sz w:val="24"/>
                <w:szCs w:val="24"/>
              </w:rPr>
              <w:t>审核条款：</w:t>
            </w:r>
          </w:p>
          <w:p>
            <w:pPr>
              <w:keepNext w:val="0"/>
              <w:keepLines w:val="0"/>
              <w:pageBreakBefore w:val="0"/>
              <w:widowControl w:val="0"/>
              <w:kinsoku/>
              <w:wordWrap/>
              <w:overflowPunct/>
              <w:topLinePunct w:val="0"/>
              <w:autoSpaceDE/>
              <w:autoSpaceDN/>
              <w:bidi w:val="0"/>
              <w:adjustRightInd w:val="0"/>
              <w:snapToGrid w:val="0"/>
              <w:spacing w:line="312" w:lineRule="auto"/>
              <w:ind w:right="105" w:rightChars="50"/>
              <w:textAlignment w:val="baseline"/>
              <w:rPr>
                <w:rFonts w:hint="eastAsia" w:ascii="宋体" w:hAnsi="宋体" w:cs="Arial"/>
                <w:sz w:val="21"/>
                <w:szCs w:val="21"/>
                <w:lang w:val="en-US" w:eastAsia="zh-CN"/>
              </w:rPr>
            </w:pPr>
            <w:r>
              <w:rPr>
                <w:rFonts w:hint="eastAsia" w:ascii="宋体" w:hAnsi="宋体" w:cs="Arial"/>
                <w:sz w:val="21"/>
                <w:szCs w:val="21"/>
                <w:lang w:val="en-US" w:eastAsia="zh-CN"/>
              </w:rPr>
              <w:t>QEO:4.1理解组织及其环境、4.2理解相关方的需求和期望、4.3确定管理体系的范围、4.4管理体系及其过程、5.1领导作用和承诺、5.2方针、5.3组织的岗位、职责和权限、6.1应对风险和机遇的措施、6.2目标及其实现的策划、7.1.1（EO7.1）资源总则、7.4沟通/信息交流、9.3管理评审、10.1改进、10.3持续改进</w:t>
            </w:r>
          </w:p>
          <w:p>
            <w:pPr>
              <w:keepNext w:val="0"/>
              <w:keepLines w:val="0"/>
              <w:pageBreakBefore w:val="0"/>
              <w:widowControl w:val="0"/>
              <w:kinsoku/>
              <w:wordWrap/>
              <w:overflowPunct/>
              <w:topLinePunct w:val="0"/>
              <w:autoSpaceDE/>
              <w:autoSpaceDN/>
              <w:bidi w:val="0"/>
              <w:adjustRightInd w:val="0"/>
              <w:snapToGrid w:val="0"/>
              <w:spacing w:line="312" w:lineRule="auto"/>
              <w:ind w:right="105" w:rightChars="50"/>
              <w:textAlignment w:val="baseline"/>
              <w:rPr>
                <w:rFonts w:hint="eastAsia" w:ascii="宋体" w:hAnsi="宋体" w:cs="Arial"/>
                <w:sz w:val="21"/>
                <w:szCs w:val="21"/>
                <w:lang w:val="en-US" w:eastAsia="zh-CN"/>
              </w:rPr>
            </w:pPr>
            <w:r>
              <w:rPr>
                <w:rFonts w:hint="eastAsia" w:ascii="宋体" w:hAnsi="宋体" w:cs="Arial"/>
                <w:sz w:val="21"/>
                <w:szCs w:val="21"/>
                <w:lang w:val="en-US" w:eastAsia="zh-CN"/>
              </w:rPr>
              <w:t>Q:6.3变更的策划、8.3删减确认</w:t>
            </w:r>
          </w:p>
          <w:p>
            <w:pPr>
              <w:keepNext w:val="0"/>
              <w:keepLines w:val="0"/>
              <w:pageBreakBefore w:val="0"/>
              <w:widowControl w:val="0"/>
              <w:kinsoku/>
              <w:wordWrap/>
              <w:overflowPunct/>
              <w:topLinePunct w:val="0"/>
              <w:autoSpaceDE/>
              <w:autoSpaceDN/>
              <w:bidi w:val="0"/>
              <w:adjustRightInd w:val="0"/>
              <w:snapToGrid w:val="0"/>
              <w:spacing w:line="312" w:lineRule="auto"/>
              <w:ind w:right="105" w:rightChars="50"/>
              <w:textAlignment w:val="baseline"/>
              <w:rPr>
                <w:rFonts w:hint="default" w:ascii="宋体" w:hAnsi="宋体" w:cs="Arial"/>
                <w:sz w:val="21"/>
                <w:szCs w:val="21"/>
                <w:lang w:val="en-US" w:eastAsia="zh-CN"/>
              </w:rPr>
            </w:pPr>
            <w:r>
              <w:rPr>
                <w:rFonts w:hint="eastAsia" w:ascii="宋体" w:hAnsi="宋体" w:cs="Arial"/>
                <w:sz w:val="21"/>
                <w:szCs w:val="21"/>
                <w:lang w:val="en-US" w:eastAsia="zh-CN"/>
              </w:rPr>
              <w:t>O：5.4参与和协商</w:t>
            </w:r>
          </w:p>
          <w:p>
            <w:pPr>
              <w:rPr>
                <w:rFonts w:hint="eastAsia"/>
                <w:sz w:val="24"/>
                <w:szCs w:val="24"/>
              </w:rPr>
            </w:pPr>
            <w:r>
              <w:rPr>
                <w:rFonts w:hint="eastAsia" w:ascii="宋体" w:hAnsi="宋体" w:cs="Arial"/>
                <w:sz w:val="21"/>
                <w:szCs w:val="21"/>
                <w:lang w:val="en-US" w:eastAsia="zh-CN"/>
              </w:rPr>
              <w:t>国家/地方监督抽查情况；顾客满意、相关方投诉及处理情况，一阶段审核问题验证，验证企业相关资质证明的有效性</w:t>
            </w:r>
          </w:p>
        </w:tc>
        <w:tc>
          <w:tcPr>
            <w:tcW w:w="95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0"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理解组织及其环境</w:t>
            </w:r>
          </w:p>
        </w:tc>
        <w:tc>
          <w:tcPr>
            <w:tcW w:w="1237"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QEO:4.1</w:t>
            </w:r>
          </w:p>
        </w:tc>
        <w:tc>
          <w:tcPr>
            <w:tcW w:w="10800" w:type="dxa"/>
            <w:vAlign w:val="top"/>
          </w:tcPr>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南昌子衿生态环境有限公司成立于2020-12-15，注册资金500万元；经营面积120平方米。</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注册地址：江西省南昌市红谷滩区东起城运大道、西至九龙大道、北临九龙湖、南至规划路南昌万达城H区项目7#住宅楼1单元1801室；</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经营地址：江西省南昌市红谷滩区东起城运大道、西至九龙大道、北临九龙湖、南至规划路南昌万达城H区项目7#住宅楼1单元1801室；</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营业执照：91360125MA39T1239L；</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经营范围：许可项目:建设工程施工,建设工程设计,检验检测服务,建筑智能化系统设计,施工专业作业（依法须经批准的项目,经相关部门批准后在许可有效期内方可开展经营活动,具体经营项目和许可期限以相关部门批准文件或许可证件为准）一般项目:生态环境监测及检测仪器仪表制造,环境保护专用设备销售,技术服务、技术开发、技术咨询、技术交流、技术转让、技术推广,市政设施管理,玻璃纤维增强塑料制品销售,玻璃纤维增强塑料制品制造,非金属矿及制品销售,工程管理服务,塑料制品销售,泵及真空设备销售,液压动力机械及元件销售,阀门和旋塞销售,电气设备修理,通用设备修理,专用设备修理,建筑材料销售,管道运输设备销售,国内贸易代理（除依法须经批准的项目外,凭营业执照依法自主开展经营活动）</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经营范围覆盖了体系认证范围.</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公司人员共8人，建立有员工花名册；</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主要设备有:电脑、打印机等。</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监测装置有:调查表等；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环保设施有：灭火器、垃圾桶等；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公司组织机构设置为：管理层、综合部、供销部；</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总经理定期汇总分析市场情况，包括行业发展情况，相关企业产品分析，竞品分析，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如：</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外部因素有-经济景气系数影响，未来几年国家重点项目包括地下管网改造；</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内部因素有-公司持续建立和运行管理体系，有良好的管理基础；人员较为稳定，技术力量有保障；</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这些因素包括了需要考虑的正面和负面因素或条件。</w:t>
            </w:r>
          </w:p>
          <w:p>
            <w:pPr>
              <w:spacing w:line="360" w:lineRule="auto"/>
              <w:ind w:firstLine="420" w:firstLineChars="200"/>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szCs w:val="22"/>
                <w:highlight w:val="none"/>
                <w:lang w:val="en-US" w:eastAsia="zh-CN"/>
              </w:rPr>
              <w:t>公司每年根据由公司销售人员从市场、客户、网络等搜集到的信息并结合公司自身业务运作情况进行分析，通过分析对这些内部和外部因素的相关信息进行监视和评审以确保其充分和适宜。</w:t>
            </w:r>
          </w:p>
        </w:tc>
        <w:tc>
          <w:tcPr>
            <w:tcW w:w="95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0"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理解相关方的需求和期望</w:t>
            </w:r>
          </w:p>
        </w:tc>
        <w:tc>
          <w:tcPr>
            <w:tcW w:w="1237"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4.2</w:t>
            </w:r>
          </w:p>
        </w:tc>
        <w:tc>
          <w:tcPr>
            <w:tcW w:w="10800" w:type="dxa"/>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组织的相关方主要包括顾客、员工、竞争对手、供方、股东、公司周边居民等。相关方主要期望：价格、待遇、公平性、安全性、合同协议、行业规范标准等。识别方法：调查问卷、自我评审、水平对比等。</w:t>
            </w:r>
          </w:p>
          <w:p>
            <w:pPr>
              <w:spacing w:line="360" w:lineRule="auto"/>
              <w:ind w:firstLine="420" w:firstLineChars="200"/>
              <w:rPr>
                <w:rFonts w:hint="default"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szCs w:val="22"/>
                <w:highlight w:val="none"/>
                <w:lang w:val="en-US" w:eastAsia="zh-CN"/>
              </w:rPr>
              <w:t>验证方法：顾客满意程度调查、供方调查评定、客户投诉等。</w:t>
            </w:r>
          </w:p>
        </w:tc>
        <w:tc>
          <w:tcPr>
            <w:tcW w:w="95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0"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应对风险和机遇的措施</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确定管理体系的范围</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质量/环境管理体系及其过程</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8.3删减合理性</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default" w:ascii="宋体" w:hAnsi="宋体" w:eastAsia="宋体" w:cs="Arial"/>
                <w:spacing w:val="-6"/>
                <w:sz w:val="21"/>
                <w:szCs w:val="21"/>
                <w:lang w:val="en-US" w:eastAsia="zh-CN"/>
              </w:rPr>
              <w:t>变更的策划</w:t>
            </w:r>
          </w:p>
        </w:tc>
        <w:tc>
          <w:tcPr>
            <w:tcW w:w="1237" w:type="dxa"/>
            <w:vAlign w:val="top"/>
          </w:tcPr>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QEO:6.1</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4.3</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4.4</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Q:8.3</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6.3</w:t>
            </w:r>
          </w:p>
        </w:tc>
        <w:tc>
          <w:tcPr>
            <w:tcW w:w="10800" w:type="dxa"/>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基于对4.1和4.2的考虑，分析了公司存在的风险和机遇：</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机遇：随着时代的发展和国家政策的出台，公司的业务市场发展将随着时代的发展变得越来越大。</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风险：政策带来的机遇同时导致市场竞争越来越激烈。</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公司高层对公司内外部风险和机遇进行了分析；策划了风险和机遇应对措施。</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编制有《风险和机遇的应对控制程序》，对组织内外的风险和机遇进行了策划。</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公司策划了业务流程：</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销售：</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产品要求信息获取----产品要求评审-----签订合同----采购 -----质检------销售---售后服务</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关键过程：销售；</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需要确认的过程：销售；</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基于业务流程，公司分析了重要环境因素和不可接受风险，并策划了控制措施：</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重要环境因素：潜在火灾；</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通用措施——</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制定目标、指标，编制运行控制文件，运行控制；一旦发生按相关应急预案执行。</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潜在火灾——</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定期检查用电安全，电工持证上岗；配置消防器材、做好火灾预防措施；</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不可接受风险有：潜在火灾、交通伤害等；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通用控制措施——</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制定目标、指标，编制运行控制文件，运行控制；设置警示标志标识；</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交通伤害——</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加强交通安全教育、购买保险；</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火灾——</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设备、电路定期检修、检查，人员持证上岗；配置消防器材、做好火灾预防措施。</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为应对上述风险和机遇，公司依据GB/T19001-2016、GB/T24001-2016、GB/T45001-2020标准的要求并结合本公司的具体情况，采取PDCA的过程方法，建立、实施、保持并持续改进质量、环境、职业健康安全管理体系。</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管理手册——A/0，实施日期：2022年08月10日；</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程序文件——A/0，实施日期：2022年08月10日；</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包括：风险和机遇的应对控制程序、顾客满意度控制程序、采购控制程序、销售和服务管理控制程序、环境因素和危险源识别评价与控制程序、环境和职业健康安全法律法规控制程序、应急准备和响应控制程序、监视和测量控制程序、不符合/纠正和预防措施控制程序等31个；</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管理文件——编制有：销售服务规范、销售人员礼仪规范制度等作业文件；</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建立有外来文件清单，收集相关标准和法律法规：中华人民共和国产品质量法、中华人民共和国安全生产法、中华人民共和国环境保护法、中华人民共和国消防法、中华人民共和国道路交通安全法、中华人民共和国民法典、地下通信管道用塑料管YD/T841.1-2008、给水用聚乙烯（PE）管道系统 第2部分：管材GB/T13663.2-2018、璃纤维增强塑料夹砂管GB/T21238-2016、玻璃纤维增强塑料顶管GB/T21492-2019、HDPE缠绕管GB/T19472.2-2017等；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建立环境、职业健康安全法律法规和其他要求清单，共170余个。</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质量条款8.3删减：公司产品的销售及其所涉及场所的相关质量管理活动均参考国标及客户提供的尺寸要求进行组织采购，不需要进行设计开发，不涉及GB/T19001-2016/ISO 9001：2015标准中8.3条款内容，其不适用的要求不影响组织确保其产品和服务合格的能力和责任，对增强顾客满意也不会产生影响；</w:t>
            </w:r>
          </w:p>
          <w:p>
            <w:pPr>
              <w:spacing w:line="360" w:lineRule="auto"/>
              <w:ind w:firstLine="420" w:firstLineChars="200"/>
              <w:rPr>
                <w:rFonts w:hint="default" w:ascii="Times New Roman" w:hAnsi="Times New Roman" w:eastAsia="宋体" w:cs="Times New Roman"/>
                <w:b w:val="0"/>
                <w:kern w:val="2"/>
                <w:sz w:val="21"/>
                <w:szCs w:val="22"/>
                <w:highlight w:val="none"/>
                <w:lang w:val="en-US" w:eastAsia="zh-CN" w:bidi="ar-SA"/>
              </w:rPr>
            </w:pPr>
            <w:r>
              <w:rPr>
                <w:rFonts w:hint="eastAsia" w:ascii="Times New Roman" w:hAnsi="Times New Roman" w:eastAsia="宋体" w:cs="Times New Roman"/>
                <w:b w:val="0"/>
                <w:kern w:val="2"/>
                <w:sz w:val="21"/>
                <w:szCs w:val="22"/>
                <w:highlight w:val="none"/>
                <w:lang w:val="en-US" w:eastAsia="zh-CN" w:bidi="ar-SA"/>
              </w:rPr>
              <w:t>删减基本合理。</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管理手册中确定的认证范围：</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Q：玻璃纤维增强塑料制品、管道、市政设施的销售</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E：玻璃纤维增强塑料制品、管道、市政设施的销售所涉及场所的相关环境管理活动</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O：玻璃纤维增强塑料制品、管道、市政设施的销售所涉及场所的相关职业健康安全管理活动</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公司管理体系新建立，无变更。</w:t>
            </w:r>
          </w:p>
          <w:p>
            <w:pPr>
              <w:spacing w:line="360" w:lineRule="auto"/>
              <w:ind w:firstLine="420" w:firstLineChars="200"/>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szCs w:val="22"/>
                <w:highlight w:val="none"/>
                <w:lang w:val="en-US" w:eastAsia="zh-CN"/>
              </w:rPr>
              <w:t>基本合理。</w:t>
            </w:r>
          </w:p>
        </w:tc>
        <w:tc>
          <w:tcPr>
            <w:tcW w:w="95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0"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质量/环境/职业健康方针</w:t>
            </w:r>
          </w:p>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质量/环境/职业健康安全目标及其实现的策划</w:t>
            </w:r>
          </w:p>
        </w:tc>
        <w:tc>
          <w:tcPr>
            <w:tcW w:w="1237"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5.2</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6.2</w:t>
            </w:r>
          </w:p>
        </w:tc>
        <w:tc>
          <w:tcPr>
            <w:tcW w:w="10800" w:type="dxa"/>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《管理手册》中明确了公司的质量、环境、职业健康安全方针是：</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质量环境职业健康安全方针：</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用户至上、产品求精、持续改进、质量兴企；</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预防为主，降低风险；遵章守法，创造和谐。</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方针适宜于公司现状，在管理手册中明确，通过文件发放，是员工获知，适用时提供给相关方。并以方针为框架，建立了公司管理目标：</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质量目标：</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成品一次交验合格率≥97%；</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顾客满意度≥90分 ；</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环保安全目标：</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固废分类处置率100%；</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火灾事故为0；</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保留有</w:t>
            </w:r>
            <w:r>
              <w:rPr>
                <w:rFonts w:hint="default" w:ascii="Times New Roman" w:hAnsi="Times New Roman" w:eastAsia="宋体" w:cs="Times New Roman"/>
                <w:szCs w:val="22"/>
                <w:highlight w:val="none"/>
                <w:lang w:val="en-US" w:eastAsia="zh-CN"/>
              </w:rPr>
              <w:t>公司的环境和安全管理方案和控制措施。</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default" w:ascii="Times New Roman" w:hAnsi="Times New Roman" w:eastAsia="宋体" w:cs="Times New Roman"/>
                <w:szCs w:val="22"/>
                <w:highlight w:val="none"/>
                <w:lang w:val="en-US" w:eastAsia="zh-CN"/>
              </w:rPr>
              <w:t>基本符合。</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default" w:ascii="Times New Roman" w:hAnsi="Times New Roman" w:eastAsia="宋体" w:cs="Times New Roman"/>
                <w:szCs w:val="22"/>
                <w:highlight w:val="none"/>
                <w:lang w:val="en-US" w:eastAsia="zh-CN"/>
              </w:rPr>
              <w:t>保留“目标分解考核表”，对管理目标</w:t>
            </w:r>
            <w:r>
              <w:rPr>
                <w:rFonts w:hint="eastAsia" w:ascii="Times New Roman" w:hAnsi="Times New Roman" w:eastAsia="宋体" w:cs="Times New Roman"/>
                <w:szCs w:val="22"/>
                <w:highlight w:val="none"/>
                <w:lang w:val="en-US" w:eastAsia="zh-CN"/>
              </w:rPr>
              <w:t>按照部门</w:t>
            </w:r>
            <w:r>
              <w:rPr>
                <w:rFonts w:hint="default" w:ascii="Times New Roman" w:hAnsi="Times New Roman" w:eastAsia="宋体" w:cs="Times New Roman"/>
                <w:szCs w:val="22"/>
                <w:highlight w:val="none"/>
                <w:lang w:val="en-US" w:eastAsia="zh-CN"/>
              </w:rPr>
              <w:t>进行了分解</w:t>
            </w:r>
            <w:r>
              <w:rPr>
                <w:rFonts w:hint="eastAsia" w:ascii="Times New Roman" w:hAnsi="Times New Roman" w:eastAsia="宋体" w:cs="Times New Roman"/>
                <w:szCs w:val="22"/>
                <w:highlight w:val="none"/>
                <w:lang w:val="en-US" w:eastAsia="zh-CN"/>
              </w:rPr>
              <w:t>；</w:t>
            </w:r>
          </w:p>
          <w:p>
            <w:pPr>
              <w:spacing w:line="360" w:lineRule="auto"/>
              <w:ind w:firstLine="420" w:firstLineChars="200"/>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szCs w:val="22"/>
                <w:highlight w:val="none"/>
                <w:lang w:val="en-US" w:eastAsia="zh-CN"/>
              </w:rPr>
              <w:t>保留“</w:t>
            </w:r>
            <w:r>
              <w:rPr>
                <w:rFonts w:hint="default" w:ascii="Times New Roman" w:hAnsi="Times New Roman" w:eastAsia="宋体" w:cs="Times New Roman"/>
                <w:szCs w:val="22"/>
                <w:highlight w:val="none"/>
                <w:lang w:val="en-US" w:eastAsia="zh-CN"/>
              </w:rPr>
              <w:t>目标分解考核表</w:t>
            </w:r>
            <w:r>
              <w:rPr>
                <w:rFonts w:hint="eastAsia" w:ascii="Times New Roman" w:hAnsi="Times New Roman" w:eastAsia="宋体" w:cs="Times New Roman"/>
                <w:szCs w:val="22"/>
                <w:highlight w:val="none"/>
                <w:lang w:val="en-US" w:eastAsia="zh-CN"/>
              </w:rPr>
              <w:t>”，每半年考核，</w:t>
            </w:r>
            <w:r>
              <w:rPr>
                <w:rFonts w:hint="default" w:ascii="Times New Roman" w:hAnsi="Times New Roman" w:eastAsia="宋体" w:cs="Times New Roman"/>
                <w:szCs w:val="22"/>
                <w:highlight w:val="none"/>
                <w:lang w:val="en-US" w:eastAsia="zh-CN"/>
              </w:rPr>
              <w:t>2022年</w:t>
            </w:r>
            <w:r>
              <w:rPr>
                <w:rFonts w:hint="eastAsia" w:ascii="Times New Roman" w:hAnsi="Times New Roman" w:eastAsia="宋体" w:cs="Times New Roman"/>
                <w:szCs w:val="22"/>
                <w:highlight w:val="none"/>
                <w:lang w:val="en-US" w:eastAsia="zh-CN"/>
              </w:rPr>
              <w:t>7-12月</w:t>
            </w:r>
            <w:r>
              <w:rPr>
                <w:rFonts w:hint="default" w:ascii="Times New Roman" w:hAnsi="Times New Roman" w:eastAsia="宋体" w:cs="Times New Roman"/>
                <w:szCs w:val="22"/>
                <w:highlight w:val="none"/>
                <w:lang w:val="en-US" w:eastAsia="zh-CN"/>
              </w:rPr>
              <w:t>目标均已完成。</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0" w:type="dxa"/>
            <w:vAlign w:val="top"/>
          </w:tcPr>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组织的岗位、职责和权限</w:t>
            </w:r>
          </w:p>
        </w:tc>
        <w:tc>
          <w:tcPr>
            <w:tcW w:w="1237" w:type="dxa"/>
            <w:vAlign w:val="top"/>
          </w:tcPr>
          <w:p>
            <w:pPr>
              <w:adjustRightInd w:val="0"/>
              <w:snapToGrid w:val="0"/>
              <w:spacing w:line="360" w:lineRule="auto"/>
              <w:ind w:right="105" w:rightChars="50"/>
              <w:jc w:val="center"/>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QEO:5.1</w:t>
            </w:r>
          </w:p>
          <w:p>
            <w:pPr>
              <w:adjustRightInd w:val="0"/>
              <w:snapToGrid w:val="0"/>
              <w:spacing w:line="360" w:lineRule="auto"/>
              <w:ind w:right="105" w:rightChars="50"/>
              <w:jc w:val="center"/>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5.3</w:t>
            </w:r>
          </w:p>
        </w:tc>
        <w:tc>
          <w:tcPr>
            <w:tcW w:w="10800" w:type="dxa"/>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最高管理者在管理手册中明确了各部门和各岗位的职责和权限，以确保管理体系符合各项标准的要求，并确保各个过程获得其预期输出。</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经授权的分管领导向最高管理者报告质量、环境、职业健康安全管理体系的绩效及改进机会，确保整个组织推动以顾客为关注焦点、保持环境管理和职业健康安全管理绩效，确保在策划和实施管理体系变更时保持其完整性。</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公司组织机构设置有：综合部、供销部。</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经查每个部门均有部门职责和权限，各岗位的职责和权限、任职要求在《管理手册》中得到规定。</w:t>
            </w:r>
          </w:p>
          <w:p>
            <w:pPr>
              <w:spacing w:line="360" w:lineRule="auto"/>
              <w:ind w:firstLine="420" w:firstLineChars="200"/>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szCs w:val="22"/>
                <w:highlight w:val="none"/>
                <w:lang w:val="en-US" w:eastAsia="zh-CN"/>
              </w:rPr>
              <w:t>经查问组织内的职责和权限基本得到沟通，通过文件发布、传达、会议、培训等了解有关职责和权限。</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0" w:type="dxa"/>
            <w:vAlign w:val="top"/>
          </w:tcPr>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资源</w:t>
            </w:r>
          </w:p>
        </w:tc>
        <w:tc>
          <w:tcPr>
            <w:tcW w:w="1237"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w:t>
            </w:r>
            <w:r>
              <w:rPr>
                <w:rFonts w:hint="eastAsia" w:ascii="宋体" w:hAnsi="宋体" w:eastAsia="宋体" w:cs="Arial"/>
                <w:spacing w:val="-6"/>
                <w:sz w:val="21"/>
                <w:szCs w:val="21"/>
              </w:rPr>
              <w:t>7.1.1</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EO</w:t>
            </w:r>
            <w:r>
              <w:rPr>
                <w:rFonts w:hint="eastAsia" w:ascii="宋体" w:hAnsi="宋体" w:eastAsia="宋体" w:cs="Arial"/>
                <w:spacing w:val="-6"/>
                <w:sz w:val="21"/>
                <w:szCs w:val="21"/>
                <w:lang w:val="en-US" w:eastAsia="zh-CN"/>
              </w:rPr>
              <w:t>:</w:t>
            </w:r>
            <w:r>
              <w:rPr>
                <w:rFonts w:hint="eastAsia" w:ascii="宋体" w:hAnsi="宋体" w:eastAsia="宋体" w:cs="Arial"/>
                <w:spacing w:val="-6"/>
                <w:sz w:val="21"/>
                <w:szCs w:val="21"/>
              </w:rPr>
              <w:t>7.1</w:t>
            </w:r>
          </w:p>
        </w:tc>
        <w:tc>
          <w:tcPr>
            <w:tcW w:w="10800" w:type="dxa"/>
            <w:vAlign w:val="top"/>
          </w:tcPr>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南昌子衿生态环境有限公司成立于2020-12-15，注册资金500万元；经营面积120平方米。</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公司人员共8人，建立有员工花名册；</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主要设备有:电脑、打印机等。</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监测装置有:调查表等；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环保设施有：灭火器、垃圾桶等；</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公司组织机构设置为：管理层、综合部、供销部.</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default" w:ascii="Times New Roman" w:hAnsi="Times New Roman" w:eastAsia="宋体" w:cs="Times New Roman"/>
                <w:szCs w:val="22"/>
                <w:highlight w:val="none"/>
                <w:lang w:val="en-US" w:eastAsia="zh-CN"/>
              </w:rPr>
              <w:t>确认公司目前人力资源、基础设施、销售人员、财</w:t>
            </w:r>
            <w:r>
              <w:rPr>
                <w:rFonts w:hint="eastAsia" w:ascii="Times New Roman" w:hAnsi="Times New Roman" w:eastAsia="宋体" w:cs="Times New Roman"/>
                <w:szCs w:val="22"/>
                <w:highlight w:val="none"/>
                <w:lang w:val="en-US" w:eastAsia="zh-CN"/>
              </w:rPr>
              <w:t>务</w:t>
            </w:r>
            <w:r>
              <w:rPr>
                <w:rFonts w:hint="default" w:ascii="Times New Roman" w:hAnsi="Times New Roman" w:eastAsia="宋体" w:cs="Times New Roman"/>
                <w:szCs w:val="22"/>
                <w:highlight w:val="none"/>
                <w:lang w:val="en-US" w:eastAsia="zh-CN"/>
              </w:rPr>
              <w:t>、信息等资源均能保证。</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default" w:ascii="Times New Roman" w:hAnsi="Times New Roman" w:eastAsia="宋体" w:cs="Times New Roman"/>
                <w:szCs w:val="22"/>
                <w:highlight w:val="none"/>
                <w:lang w:val="en-US" w:eastAsia="zh-CN"/>
              </w:rPr>
              <w:t>公司</w:t>
            </w:r>
            <w:r>
              <w:rPr>
                <w:rFonts w:hint="eastAsia" w:ascii="Times New Roman" w:hAnsi="Times New Roman" w:eastAsia="宋体" w:cs="Times New Roman"/>
                <w:szCs w:val="22"/>
                <w:highlight w:val="none"/>
                <w:lang w:val="en-US" w:eastAsia="zh-CN"/>
              </w:rPr>
              <w:t>办公区域</w:t>
            </w:r>
            <w:r>
              <w:rPr>
                <w:rFonts w:hint="default" w:ascii="Times New Roman" w:hAnsi="Times New Roman" w:eastAsia="宋体" w:cs="Times New Roman"/>
                <w:szCs w:val="22"/>
                <w:highlight w:val="none"/>
                <w:lang w:val="en-US" w:eastAsia="zh-CN"/>
              </w:rPr>
              <w:t>、会议室</w:t>
            </w:r>
            <w:r>
              <w:rPr>
                <w:rFonts w:hint="eastAsia" w:ascii="Times New Roman" w:hAnsi="Times New Roman" w:eastAsia="宋体" w:cs="Times New Roman"/>
                <w:szCs w:val="22"/>
                <w:highlight w:val="none"/>
                <w:lang w:val="en-US" w:eastAsia="zh-CN"/>
              </w:rPr>
              <w:t>等</w:t>
            </w:r>
            <w:r>
              <w:rPr>
                <w:rFonts w:hint="default" w:ascii="Times New Roman" w:hAnsi="Times New Roman" w:eastAsia="宋体" w:cs="Times New Roman"/>
                <w:szCs w:val="22"/>
                <w:highlight w:val="none"/>
                <w:lang w:val="en-US" w:eastAsia="zh-CN"/>
              </w:rPr>
              <w:t>现场配备了灭火器等消防安全设备，能保证企业正常办公。</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default" w:ascii="Times New Roman" w:hAnsi="Times New Roman" w:eastAsia="宋体" w:cs="Times New Roman"/>
                <w:szCs w:val="22"/>
                <w:highlight w:val="none"/>
                <w:lang w:val="en-US" w:eastAsia="zh-CN"/>
              </w:rPr>
              <w:t>公司能保证质量、环境、职业健康安全工作的开展，确保相关资金及时投</w:t>
            </w:r>
            <w:r>
              <w:rPr>
                <w:rFonts w:hint="default" w:ascii="Times New Roman" w:hAnsi="Times New Roman" w:eastAsia="宋体" w:cs="Times New Roman"/>
                <w:color w:val="auto"/>
                <w:szCs w:val="22"/>
                <w:highlight w:val="none"/>
                <w:lang w:val="en-US" w:eastAsia="zh-CN"/>
              </w:rPr>
              <w:t>入</w:t>
            </w:r>
            <w:r>
              <w:rPr>
                <w:rFonts w:hint="eastAsia" w:ascii="Times New Roman" w:hAnsi="Times New Roman" w:eastAsia="宋体" w:cs="Times New Roman"/>
                <w:color w:val="auto"/>
                <w:szCs w:val="22"/>
                <w:highlight w:val="none"/>
                <w:lang w:val="en-US" w:eastAsia="zh-CN"/>
              </w:rPr>
              <w:t>，2022年已投入1.59万元</w:t>
            </w:r>
            <w:r>
              <w:rPr>
                <w:rFonts w:hint="default" w:ascii="Times New Roman" w:hAnsi="Times New Roman" w:eastAsia="宋体" w:cs="Times New Roman"/>
                <w:color w:val="auto"/>
                <w:szCs w:val="22"/>
                <w:highlight w:val="none"/>
                <w:lang w:val="en-US" w:eastAsia="zh-CN"/>
              </w:rPr>
              <w:t>。</w:t>
            </w:r>
          </w:p>
          <w:p>
            <w:pPr>
              <w:spacing w:line="360" w:lineRule="auto"/>
              <w:ind w:firstLine="420" w:firstLineChars="200"/>
              <w:rPr>
                <w:rFonts w:hint="default" w:ascii="Times New Roman" w:hAnsi="Times New Roman" w:eastAsia="宋体" w:cs="Times New Roman"/>
                <w:kern w:val="2"/>
                <w:sz w:val="21"/>
                <w:szCs w:val="22"/>
                <w:highlight w:val="none"/>
                <w:lang w:val="en-US" w:eastAsia="zh-CN" w:bidi="ar-SA"/>
              </w:rPr>
            </w:pPr>
            <w:r>
              <w:rPr>
                <w:rFonts w:hint="default" w:ascii="Times New Roman" w:hAnsi="Times New Roman" w:eastAsia="宋体" w:cs="Times New Roman"/>
                <w:szCs w:val="22"/>
                <w:highlight w:val="none"/>
                <w:lang w:val="en-US" w:eastAsia="zh-CN"/>
              </w:rPr>
              <w:t>基本能满足体系运行的要求。</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0"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沟通</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信息交流</w:t>
            </w:r>
          </w:p>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协商与参与</w:t>
            </w:r>
          </w:p>
        </w:tc>
        <w:tc>
          <w:tcPr>
            <w:tcW w:w="1237"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7.4</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O:5.4</w:t>
            </w:r>
          </w:p>
        </w:tc>
        <w:tc>
          <w:tcPr>
            <w:tcW w:w="10800" w:type="dxa"/>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组织在各部门之间建立了与体系有关的信息通渠沟道，借助于会议、电话、微信、网络、口头交流等方式使全体员工达到沟通和理解。目前各部门协调一致，工作上的接口基本理顺。</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总经理定期主持经营办公例会，分析公司的发展、市场情况和体系运行是否有效，管理目标完成情况，满足顾客要求和法规程度，改进建议等内部管理存在问题等。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总经理为协商、参与提供了时间、机会、培训、资源等保障，明确了沟通、协商、参与渠道，消除了障碍和壁垒。</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日常对于质量、环保、安全方面的信息主要利用会议、培训、座谈、电话、网络、收文等方式进行内外部沟通和协商。</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经交流：目前与环保、劳动、消防、安监部门的外部信息交流主要是参加会议、接收来文、电话、邮件等，均按要求予以传达和落实，沟通情况较好。</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相关人员能够适当参与并协商办理公司经营管理及安全事务等工作。</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公司经选举确定职业健康安全事务代表是</w:t>
            </w:r>
            <w:r>
              <w:rPr>
                <w:rFonts w:hint="eastAsia" w:ascii="Times New Roman" w:hAnsi="Times New Roman" w:eastAsia="宋体" w:cs="Times New Roman"/>
                <w:szCs w:val="22"/>
                <w:highlight w:val="none"/>
                <w:u w:val="single"/>
                <w:lang w:val="en-US" w:eastAsia="zh-CN"/>
              </w:rPr>
              <w:t>徐明</w:t>
            </w:r>
            <w:r>
              <w:rPr>
                <w:rFonts w:hint="eastAsia" w:ascii="Times New Roman" w:hAnsi="Times New Roman" w:eastAsia="宋体" w:cs="Times New Roman"/>
                <w:szCs w:val="22"/>
                <w:highlight w:val="none"/>
                <w:lang w:val="en-US" w:eastAsia="zh-CN"/>
              </w:rPr>
              <w:t>；管理手册中明确了其主要职责为：</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1.参与管理方针和程序的制定和评审；</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2.参与商讨影响工作场所职业健康安全的任何变化；</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3.参与职业健康安全的事务的处理。</w:t>
            </w:r>
            <w:bookmarkStart w:id="3" w:name="_GoBack"/>
            <w:bookmarkEnd w:id="3"/>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介绍说，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相关人员能够适当参与并协商办理公司经营管理及安全事务等工作。</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安全事务代表能履行职责。</w:t>
            </w:r>
          </w:p>
          <w:p>
            <w:pPr>
              <w:spacing w:line="360" w:lineRule="auto"/>
              <w:ind w:firstLine="420" w:firstLineChars="200"/>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szCs w:val="22"/>
                <w:highlight w:val="none"/>
                <w:lang w:val="en-US" w:eastAsia="zh-CN"/>
              </w:rPr>
              <w:t>现有的沟通渠道和方法能满足要求。</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0" w:type="dxa"/>
            <w:vAlign w:val="top"/>
          </w:tcPr>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管理评审</w:t>
            </w:r>
          </w:p>
        </w:tc>
        <w:tc>
          <w:tcPr>
            <w:tcW w:w="1237"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9.3</w:t>
            </w:r>
          </w:p>
        </w:tc>
        <w:tc>
          <w:tcPr>
            <w:tcW w:w="10800" w:type="dxa"/>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2023年01月4日在会议室付多龙总经理主持了管理评审。保留有管理评审计划、管理评审会议通知、评审记录、评审报告和改进措施计划等；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管理评审输入较充分；</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管理评审结论：管理体系的建立和运行是充分的、适宜的、有效的。</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改进措施建议：加强供应商质量控制；</w:t>
            </w:r>
          </w:p>
          <w:p>
            <w:pPr>
              <w:spacing w:line="360" w:lineRule="auto"/>
              <w:ind w:firstLine="420" w:firstLineChars="200"/>
              <w:rPr>
                <w:rFonts w:hint="default"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szCs w:val="22"/>
                <w:highlight w:val="none"/>
                <w:lang w:val="en-US" w:eastAsia="zh-CN"/>
              </w:rPr>
              <w:t>保留有“管理评审改进措施计划”。</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0" w:type="dxa"/>
            <w:vAlign w:val="top"/>
          </w:tcPr>
          <w:p>
            <w:pPr>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改进</w:t>
            </w:r>
          </w:p>
          <w:p>
            <w:pPr>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持续改进</w:t>
            </w:r>
          </w:p>
        </w:tc>
        <w:tc>
          <w:tcPr>
            <w:tcW w:w="1237"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10.1</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10.3</w:t>
            </w:r>
          </w:p>
        </w:tc>
        <w:tc>
          <w:tcPr>
            <w:tcW w:w="10800" w:type="dxa"/>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管理者代表根据总经理意图组织持续改进过程的策划工作，由综合部实施持续改进过程的管理。</w:t>
            </w:r>
          </w:p>
          <w:p>
            <w:pPr>
              <w:spacing w:line="360" w:lineRule="auto"/>
              <w:ind w:firstLine="420" w:firstLineChars="200"/>
              <w:rPr>
                <w:rFonts w:hint="default"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szCs w:val="22"/>
                <w:highlight w:val="none"/>
                <w:lang w:val="en-US" w:eastAsia="zh-CN"/>
              </w:rPr>
              <w:t>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0" w:type="dxa"/>
            <w:vAlign w:val="top"/>
          </w:tcPr>
          <w:p>
            <w:pPr>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lang w:eastAsia="zh-CN"/>
              </w:rPr>
              <w:t>一阶段审核</w:t>
            </w:r>
            <w:r>
              <w:rPr>
                <w:rFonts w:hint="eastAsia" w:ascii="宋体" w:hAnsi="宋体" w:eastAsia="宋体" w:cs="Arial"/>
                <w:spacing w:val="-6"/>
                <w:sz w:val="21"/>
                <w:szCs w:val="21"/>
              </w:rPr>
              <w:t>问题验证</w:t>
            </w:r>
          </w:p>
        </w:tc>
        <w:tc>
          <w:tcPr>
            <w:tcW w:w="1237"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p>
        </w:tc>
        <w:tc>
          <w:tcPr>
            <w:tcW w:w="10800" w:type="dxa"/>
            <w:vAlign w:val="center"/>
          </w:tcPr>
          <w:p>
            <w:pPr>
              <w:spacing w:line="360" w:lineRule="auto"/>
              <w:ind w:firstLine="420" w:firstLineChars="200"/>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szCs w:val="22"/>
                <w:highlight w:val="none"/>
                <w:lang w:val="en-US" w:eastAsia="zh-CN"/>
              </w:rPr>
              <w:t>一阶段审核时未发现问题。</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0" w:type="dxa"/>
            <w:vAlign w:val="top"/>
          </w:tcPr>
          <w:p>
            <w:pPr>
              <w:adjustRightInd w:val="0"/>
              <w:snapToGrid w:val="0"/>
              <w:spacing w:line="24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验证企业相关资质证明的有效性</w:t>
            </w:r>
          </w:p>
        </w:tc>
        <w:tc>
          <w:tcPr>
            <w:tcW w:w="1237"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p>
        </w:tc>
        <w:tc>
          <w:tcPr>
            <w:tcW w:w="10800" w:type="dxa"/>
            <w:vAlign w:val="center"/>
          </w:tcPr>
          <w:p>
            <w:pPr>
              <w:spacing w:line="360" w:lineRule="auto"/>
              <w:ind w:firstLine="420" w:firstLineChars="200"/>
              <w:rPr>
                <w:rFonts w:hint="default"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szCs w:val="22"/>
                <w:highlight w:val="none"/>
                <w:lang w:val="en-US" w:eastAsia="zh-CN"/>
              </w:rPr>
              <w:t>国家企业信用信息公示系统查询结果：营业执照续存，无风险警示。营业执照，有效。</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0" w:type="dxa"/>
            <w:vAlign w:val="top"/>
          </w:tcPr>
          <w:p>
            <w:pPr>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顾客满意、相关方投诉及处理情况</w:t>
            </w:r>
          </w:p>
          <w:p>
            <w:pPr>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国家/地方监督抽查情况</w:t>
            </w:r>
          </w:p>
        </w:tc>
        <w:tc>
          <w:tcPr>
            <w:tcW w:w="1237"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p>
        </w:tc>
        <w:tc>
          <w:tcPr>
            <w:tcW w:w="10800" w:type="dxa"/>
            <w:vAlign w:val="center"/>
          </w:tcPr>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顾客满意：2022年12月27日通过顾客满意度调查进行监测，经统计分析，顾客满意度为99分。</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自公司成立以来，未受到上级主管部门有关质量、环保、职业健康安全的行政处罚。未发生相关方投诉。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暂时没有国家/地方抽查情况。</w:t>
            </w:r>
          </w:p>
          <w:p>
            <w:pPr>
              <w:spacing w:line="360" w:lineRule="auto"/>
              <w:ind w:firstLine="420" w:firstLineChars="200"/>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szCs w:val="22"/>
                <w:highlight w:val="none"/>
                <w:lang w:val="en-US" w:eastAsia="zh-CN"/>
              </w:rPr>
              <w:t>目前没有相关行政主管部门的检查处罚，在审核现场也未发现抽查、相关方投诉等情况。</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RmZWE1ODkyMzI3NzUzMjUzZWZjMTFlMDk4OTYifQ=="/>
  </w:docVars>
  <w:rsids>
    <w:rsidRoot w:val="00000000"/>
    <w:rsid w:val="23DB4B50"/>
    <w:rsid w:val="3E8C1B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9"/>
    <w:pPr>
      <w:keepNext/>
      <w:jc w:val="center"/>
      <w:outlineLvl w:val="1"/>
    </w:pPr>
    <w:rPr>
      <w:rFonts w:ascii="宋体" w:hAnsi="宋体"/>
      <w:b/>
      <w:sz w:val="5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4678</Words>
  <Characters>5011</Characters>
  <Lines>1</Lines>
  <Paragraphs>1</Paragraphs>
  <TotalTime>11</TotalTime>
  <ScaleCrop>false</ScaleCrop>
  <LinksUpToDate>false</LinksUpToDate>
  <CharactersWithSpaces>5041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2023-02-06T04:11:13Z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D6B31D8838A8471E9E1EC66C5E9A7F3E</vt:lpwstr>
  </property>
  <property fmtid="{D5CDD505-2E9C-101B-9397-08002B2CF9AE}" pid="3" name="KSOProductBuildVer">
    <vt:lpwstr>2052-11.1.0.12980</vt:lpwstr>
  </property>
</Properties>
</file>