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0133-2023-QEO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南昌子衿生态环境有限公司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2023年02月04日 上午至2023年02月04日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2022-N1OHSMS-3068076</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南昌子衿生态环境有限公司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江西省南昌市红谷滩区东起城运大道、西至九龙大道、北临九龙湖、南至规划路南昌万达城H区项目7#住宅楼1单元1801室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330038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江西省南昌市红谷滩区东起城运大道、西至九龙大道、北临九龙湖、南至规划路南昌万达城H区项目7#住宅楼1单元1801室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330038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徐明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15270855536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玻璃纤维增强塑料制品、管道、市政设施的销售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产品要求信息获取----产品要求评审-----签订合同----采购 -----质检------销售---售后服务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玻璃纤维增强塑料制品、管道、市政设施的销售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玻璃纤维增强塑料制品、管道、市政设施的销售所涉及场所的相关环境管理活动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玻璃纤维增强塑料制品、管道、市政设施的销售所涉及场所的相关职业健康安全管理活动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hint="eastAsia" w:eastAsia="黑体"/>
                <w:szCs w:val="21"/>
                <w:lang w:val="de-DE"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tcPr>
          <w:p>
            <w:pPr>
              <w:spacing w:before="40" w:after="40"/>
              <w:rPr>
                <w:rFonts w:eastAsia="黑体"/>
                <w:szCs w:val="21"/>
                <w:lang w:val="de-DE"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玻璃纤维增强塑料制品、管道、市政设施的销售</w:t>
            </w:r>
          </w:p>
        </w:tc>
        <w:tc>
          <w:tcPr>
            <w:tcW w:w="669" w:type="dxa"/>
            <w:vAlign w:val="center"/>
          </w:tcPr>
          <w:p>
            <w:pPr>
              <w:spacing w:before="40" w:after="40"/>
              <w:rPr>
                <w:rFonts w:eastAsia="黑体"/>
                <w:szCs w:val="21"/>
                <w:lang w:eastAsia="ja-JP"/>
              </w:rPr>
            </w:pPr>
            <w:r>
              <w:rPr>
                <w:rFonts w:hint="eastAsia" w:eastAsia="黑体"/>
                <w:szCs w:val="21"/>
                <w:lang w:eastAsia="ja-JP"/>
              </w:rPr>
              <w:t>GB/T19001-2016/ISO 9001:2015</w:t>
            </w:r>
          </w:p>
        </w:tc>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eastAsia="黑体"/>
                <w:szCs w:val="21"/>
                <w:lang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vAlign w:val="top"/>
          </w:tcPr>
          <w:p>
            <w:pPr>
              <w:spacing w:before="40" w:after="40"/>
              <w:rPr>
                <w:rFonts w:eastAsia="黑体"/>
                <w:szCs w:val="21"/>
                <w:lang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spacing w:before="40" w:after="40"/>
              <w:rPr>
                <w:rFonts w:eastAsia="黑体"/>
                <w:szCs w:val="21"/>
                <w:lang w:eastAsia="ja-JP"/>
              </w:rPr>
            </w:pPr>
            <w:r>
              <w:rPr>
                <w:rFonts w:hint="eastAsia" w:eastAsia="黑体"/>
                <w:szCs w:val="21"/>
                <w:lang w:eastAsia="ja-JP"/>
              </w:rPr>
              <w:t>玻璃纤维增强塑料制品、管道、市政设施的销售所涉及场所的相关环境管理活动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GB/T24001-2016/ISO 14001:2015</w:t>
            </w:r>
          </w:p>
        </w:tc>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eastAsia="黑体"/>
                <w:szCs w:val="21"/>
                <w:lang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vAlign w:val="top"/>
          </w:tcPr>
          <w:p>
            <w:pPr>
              <w:spacing w:before="40" w:after="40"/>
              <w:rPr>
                <w:rFonts w:eastAsia="黑体"/>
                <w:szCs w:val="21"/>
                <w:lang w:eastAsia="ja-JP"/>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spacing w:before="40" w:after="40"/>
              <w:rPr>
                <w:rFonts w:eastAsia="黑体"/>
                <w:szCs w:val="21"/>
                <w:lang w:eastAsia="ja-JP"/>
              </w:rPr>
            </w:pPr>
            <w:r>
              <w:rPr>
                <w:rFonts w:hint="eastAsia" w:eastAsia="黑体"/>
                <w:szCs w:val="21"/>
                <w:lang w:eastAsia="ja-JP"/>
              </w:rPr>
              <w:t>玻璃纤维增强塑料制品、管道、市政设施的销售所涉及场所的相关职业健康安全管理活动</w:t>
            </w:r>
          </w:p>
        </w:tc>
        <w:tc>
          <w:tcPr>
            <w:tcW w:w="669" w:type="dxa"/>
            <w:vAlign w:val="center"/>
          </w:tcPr>
          <w:p>
            <w:pPr>
              <w:spacing w:before="40" w:after="40"/>
              <w:rPr>
                <w:rFonts w:eastAsia="黑体"/>
                <w:szCs w:val="21"/>
                <w:lang w:eastAsia="ja-JP"/>
              </w:rPr>
            </w:pPr>
            <w:r>
              <w:rPr>
                <w:rFonts w:hint="eastAsia" w:eastAsia="黑体"/>
                <w:szCs w:val="21"/>
                <w:lang w:eastAsia="ja-JP"/>
              </w:rPr>
              <w:t>GB/T 45001-2020/ISO45001：2018</w:t>
            </w: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年1月4日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rPr>
          <w:rFonts w:ascii="宋体" w:hAnsi="宋体"/>
          <w:b/>
          <w:color w:val="000000"/>
          <w:szCs w:val="21"/>
        </w:rPr>
      </w:pPr>
      <w:r>
        <w:rPr>
          <w:rFonts w:ascii="宋体" w:hAnsi="宋体"/>
          <w:b/>
          <w:color w:val="000000"/>
          <w:szCs w:val="21"/>
        </w:rPr>
        <w:br w:type="page"/>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rPr>
          <w:rFonts w:eastAsia="黑体"/>
          <w:szCs w:val="21"/>
        </w:rPr>
      </w:pPr>
      <w:r>
        <w:rPr>
          <w:rFonts w:eastAsia="黑体"/>
          <w:szCs w:val="21"/>
        </w:rPr>
        <w:br w:type="page"/>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bookmarkEnd w:id="35"/>
            <w:r>
              <w:rPr>
                <w:rFonts w:hint="eastAsia" w:ascii="宋体"/>
                <w:b/>
                <w:color w:val="000000"/>
                <w:szCs w:val="21"/>
                <w:lang w:val="en-US" w:eastAsia="zh-CN"/>
              </w:rPr>
              <w:t>2023.2.6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6" w:name="_GoBack"/>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1748155</wp:posOffset>
            </wp:positionH>
            <wp:positionV relativeFrom="paragraph">
              <wp:posOffset>200025</wp:posOffset>
            </wp:positionV>
            <wp:extent cx="838835" cy="505460"/>
            <wp:effectExtent l="0" t="0" r="18415" b="825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bookmarkEnd w:id="36"/>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2023.2.4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 w:val="21"/>
          <w:szCs w:val="21"/>
          <w:lang w:eastAsia="zh-CN"/>
        </w:rPr>
        <w:drawing>
          <wp:anchor distT="0" distB="0" distL="114300" distR="114300" simplePos="0" relativeHeight="251664384" behindDoc="0" locked="0" layoutInCell="1" allowOverlap="1">
            <wp:simplePos x="0" y="0"/>
            <wp:positionH relativeFrom="column">
              <wp:posOffset>-714375</wp:posOffset>
            </wp:positionH>
            <wp:positionV relativeFrom="paragraph">
              <wp:posOffset>-1038225</wp:posOffset>
            </wp:positionV>
            <wp:extent cx="7595870" cy="10447020"/>
            <wp:effectExtent l="0" t="0" r="5080" b="11430"/>
            <wp:wrapNone/>
            <wp:docPr id="6" name="图片 6" descr="77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7 001"/>
                    <pic:cNvPicPr>
                      <a:picLocks noChangeAspect="1"/>
                    </pic:cNvPicPr>
                  </pic:nvPicPr>
                  <pic:blipFill>
                    <a:blip r:embed="rId7"/>
                    <a:stretch>
                      <a:fillRect/>
                    </a:stretch>
                  </pic:blipFill>
                  <pic:spPr>
                    <a:xfrm>
                      <a:off x="0" y="0"/>
                      <a:ext cx="7595870" cy="10447020"/>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628650</wp:posOffset>
                  </wp:positionH>
                  <wp:positionV relativeFrom="paragraph">
                    <wp:posOffset>97790</wp:posOffset>
                  </wp:positionV>
                  <wp:extent cx="838835" cy="505460"/>
                  <wp:effectExtent l="0" t="0" r="18415" b="8255"/>
                  <wp:wrapNone/>
                  <wp:docPr id="3"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541655</wp:posOffset>
                  </wp:positionH>
                  <wp:positionV relativeFrom="paragraph">
                    <wp:posOffset>39370</wp:posOffset>
                  </wp:positionV>
                  <wp:extent cx="838835" cy="505460"/>
                  <wp:effectExtent l="0" t="0" r="18415" b="8255"/>
                  <wp:wrapNone/>
                  <wp:docPr id="5"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23EA7373"/>
    <w:rsid w:val="4FF35E8E"/>
    <w:rsid w:val="716A0A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7635</Words>
  <Characters>8339</Characters>
  <Lines>67</Lines>
  <Paragraphs>18</Paragraphs>
  <TotalTime>1</TotalTime>
  <ScaleCrop>false</ScaleCrop>
  <LinksUpToDate>false</LinksUpToDate>
  <CharactersWithSpaces>8404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2023-02-07T02:27:21Z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