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0132-2023-Q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西安博华机电股份有限公司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91610103710114256C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西安博华机电股份有限公司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汽车制动系统、安全标识的销售。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西安市高新区碑林科技产业园4号厂房1栋6B号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西安市高新区碑林科技产业园4号厂房1栋6B号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 'an Bohua Electromechanical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Automobile brake system, safety sign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6B, Building 1, No.4 Workshop, Beilin Science and Technology Industrial Park, Xi 'an High-tech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6B, Building 1, No.4 Workshop, Beilin Science and Technology Industrial Park, Xi 'an High-tech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5D0A6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5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2023-02-02T06:37:56Z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