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唐山市丰润区山春工贸有限公司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唐山市丰润区林荫路223号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唐山市丰润区林荫路223号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张志敏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13803302603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tsscgs@163.com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张志敏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0130-2023-Q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机车车辆配件（隔音垫）的加工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sz w:val="21"/>
                <w:szCs w:val="21"/>
              </w:rPr>
              <w:t>SC/SC-2022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2023年02月09日 上午至2023年02月09日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334000" cy="4076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30" w:name="_GoBack"/>
      <w:bookmarkEnd w:id="30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206"/>
        <w:gridCol w:w="3649"/>
        <w:gridCol w:w="214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02-09</w:t>
            </w: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-08:30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49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一阶段审核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问题整改情况的确认；事故事件及起处理情况，质量、环境安全监测情况等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4.1/4.2/4.3/4.4/5.1/5.2/5.3/6.1/6.2/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7.1/9.1.1/9.3/10.1/10.3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20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49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组织知识；能力；沟通；培训和意识；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文件化信息；文件总则/管理手册、文件和记录控制；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 xml:space="preserve">分析和评价；内部审核；不合格和纠正措 施。 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:5.3/6.2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7.2/7.3/7.4/7.5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/9.1.3/9.2/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12:30-15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2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生产技术部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364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组织的岗位、职责权限；目标、方案；基础设施；运行环境；监视和测量资源；运行的策划和控制；产品和服务的设计和开发；生产和服务控制；产品和服务的放行；不合格品的控制；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4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Q:5.3/6.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2/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7.1.3/7.1.4/7.1.5/8.1/8.3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 xml:space="preserve">.1/8.5.2/8.5.4/8.5.6/8.6/8/7 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20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64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组织的岗位、职责权限；目标、方案；产品和服务要求；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外部提供的产品/服务的控制；顾客财产、交付后活动，顾客满意； 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5.3/6.2/8.2/8.4/8.5.3/8.5.5/9.1.2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CCB373D"/>
    <w:rsid w:val="3B437CE4"/>
    <w:rsid w:val="50527938"/>
    <w:rsid w:val="52231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1384</Words>
  <Characters>1983</Characters>
  <Lines>37</Lines>
  <Paragraphs>10</Paragraphs>
  <TotalTime>11</TotalTime>
  <ScaleCrop>false</ScaleCrop>
  <LinksUpToDate>false</LinksUpToDate>
  <CharactersWithSpaces>2025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2023-02-09T06:42:44Z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