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毕节金悦餐饮服务有限公司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贵州省毕节市七星关区洪山街道拥军路31号毕节市民族中学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贵州省毕节市七星关区洪山街道拥军路31号毕节市民族中学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匡丽春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18508576665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2773885009@qq.com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匡丽春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r>
              <w:t>17588891009</w:t>
            </w:r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0127-2023-QEO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</w:t>
            </w:r>
            <w:bookmarkStart w:id="36" w:name="_GoBack"/>
            <w:r>
              <w:rPr>
                <w:sz w:val="20"/>
              </w:rPr>
              <w:t>热食类食品</w:t>
            </w:r>
            <w:bookmarkEnd w:id="36"/>
            <w:r>
              <w:rPr>
                <w:sz w:val="20"/>
              </w:rPr>
              <w:t>制售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E：热食类食品制售所涉及场所的相关环境管理活动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O：热食类食品制售所涉及场所的相关职业健康安全管理活动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Q：30.05.00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E：30.05.00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O：30.05.00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2023年02月04日 至2023年02月07日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4.0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2020-N1EMS-1262293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2021-N1OHSMS-1262293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徐不丁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毕节腾龙凯悦酒店管理有限公司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E:30.05.00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O:30.05.00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18984788900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徐不丁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毕节腾龙凯悦酒店管理有限公司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Q:30.05.00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E:30.05.00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O:30.05.00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ISC-JSZJ-605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ISC-JSZJ-605</w:t>
            </w:r>
          </w:p>
          <w:p>
            <w:pPr>
              <w:jc w:val="center"/>
            </w:pPr>
            <w:r>
              <w:rPr>
                <w:sz w:val="20"/>
                <w:lang w:val="de-DE"/>
              </w:rPr>
              <w:t>ISC-JSZJ-605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18984788900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2023年2月4日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2023年2月4日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2023年2月4日</w:t>
            </w:r>
          </w:p>
        </w:tc>
      </w:tr>
    </w:tbl>
    <w:p/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639"/>
        <w:gridCol w:w="995"/>
        <w:gridCol w:w="5668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12：30-13：00</w:t>
            </w:r>
          </w:p>
        </w:tc>
        <w:tc>
          <w:tcPr>
            <w:tcW w:w="6663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13：00-16：30</w:t>
            </w:r>
          </w:p>
        </w:tc>
        <w:tc>
          <w:tcPr>
            <w:tcW w:w="995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68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9.1.1</w:t>
            </w:r>
            <w:r>
              <w:rPr>
                <w:rFonts w:hint="eastAsia" w:ascii="宋体" w:hAnsi="宋体" w:cs="新宋体"/>
                <w:sz w:val="18"/>
                <w:szCs w:val="18"/>
              </w:rPr>
              <w:t>监视、测量、分析与评估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总则；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9.3管理评审；10.1改进 总则；10.3持续改进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4.1组织及其环境;4.2相关方需求与期望;4.3确定体系范围;4.4体系;5.1领导作用与承诺;5.2方针;5.3组织的角色、职责和权限；6.1.1策划总则；6.1.4措施的策划；6.2目标及其实现的策划；7.1资源；9.3管理评审；10.1改进 总则；10.3持续改进。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2020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 2相关方需求与期望;4.3确定体系范围;4.4体系;5.1领导作用与承诺;5.2方针;5.3组织的角色、职责和权限；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5.4工作人员的协商和参与；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6.1应对风险和机遇的措施6.1.4措施的策划；6.2目标及其实现的策划；7.1资源；9.3管理评审；10.1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总则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新宋体"/>
                <w:sz w:val="18"/>
                <w:szCs w:val="18"/>
              </w:rPr>
              <w:t>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范围的确认，资质的确认，法律法规执行情况，质量环境安全投诉或事故/政府主管部门监督抽查情况，一阶段审核不符合的验证。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5"/>
                <w:szCs w:val="15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余家龙、徐不丁（专家）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8：30-17：00</w:t>
            </w:r>
          </w:p>
        </w:tc>
        <w:tc>
          <w:tcPr>
            <w:tcW w:w="995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综合部</w:t>
            </w:r>
          </w:p>
        </w:tc>
        <w:tc>
          <w:tcPr>
            <w:tcW w:w="5668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7.1.6组织知识；7.2能力；7.3意识；7.4沟通；7.5文件化信息；9.1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.3分析与评价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；9.2内部审核；10.2不符合和纠正措施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6.1.4措施的策划；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达成的策划；7.2能力；7.3意识；7.4沟通；7.5文件化信息；8.1运行策划和控制；8.2应急准备和响应；9.1监视、测量、分析与评估；9.1.2符合性评估；9.2内部审核；10.2不符合和纠正措施/EMS运行控制相关财务支出证据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2020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6.1.3法律法规要求和其他要求；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6.1.4措施的策划；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6.2目标及其实现的策划；7.2能力；7.3意识；7.4信息和沟通；7.5文件化信息；8.1运行策划和控制；8.2应急准备和响应；9.1监视、测量、分析与评估；9.1.2法律法规要求和其他要求的合规性评价；9.2内部审核；10.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新宋体"/>
                <w:sz w:val="18"/>
                <w:szCs w:val="18"/>
              </w:rPr>
              <w:t>事件、不符合和纠正措施/OHSMS运行控制财务支出证据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余家龙、徐不丁（专家）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8：30-16：00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22：00-23：00（夜间宵夜餐现场查看）</w:t>
            </w:r>
          </w:p>
        </w:tc>
        <w:tc>
          <w:tcPr>
            <w:tcW w:w="995" w:type="dxa"/>
            <w:vAlign w:val="top"/>
          </w:tcPr>
          <w:p>
            <w:pPr>
              <w:spacing w:line="30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餐饮部</w:t>
            </w:r>
          </w:p>
        </w:tc>
        <w:tc>
          <w:tcPr>
            <w:tcW w:w="5668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5.3岗位/职责/权限；6.2质量目标及其实现的策划；7.1.3基础设施；7.1.4运作环境；7.1.5监视和测量资源； 8.1运行策划和控制；8.2产品和服务的要求；8.3设计开发控制；8.4外部提供供方的控制； 8.5.1生产和服务提供的控制； 8.5.2标识和可追溯性；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8.5.3顾客和外部供方的财产；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8.5.4防护；8.5.5交付后的活动；8.5.6更改控制；8.6产品和服务放行；8.7不合格输出的控制；9.1.2顾客满意；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OHSMS-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2020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</w:t>
            </w:r>
            <w:r>
              <w:rPr>
                <w:rFonts w:hint="eastAsia" w:ascii="宋体" w:hAnsi="宋体" w:cs="新宋体"/>
                <w:sz w:val="18"/>
                <w:szCs w:val="18"/>
                <w:highlight w:val="none"/>
                <w:lang w:val="en-US" w:eastAsia="zh-CN"/>
              </w:rPr>
              <w:t>危险源辨识和职业安全风险评价</w:t>
            </w:r>
            <w:r>
              <w:rPr>
                <w:rFonts w:hint="eastAsia" w:ascii="宋体" w:hAnsi="宋体" w:cs="新宋体"/>
                <w:sz w:val="18"/>
                <w:szCs w:val="18"/>
              </w:rPr>
              <w:t>；6.2目标及其达成的策划；8.1运行策划和控制；8.2应急准备和响应；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余家龙、徐不丁（专家）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8：00-16：00</w:t>
            </w:r>
          </w:p>
        </w:tc>
        <w:tc>
          <w:tcPr>
            <w:tcW w:w="6663" w:type="dxa"/>
            <w:gridSpan w:val="2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  <w:t>继续之前未完成的工作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余家龙、徐不丁（专家）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</w:t>
            </w:r>
          </w:p>
        </w:tc>
        <w:tc>
          <w:tcPr>
            <w:tcW w:w="6663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377" w:type="dxa"/>
            <w:gridSpan w:val="5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注：12：00-12：30为午餐时间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296A3F05"/>
    <w:rsid w:val="5B7E2D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2431</Words>
  <Characters>3541</Characters>
  <Lines>37</Lines>
  <Paragraphs>10</Paragraphs>
  <TotalTime>5</TotalTime>
  <ScaleCrop>false</ScaleCrop>
  <LinksUpToDate>false</LinksUpToDate>
  <CharactersWithSpaces>3610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2023-02-06T09:10:51Z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2052-11.1.0.13012</vt:lpwstr>
  </property>
</Properties>
</file>