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0127-2023-QEO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毕节金悦餐饮服务有限公司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2023年02月03日 上午至2023年02月03日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贵州省毕节市七星关区洪山街道拥军路31号毕节市民族中学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徐不丁</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ISC-JSZJ-605</w:t>
            </w:r>
          </w:p>
          <w:p>
            <w:pPr>
              <w:spacing w:line="240" w:lineRule="exact"/>
              <w:jc w:val="center"/>
              <w:rPr>
                <w:b/>
                <w:color w:val="000000"/>
                <w:szCs w:val="21"/>
              </w:rPr>
            </w:pPr>
            <w:r>
              <w:rPr>
                <w:b/>
                <w:color w:val="000000"/>
                <w:szCs w:val="21"/>
              </w:rPr>
              <w:t>ISC-JSZJ-605</w:t>
            </w:r>
          </w:p>
          <w:p>
            <w:pPr>
              <w:spacing w:line="240" w:lineRule="exact"/>
              <w:jc w:val="center"/>
              <w:rPr>
                <w:b/>
                <w:color w:val="000000"/>
                <w:szCs w:val="21"/>
              </w:rPr>
            </w:pPr>
            <w:r>
              <w:rPr>
                <w:b/>
                <w:color w:val="000000"/>
                <w:szCs w:val="21"/>
              </w:rPr>
              <w:t>ISC-JSZJ-605</w:t>
            </w:r>
          </w:p>
          <w:p>
            <w:pPr>
              <w:spacing w:line="240" w:lineRule="exact"/>
              <w:jc w:val="center"/>
              <w:rPr>
                <w:b/>
                <w:color w:val="000000"/>
                <w:szCs w:val="21"/>
              </w:rPr>
            </w:pPr>
            <w:r>
              <w:rPr>
                <w:b/>
                <w:color w:val="000000"/>
                <w:szCs w:val="21"/>
              </w:rPr>
              <w:t>毕节腾龙凯悦酒店管理有限公司</w:t>
            </w:r>
          </w:p>
        </w:tc>
        <w:tc>
          <w:tcPr>
            <w:tcW w:w="1140"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毕节金悦餐饮服务有限公司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贵州省毕节市七星关区洪山街道拥军路31号毕节市民族中学</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551700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贵州省毕节市七星关区洪山街道拥军路31号毕节市民族中学</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551700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匡丽春</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18508576665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匡丽春</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胡仰虎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pPr>
            <w:r>
              <w:rPr>
                <w:rFonts w:hint="eastAsia" w:ascii="宋体" w:hAnsi="宋体"/>
                <w:b/>
                <w:color w:val="000000"/>
                <w:szCs w:val="21"/>
              </w:rPr>
              <w:t>产品</w:t>
            </w:r>
            <w:r>
              <w:rPr>
                <w:rFonts w:hint="eastAsia" w:ascii="宋体" w:hAnsi="宋体"/>
                <w:b/>
                <w:color w:val="000000"/>
                <w:szCs w:val="21"/>
                <w:lang w:val="en-US" w:eastAsia="zh-CN"/>
              </w:rPr>
              <w:t>/</w:t>
            </w:r>
            <w:r>
              <w:rPr>
                <w:rFonts w:hint="eastAsia" w:ascii="宋体" w:hAnsi="宋体"/>
                <w:b/>
                <w:color w:val="000000"/>
                <w:szCs w:val="21"/>
              </w:rPr>
              <w:t>服务</w:t>
            </w:r>
            <w:r>
              <w:rPr>
                <w:rFonts w:hint="eastAsia" w:ascii="宋体" w:hAnsi="宋体"/>
                <w:b/>
                <w:color w:val="000000"/>
                <w:szCs w:val="21"/>
              </w:rPr>
              <w:t>：</w:t>
            </w:r>
            <w:bookmarkStart w:id="35" w:name="审核范围"/>
            <w:r>
              <w:t>Q：热食类食品制售</w:t>
            </w:r>
          </w:p>
          <w:p>
            <w:r>
              <w:t>E：热食类食品制售所涉及场所的相关环境管理活动</w:t>
            </w:r>
          </w:p>
          <w:p>
            <w:pPr>
              <w:tabs>
                <w:tab w:val="left" w:pos="360"/>
              </w:tabs>
              <w:ind w:left="360" w:hanging="360"/>
              <w:rPr>
                <w:rFonts w:ascii="宋体" w:hAnsi="宋体"/>
                <w:b/>
                <w:color w:val="000000"/>
                <w:szCs w:val="21"/>
              </w:rPr>
            </w:pPr>
            <w:r>
              <w:t>O：热食类食品制售所涉及场所的相关职业健康安全管理活动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sz w:val="20"/>
                <w:lang w:val="en-US" w:eastAsia="zh-CN"/>
              </w:rPr>
              <w:t>采购验收→摘菜洗菜→切菜配菜→蒸饭炒菜→配餐→卫生、消毒→留样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热食类食品制售</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热食类食品制售所涉及场所的相关环境管理活动</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热食类食品制售所涉及场所的相关职业健康安全管理活动</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毕节金悦餐饮服务有限公司</w:t>
            </w:r>
            <w:r>
              <w:rPr>
                <w:rFonts w:hint="eastAsia"/>
                <w:sz w:val="21"/>
                <w:szCs w:val="21"/>
                <w:lang w:val="en-US" w:eastAsia="zh-CN"/>
              </w:rPr>
              <w:t>/</w:t>
            </w:r>
            <w:r>
              <w:rPr>
                <w:sz w:val="21"/>
                <w:szCs w:val="21"/>
              </w:rPr>
              <w:t>贵州省毕节市七星关区洪山街道拥军路31号毕节市民族中学</w:t>
            </w:r>
          </w:p>
        </w:tc>
        <w:tc>
          <w:tcPr>
            <w:tcW w:w="2267" w:type="dxa"/>
          </w:tcPr>
          <w:p>
            <w:pPr>
              <w:spacing w:before="40" w:after="40"/>
              <w:rPr>
                <w:rFonts w:eastAsia="黑体"/>
                <w:szCs w:val="21"/>
                <w:lang w:val="de-DE" w:eastAsia="ja-JP"/>
              </w:rPr>
            </w:pPr>
            <w:r>
              <w:rPr>
                <w:sz w:val="21"/>
                <w:szCs w:val="21"/>
              </w:rPr>
              <w:t>贵州省毕节市七星关区洪山街道拥军路31号毕节市民族中学</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r>
              <w:t>Q：热食类食品制售</w:t>
            </w:r>
          </w:p>
          <w:p>
            <w:r>
              <w:t>E：热食类食品制售所涉及场所的相关环境管理活动</w:t>
            </w:r>
          </w:p>
          <w:p>
            <w:pPr>
              <w:pStyle w:val="20"/>
              <w:rPr>
                <w:rFonts w:eastAsia="黑体" w:cs="Arial"/>
                <w:sz w:val="21"/>
                <w:szCs w:val="21"/>
                <w:lang w:val="en-US" w:eastAsia="ja-JP"/>
              </w:rPr>
            </w:pPr>
            <w:r>
              <w:t>O：热食类食品制售所涉及场所的相关职业健康安全管理活动</w:t>
            </w:r>
          </w:p>
        </w:tc>
        <w:tc>
          <w:tcPr>
            <w:tcW w:w="669" w:type="dxa"/>
            <w:vAlign w:val="center"/>
          </w:tcPr>
          <w:p>
            <w:pPr>
              <w:rPr>
                <w:rFonts w:hint="eastAsia" w:ascii="Times New Roman" w:hAnsi="Times New Roman" w:eastAsia="Times New Roman" w:cs="Times New Roman"/>
                <w:kern w:val="2"/>
                <w:sz w:val="20"/>
                <w:szCs w:val="20"/>
                <w:lang w:val="de-DE" w:eastAsia="zh-CN" w:bidi="ar-SA"/>
              </w:rPr>
            </w:pPr>
            <w:r>
              <w:rPr>
                <w:rFonts w:hint="eastAsia" w:ascii="Times New Roman" w:hAnsi="Times New Roman" w:eastAsia="Times New Roman" w:cs="Times New Roman"/>
                <w:kern w:val="2"/>
                <w:sz w:val="20"/>
                <w:szCs w:val="20"/>
                <w:lang w:val="de-DE" w:eastAsia="zh-CN" w:bidi="ar-SA"/>
              </w:rPr>
              <w:t>GB/T19001-2016GB/T24001-2016</w:t>
            </w:r>
          </w:p>
          <w:p>
            <w:pPr>
              <w:rPr>
                <w:rFonts w:hint="default" w:ascii="Times New Roman" w:hAnsi="Times New Roman" w:eastAsia="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de-DE" w:eastAsia="zh-CN" w:bidi="ar-SA"/>
              </w:rPr>
              <w:t>GB/T</w:t>
            </w:r>
            <w:r>
              <w:rPr>
                <w:rFonts w:hint="eastAsia" w:ascii="Times New Roman" w:hAnsi="Times New Roman" w:eastAsia="Times New Roman" w:cs="Times New Roman"/>
                <w:kern w:val="2"/>
                <w:sz w:val="20"/>
                <w:szCs w:val="20"/>
                <w:lang w:val="en-US" w:eastAsia="zh-CN" w:bidi="ar-SA"/>
              </w:rPr>
              <w:t xml:space="preserve"> </w:t>
            </w:r>
            <w:r>
              <w:rPr>
                <w:rFonts w:hint="eastAsia" w:ascii="Times New Roman" w:hAnsi="Times New Roman" w:eastAsia="Times New Roman" w:cs="Times New Roman"/>
                <w:kern w:val="2"/>
                <w:sz w:val="20"/>
                <w:szCs w:val="20"/>
                <w:lang w:val="de-DE" w:eastAsia="zh-CN" w:bidi="ar-SA"/>
              </w:rPr>
              <w:t>45001</w:t>
            </w:r>
            <w:r>
              <w:rPr>
                <w:rFonts w:hint="eastAsia" w:ascii="Times New Roman" w:hAnsi="Times New Roman" w:eastAsia="Times New Roman" w:cs="Times New Roman"/>
                <w:kern w:val="2"/>
                <w:sz w:val="20"/>
                <w:szCs w:val="20"/>
                <w:lang w:val="en-US" w:eastAsia="zh-CN" w:bidi="ar-SA"/>
              </w:rPr>
              <w:t>-2020</w:t>
            </w:r>
          </w:p>
          <w:p>
            <w:pPr>
              <w:spacing w:before="40" w:after="40"/>
              <w:rPr>
                <w:rFonts w:ascii="Times New Roman" w:hAnsi="Times New Roman" w:eastAsia="黑体" w:cs="Times New Roman"/>
                <w:kern w:val="2"/>
                <w:sz w:val="21"/>
                <w:szCs w:val="21"/>
                <w:lang w:val="en-US" w:eastAsia="ja-JP" w:bidi="ar-SA"/>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2022年10月10日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2023年1月10日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2023年1月29日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食堂窗口服务过程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食堂窗口服务过程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2023</w:t>
            </w:r>
            <w:r>
              <w:rPr>
                <w:rFonts w:hint="eastAsia" w:ascii="宋体"/>
                <w:b/>
                <w:color w:val="000000"/>
                <w:szCs w:val="21"/>
                <w:lang w:val="en-US" w:eastAsia="zh-CN"/>
              </w:rPr>
              <w:t>年</w:t>
            </w:r>
            <w:r>
              <w:rPr>
                <w:rFonts w:hint="eastAsia" w:ascii="宋体"/>
                <w:b/>
                <w:color w:val="000000"/>
                <w:szCs w:val="21"/>
              </w:rPr>
              <w:t>02</w:t>
            </w:r>
            <w:r>
              <w:rPr>
                <w:rFonts w:hint="eastAsia" w:ascii="宋体"/>
                <w:b/>
                <w:color w:val="000000"/>
                <w:szCs w:val="21"/>
                <w:lang w:val="en-US" w:eastAsia="zh-CN"/>
              </w:rPr>
              <w:t>月</w:t>
            </w:r>
            <w:r>
              <w:rPr>
                <w:rFonts w:hint="eastAsia" w:ascii="宋体"/>
                <w:b/>
                <w:color w:val="000000"/>
                <w:szCs w:val="21"/>
              </w:rPr>
              <w:t>0</w:t>
            </w:r>
            <w:bookmarkEnd w:id="36"/>
            <w:r>
              <w:rPr>
                <w:rFonts w:hint="eastAsia" w:ascii="宋体"/>
                <w:b/>
                <w:color w:val="000000"/>
                <w:szCs w:val="21"/>
                <w:lang w:val="en-US" w:eastAsia="zh-CN"/>
              </w:rPr>
              <w:t>4日-07日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热食类食品制售</w:t>
            </w:r>
          </w:p>
        </w:tc>
        <w:tc>
          <w:tcPr>
            <w:tcW w:w="1541" w:type="dxa"/>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热食类食品制售所涉及场所的相关环境管理活动</w:t>
            </w:r>
          </w:p>
        </w:tc>
        <w:tc>
          <w:tcPr>
            <w:tcW w:w="1541" w:type="dxa"/>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热食类食品制售所涉及场所的相关职业健康安全管理活动</w:t>
            </w:r>
          </w:p>
        </w:tc>
        <w:tc>
          <w:tcPr>
            <w:tcW w:w="1541" w:type="dxa"/>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1830070</wp:posOffset>
            </wp:positionH>
            <wp:positionV relativeFrom="paragraph">
              <wp:posOffset>37465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2023年2月3日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670560</wp:posOffset>
                  </wp:positionH>
                  <wp:positionV relativeFrom="paragraph">
                    <wp:posOffset>38100</wp:posOffset>
                  </wp:positionV>
                  <wp:extent cx="544830" cy="248920"/>
                  <wp:effectExtent l="0" t="0" r="3810" b="10160"/>
                  <wp:wrapNone/>
                  <wp:docPr id="2" name="图片 2"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2023年2月3日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2023年2月3日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4384" behindDoc="1" locked="0" layoutInCell="1" allowOverlap="1">
                  <wp:simplePos x="0" y="0"/>
                  <wp:positionH relativeFrom="column">
                    <wp:posOffset>560070</wp:posOffset>
                  </wp:positionH>
                  <wp:positionV relativeFrom="paragraph">
                    <wp:posOffset>144145</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2023年2月3日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bookmarkStart w:id="37" w:name="_GoBack"/>
            <w:bookmarkEnd w:id="37"/>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32B35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7610</Words>
  <Characters>8368</Characters>
  <Lines>67</Lines>
  <Paragraphs>18</Paragraphs>
  <TotalTime>0</TotalTime>
  <ScaleCrop>false</ScaleCrop>
  <LinksUpToDate>false</LinksUpToDate>
  <CharactersWithSpaces>8433</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2023-02-03T09:27:44Z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2052-11.1.0.13012</vt:lpwstr>
  </property>
</Properties>
</file>