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pPr>
        <w:rPr>
          <w:b/>
          <w:sz w:val="22"/>
          <w:szCs w:val="22"/>
        </w:rPr>
      </w:pP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bookmarkStart w:id="2" w:name="组织名称"/>
            <w:r>
              <w:rPr>
                <w:sz w:val="21"/>
                <w:szCs w:val="21"/>
              </w:rPr>
              <w:t>毕节金悦餐饮服务有限公司</w:t>
            </w:r>
            <w:bookmarkEnd w:id="2"/>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rPr>
                <w:b/>
                <w:sz w:val="20"/>
              </w:rPr>
            </w:pPr>
            <w:r>
              <w:t>Q：30.05.00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eastAsia" w:eastAsia="宋体"/>
                <w:b/>
                <w:sz w:val="20"/>
                <w:lang w:val="en-US" w:eastAsia="zh-CN"/>
              </w:rPr>
            </w:pPr>
            <w:r>
              <w:rPr>
                <w:rFonts w:hint="eastAsia"/>
                <w:b/>
                <w:sz w:val="20"/>
                <w:lang w:val="en-US" w:eastAsia="zh-CN"/>
              </w:rPr>
              <w:t>徐不丁</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rPr>
                <w:b/>
                <w:sz w:val="20"/>
              </w:rPr>
            </w:pPr>
            <w:r>
              <w:t>Q：30.05.00</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微信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余家龙</w:t>
            </w:r>
          </w:p>
        </w:tc>
        <w:tc>
          <w:tcPr>
            <w:tcW w:w="1414" w:type="dxa"/>
            <w:vAlign w:val="center"/>
          </w:tcPr>
          <w:p>
            <w:pPr>
              <w:snapToGrid w:val="0"/>
              <w:spacing w:line="360" w:lineRule="exact"/>
              <w:jc w:val="center"/>
              <w:rPr>
                <w:b/>
                <w:sz w:val="20"/>
              </w:rPr>
            </w:pP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280" w:lineRule="exact"/>
              <w:rPr>
                <w:rFonts w:hint="default" w:eastAsia="宋体"/>
                <w:b/>
                <w:sz w:val="20"/>
                <w:lang w:val="en-US" w:eastAsia="zh-CN"/>
              </w:rPr>
            </w:pPr>
            <w:r>
              <w:rPr>
                <w:rFonts w:hint="eastAsia"/>
                <w:b/>
                <w:sz w:val="20"/>
                <w:lang w:val="en-US" w:eastAsia="zh-CN"/>
              </w:rPr>
              <w:t>采购验收→摘菜洗菜→切菜配菜→蒸饭炒菜→配餐→卫生、消毒→留样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rPr>
              <w:t>关键</w:t>
            </w:r>
            <w:r>
              <w:rPr>
                <w:rFonts w:hint="eastAsia"/>
                <w:b/>
                <w:sz w:val="20"/>
                <w:lang w:val="en-US" w:eastAsia="zh-CN"/>
              </w:rPr>
              <w:t>过程及需要确认的过程及主要控制参数</w:t>
            </w:r>
          </w:p>
        </w:tc>
        <w:tc>
          <w:tcPr>
            <w:tcW w:w="8424" w:type="dxa"/>
            <w:gridSpan w:val="7"/>
            <w:vAlign w:val="center"/>
          </w:tcPr>
          <w:p>
            <w:pPr>
              <w:snapToGrid w:val="0"/>
              <w:spacing w:line="280" w:lineRule="exact"/>
              <w:jc w:val="both"/>
              <w:rPr>
                <w:rFonts w:hint="default" w:eastAsia="宋体"/>
                <w:b/>
                <w:sz w:val="20"/>
                <w:lang w:val="en-US" w:eastAsia="zh-CN"/>
              </w:rPr>
            </w:pPr>
            <w:r>
              <w:rPr>
                <w:rFonts w:hint="eastAsia"/>
                <w:b/>
                <w:sz w:val="20"/>
              </w:rPr>
              <w:t>食堂窗口服务过程</w:t>
            </w:r>
            <w:r>
              <w:rPr>
                <w:rFonts w:hint="eastAsia"/>
                <w:b/>
                <w:sz w:val="20"/>
                <w:lang w:eastAsia="zh-CN"/>
              </w:rPr>
              <w:t>，</w:t>
            </w:r>
            <w:r>
              <w:rPr>
                <w:rFonts w:hint="eastAsia"/>
                <w:b/>
                <w:sz w:val="20"/>
                <w:lang w:val="en-US" w:eastAsia="zh-CN"/>
              </w:rPr>
              <w:t>主要控制服务质量、服务时间、配餐数量等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质量</w:t>
            </w:r>
            <w:r>
              <w:rPr>
                <w:rFonts w:hint="eastAsia"/>
                <w:b/>
                <w:sz w:val="20"/>
              </w:rPr>
              <w:t>法律法规的要求及产品标准</w:t>
            </w:r>
          </w:p>
        </w:tc>
        <w:tc>
          <w:tcPr>
            <w:tcW w:w="8424" w:type="dxa"/>
            <w:gridSpan w:val="7"/>
            <w:vAlign w:val="center"/>
          </w:tcPr>
          <w:p>
            <w:pPr>
              <w:snapToGrid w:val="0"/>
              <w:spacing w:line="280" w:lineRule="exact"/>
              <w:jc w:val="center"/>
              <w:rPr>
                <w:rFonts w:hint="eastAsia" w:eastAsia="宋体"/>
                <w:b/>
                <w:sz w:val="20"/>
                <w:lang w:eastAsia="zh-CN"/>
              </w:rPr>
            </w:pPr>
            <w:r>
              <w:rPr>
                <w:rFonts w:hint="eastAsia"/>
                <w:b/>
                <w:sz w:val="20"/>
              </w:rPr>
              <w:t>贵州省食品安全条例</w:t>
            </w:r>
            <w:r>
              <w:rPr>
                <w:rFonts w:hint="eastAsia"/>
                <w:b/>
                <w:sz w:val="20"/>
                <w:lang w:eastAsia="zh-CN"/>
              </w:rPr>
              <w:t>、</w:t>
            </w:r>
            <w:r>
              <w:rPr>
                <w:rFonts w:hint="eastAsia"/>
                <w:b/>
                <w:sz w:val="20"/>
              </w:rPr>
              <w:t>国务院关于加强食品等产品安全监督管理的特别规定</w:t>
            </w:r>
            <w:r>
              <w:rPr>
                <w:rFonts w:hint="eastAsia"/>
                <w:b/>
                <w:sz w:val="20"/>
                <w:lang w:eastAsia="zh-CN"/>
              </w:rPr>
              <w:t>、</w:t>
            </w:r>
            <w:r>
              <w:rPr>
                <w:rFonts w:hint="eastAsia"/>
                <w:b/>
                <w:sz w:val="20"/>
              </w:rPr>
              <w:t>中华人民共和国食品安全法</w:t>
            </w:r>
            <w:r>
              <w:rPr>
                <w:rFonts w:hint="eastAsia"/>
                <w:b/>
                <w:sz w:val="20"/>
                <w:lang w:eastAsia="zh-CN"/>
              </w:rPr>
              <w:t>、</w:t>
            </w:r>
            <w:r>
              <w:rPr>
                <w:rFonts w:hint="eastAsia"/>
                <w:b/>
                <w:sz w:val="20"/>
              </w:rPr>
              <w:t>最高人民法院关于审理食品安全民事纠纷案件适用法律若干问题的解释（一）</w:t>
            </w:r>
            <w:r>
              <w:rPr>
                <w:rFonts w:hint="eastAsia"/>
                <w:b/>
                <w:sz w:val="20"/>
                <w:lang w:eastAsia="zh-CN"/>
              </w:rPr>
              <w:t>、</w:t>
            </w:r>
            <w:r>
              <w:rPr>
                <w:rFonts w:hint="eastAsia"/>
                <w:b/>
                <w:sz w:val="20"/>
              </w:rPr>
              <w:t xml:space="preserve"> 最高人民法院、最高人民检察院关于办理危害食品安全刑事案件适用法律若干问题的解释</w:t>
            </w:r>
            <w:r>
              <w:rPr>
                <w:rFonts w:hint="eastAsia"/>
                <w:b/>
                <w:sz w:val="20"/>
                <w:lang w:eastAsia="zh-CN"/>
              </w:rPr>
              <w:t>、</w:t>
            </w:r>
            <w:r>
              <w:rPr>
                <w:rFonts w:hint="eastAsia"/>
                <w:b/>
                <w:sz w:val="20"/>
              </w:rPr>
              <w:t>贵州省农产品质量安全条例</w:t>
            </w:r>
            <w:r>
              <w:rPr>
                <w:rFonts w:hint="eastAsia"/>
                <w:b/>
                <w:sz w:val="20"/>
                <w:lang w:eastAsia="zh-CN"/>
              </w:rPr>
              <w:t>、</w:t>
            </w:r>
            <w:r>
              <w:rPr>
                <w:rFonts w:hint="eastAsia"/>
                <w:b/>
                <w:sz w:val="20"/>
              </w:rPr>
              <w:t>中华人民共和国食品安全法实施条例</w:t>
            </w:r>
            <w:r>
              <w:rPr>
                <w:rFonts w:hint="eastAsia"/>
                <w:b/>
                <w:sz w:val="20"/>
                <w:lang w:eastAsia="zh-CN"/>
              </w:rPr>
              <w:t>、</w:t>
            </w:r>
            <w:r>
              <w:rPr>
                <w:rFonts w:hint="eastAsia"/>
                <w:b/>
                <w:sz w:val="20"/>
              </w:rPr>
              <w:t>国务院关于加强食品等产品安全监督管理的特别规定</w:t>
            </w:r>
            <w:r>
              <w:rPr>
                <w:rFonts w:hint="eastAsia"/>
                <w:b/>
                <w:sz w:val="20"/>
                <w:lang w:eastAsia="zh-CN"/>
              </w:rPr>
              <w:t>、</w:t>
            </w:r>
            <w:r>
              <w:rPr>
                <w:rFonts w:hint="eastAsia"/>
                <w:b/>
                <w:sz w:val="20"/>
              </w:rPr>
              <w:t>贵州省粮食安全保障条例</w:t>
            </w:r>
            <w:r>
              <w:rPr>
                <w:rFonts w:hint="eastAsia"/>
                <w:b/>
                <w:sz w:val="20"/>
                <w:lang w:eastAsia="zh-CN"/>
              </w:rPr>
              <w:t>、</w:t>
            </w:r>
            <w:r>
              <w:rPr>
                <w:rFonts w:hint="eastAsia"/>
                <w:b/>
                <w:sz w:val="20"/>
              </w:rPr>
              <w:t>中华人民共和国反食品浪费法</w:t>
            </w:r>
            <w:r>
              <w:rPr>
                <w:rFonts w:hint="eastAsia"/>
                <w:b/>
                <w:sz w:val="20"/>
                <w:lang w:eastAsia="zh-CN"/>
              </w:rPr>
              <w:t>、GB/T 18760-2002</w:t>
            </w:r>
            <w:r>
              <w:rPr>
                <w:rFonts w:hint="eastAsia"/>
                <w:b/>
                <w:sz w:val="20"/>
                <w:lang w:eastAsia="zh-CN"/>
              </w:rPr>
              <w:tab/>
            </w:r>
            <w:r>
              <w:rPr>
                <w:rFonts w:hint="eastAsia"/>
                <w:b/>
                <w:sz w:val="20"/>
                <w:lang w:eastAsia="zh-CN"/>
              </w:rPr>
              <w:t>消费品售后服务方法与要求、SB/T 10444-2007</w:t>
            </w:r>
            <w:r>
              <w:rPr>
                <w:rFonts w:hint="eastAsia"/>
                <w:b/>
                <w:sz w:val="20"/>
                <w:lang w:eastAsia="zh-CN"/>
              </w:rPr>
              <w:tab/>
            </w:r>
            <w:r>
              <w:rPr>
                <w:rFonts w:hint="eastAsia"/>
                <w:b/>
                <w:sz w:val="20"/>
                <w:lang w:eastAsia="zh-CN"/>
              </w:rPr>
              <w:t>商贸企业信用管理技术规范、GB/T 15624-2011</w:t>
            </w:r>
            <w:r>
              <w:rPr>
                <w:rFonts w:hint="eastAsia"/>
                <w:b/>
                <w:sz w:val="20"/>
                <w:lang w:eastAsia="zh-CN"/>
              </w:rPr>
              <w:tab/>
            </w:r>
            <w:r>
              <w:rPr>
                <w:rFonts w:hint="eastAsia"/>
                <w:b/>
                <w:sz w:val="20"/>
                <w:lang w:eastAsia="zh-CN"/>
              </w:rPr>
              <w:t>服务标准化工作指南、GB/T 33497-2017</w:t>
            </w:r>
            <w:r>
              <w:rPr>
                <w:rFonts w:hint="eastAsia"/>
                <w:b/>
                <w:sz w:val="20"/>
                <w:lang w:eastAsia="zh-CN"/>
              </w:rPr>
              <w:tab/>
            </w:r>
            <w:r>
              <w:rPr>
                <w:rFonts w:hint="eastAsia"/>
                <w:b/>
                <w:sz w:val="20"/>
                <w:lang w:eastAsia="zh-CN"/>
              </w:rPr>
              <w:t>餐饮企业质量管理规范、SB/T 10858-2012</w:t>
            </w:r>
            <w:r>
              <w:rPr>
                <w:rFonts w:hint="eastAsia"/>
                <w:b/>
                <w:sz w:val="20"/>
                <w:lang w:eastAsia="zh-CN"/>
              </w:rPr>
              <w:tab/>
            </w:r>
            <w:r>
              <w:rPr>
                <w:rFonts w:hint="eastAsia"/>
                <w:b/>
                <w:sz w:val="20"/>
                <w:lang w:eastAsia="zh-CN"/>
              </w:rPr>
              <w:t>餐饮企业信用等级评价规范、GB 2760-2014</w:t>
            </w:r>
            <w:r>
              <w:rPr>
                <w:rFonts w:hint="eastAsia"/>
                <w:b/>
                <w:sz w:val="20"/>
                <w:lang w:eastAsia="zh-CN"/>
              </w:rPr>
              <w:tab/>
            </w:r>
            <w:r>
              <w:rPr>
                <w:rFonts w:hint="eastAsia"/>
                <w:b/>
                <w:sz w:val="20"/>
                <w:lang w:eastAsia="zh-CN"/>
              </w:rPr>
              <w:t>食品安全国家标准 食品添加剂使用标准、GB 14934-2016</w:t>
            </w:r>
            <w:r>
              <w:rPr>
                <w:rFonts w:hint="eastAsia"/>
                <w:b/>
                <w:sz w:val="20"/>
                <w:lang w:eastAsia="zh-CN"/>
              </w:rPr>
              <w:tab/>
            </w:r>
            <w:r>
              <w:rPr>
                <w:rFonts w:hint="eastAsia"/>
                <w:b/>
                <w:sz w:val="20"/>
                <w:lang w:eastAsia="zh-CN"/>
              </w:rPr>
              <w:t>食品安全国家标准消毒餐（饮）具、GB/T 22000-2006</w:t>
            </w:r>
            <w:r>
              <w:rPr>
                <w:rFonts w:hint="eastAsia"/>
                <w:b/>
                <w:sz w:val="20"/>
                <w:lang w:eastAsia="zh-CN"/>
              </w:rPr>
              <w:tab/>
            </w:r>
            <w:r>
              <w:rPr>
                <w:rFonts w:hint="eastAsia"/>
                <w:b/>
                <w:sz w:val="20"/>
                <w:lang w:eastAsia="zh-CN"/>
              </w:rPr>
              <w:t>食品安全管理体系 食品链中各类组织的要求、GB/T 27306-2008</w:t>
            </w:r>
            <w:r>
              <w:rPr>
                <w:rFonts w:hint="eastAsia"/>
                <w:b/>
                <w:sz w:val="20"/>
                <w:lang w:eastAsia="zh-CN"/>
              </w:rPr>
              <w:tab/>
            </w:r>
            <w:r>
              <w:rPr>
                <w:rFonts w:hint="eastAsia"/>
                <w:b/>
                <w:sz w:val="20"/>
                <w:lang w:eastAsia="zh-CN"/>
              </w:rPr>
              <w:t>食品安全管理体系 餐饮业要求、GB 14881-2013</w:t>
            </w:r>
            <w:r>
              <w:rPr>
                <w:rFonts w:hint="eastAsia"/>
                <w:b/>
                <w:sz w:val="20"/>
                <w:lang w:eastAsia="zh-CN"/>
              </w:rPr>
              <w:tab/>
            </w:r>
            <w:r>
              <w:rPr>
                <w:rFonts w:hint="eastAsia"/>
                <w:b/>
                <w:sz w:val="20"/>
                <w:lang w:eastAsia="zh-CN"/>
              </w:rPr>
              <w:t>食品安全国家标准 食品生产通用卫生规范、GB 18483-2001</w:t>
            </w:r>
            <w:r>
              <w:rPr>
                <w:rFonts w:hint="eastAsia"/>
                <w:b/>
                <w:sz w:val="20"/>
                <w:lang w:eastAsia="zh-CN"/>
              </w:rPr>
              <w:tab/>
            </w:r>
            <w:r>
              <w:rPr>
                <w:rFonts w:hint="eastAsia"/>
                <w:b/>
                <w:sz w:val="20"/>
                <w:lang w:eastAsia="zh-CN"/>
              </w:rPr>
              <w:t>饮食业油烟排放标准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snapToGrid w:val="0"/>
              <w:spacing w:line="280" w:lineRule="exact"/>
              <w:jc w:val="left"/>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2023年2月2日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2023年2月2日</w:t>
            </w: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bookmarkStart w:id="3" w:name="_GoBack"/>
      <w:bookmarkEnd w:id="3"/>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10"/>
        <w:rFonts w:hint="default"/>
      </w:rPr>
    </w:pPr>
    <w:r>
      <w:rPr>
        <w:rStyle w:val="10"/>
        <w:rFonts w:hint="default"/>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900" w:firstLineChars="500"/>
      <w:jc w:val="left"/>
    </w:pPr>
    <w:r>
      <w:pict>
        <v:shape id="_x0000_s4097" o:spid="_x0000_s4097"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GQyZmQ4MWM5YTdlOTM3ZWEzMDQwZGU2MjkwZTUyZWYifQ=="/>
  </w:docVars>
  <w:rsids>
    <w:rsidRoot w:val="00000000"/>
    <w:rsid w:val="2A217B62"/>
    <w:rsid w:val="2AF139E3"/>
    <w:rsid w:val="77973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批注框文本 Char"/>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454</Words>
  <Characters>480</Characters>
  <Lines>2</Lines>
  <Paragraphs>1</Paragraphs>
  <TotalTime>1</TotalTime>
  <ScaleCrop>false</ScaleCrop>
  <LinksUpToDate>false</LinksUpToDate>
  <CharactersWithSpaces>486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way一直都在</cp:lastModifiedBy>
  <dcterms:modified xsi:type="dcterms:W3CDTF">2023-02-03T02:10:40Z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2052-11.1.0.13012</vt:lpwstr>
  </property>
</Properties>
</file>