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河北冀高电力器材开发有限公司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1143-2021-2023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1143-2021-2023</w:t>
      </w:r>
      <w:bookmarkEnd w:id="3"/>
    </w:p>
    <w:p>
      <w:pPr>
        <w:widowControl/>
        <w:spacing w:line="360" w:lineRule="auto"/>
        <w:jc w:val="center"/>
        <w:rPr>
          <w:rFonts w:hint="eastAsia" w:ascii="宋体" w:hAnsi="宋体" w:eastAsia="宋体" w:cs="宋体"/>
          <w:b/>
          <w:bCs/>
          <w:kern w:val="0"/>
          <w:sz w:val="30"/>
          <w:szCs w:val="30"/>
          <w:lang w:val="en-US" w:eastAsia="zh-CN"/>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82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2959"/>
        <w:gridCol w:w="1510"/>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jc w:val="center"/>
              <w:textAlignment w:val="auto"/>
              <w:rPr>
                <w:rFonts w:cs="宋体" w:asciiTheme="minorEastAsia" w:hAnsiTheme="minorEastAsia" w:eastAsiaTheme="minorEastAsia"/>
                <w:spacing w:val="0"/>
                <w:kern w:val="0"/>
                <w:sz w:val="18"/>
                <w:szCs w:val="18"/>
              </w:rPr>
            </w:pPr>
            <w:r>
              <w:rPr>
                <w:rFonts w:hint="eastAsia" w:cs="宋体" w:asciiTheme="minorEastAsia" w:hAnsiTheme="minorEastAsia" w:eastAsiaTheme="minorEastAsia"/>
                <w:bCs/>
                <w:spacing w:val="0"/>
                <w:kern w:val="0"/>
                <w:sz w:val="18"/>
                <w:szCs w:val="18"/>
              </w:rPr>
              <w:t>企业</w:t>
            </w:r>
            <w:r>
              <w:rPr>
                <w:rFonts w:cs="宋体" w:asciiTheme="minorEastAsia" w:hAnsiTheme="minorEastAsia" w:eastAsiaTheme="minorEastAsia"/>
                <w:spacing w:val="0"/>
                <w:kern w:val="0"/>
                <w:sz w:val="18"/>
                <w:szCs w:val="18"/>
              </w:rPr>
              <w:t>名称</w:t>
            </w:r>
          </w:p>
        </w:tc>
        <w:tc>
          <w:tcPr>
            <w:tcW w:w="2959"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textAlignment w:val="auto"/>
              <w:rPr>
                <w:rFonts w:cs="宋体" w:asciiTheme="minorEastAsia" w:hAnsiTheme="minorEastAsia" w:eastAsiaTheme="minorEastAsia"/>
                <w:kern w:val="0"/>
                <w:sz w:val="18"/>
                <w:szCs w:val="18"/>
              </w:rPr>
            </w:pPr>
            <w:bookmarkStart w:id="4" w:name="组织名称Add1"/>
            <w:r>
              <w:rPr>
                <w:rFonts w:cs="宋体" w:asciiTheme="minorEastAsia" w:hAnsiTheme="minorEastAsia" w:eastAsiaTheme="minorEastAsia"/>
                <w:kern w:val="0"/>
                <w:sz w:val="18"/>
                <w:szCs w:val="18"/>
              </w:rPr>
              <w:t>河北冀高电力器材开发有限公司</w:t>
            </w:r>
            <w:bookmarkEnd w:id="4"/>
          </w:p>
        </w:tc>
        <w:tc>
          <w:tcPr>
            <w:tcW w:w="1510"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jc w:val="center"/>
              <w:textAlignment w:val="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企业联系人</w:t>
            </w:r>
          </w:p>
        </w:tc>
        <w:tc>
          <w:tcPr>
            <w:tcW w:w="2796"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360" w:lineRule="auto"/>
              <w:ind w:right="0"/>
              <w:textAlignment w:val="auto"/>
              <w:rPr>
                <w:rFonts w:cs="宋体" w:asciiTheme="minorEastAsia" w:hAnsiTheme="minorEastAsia" w:eastAsiaTheme="minorEastAsia"/>
                <w:kern w:val="0"/>
                <w:sz w:val="18"/>
                <w:szCs w:val="18"/>
              </w:rPr>
            </w:pPr>
            <w:bookmarkStart w:id="5" w:name="联系人"/>
            <w:r>
              <w:rPr>
                <w:rFonts w:cs="宋体" w:asciiTheme="minorEastAsia" w:hAnsiTheme="minorEastAsia" w:eastAsiaTheme="minorEastAsia"/>
                <w:kern w:val="0"/>
                <w:sz w:val="18"/>
                <w:szCs w:val="18"/>
              </w:rPr>
              <w:t>胡柳杰</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jc w:val="center"/>
              <w:textAlignment w:val="auto"/>
              <w:rPr>
                <w:rFonts w:cs="宋体" w:asciiTheme="minorEastAsia" w:hAnsiTheme="minorEastAsia" w:eastAsiaTheme="minorEastAsia"/>
                <w:spacing w:val="0"/>
                <w:kern w:val="0"/>
                <w:sz w:val="18"/>
                <w:szCs w:val="18"/>
              </w:rPr>
            </w:pPr>
            <w:r>
              <w:rPr>
                <w:rFonts w:hint="eastAsia" w:cs="宋体" w:asciiTheme="minorEastAsia" w:hAnsiTheme="minorEastAsia" w:eastAsiaTheme="minorEastAsia"/>
                <w:spacing w:val="0"/>
                <w:kern w:val="0"/>
                <w:sz w:val="18"/>
                <w:szCs w:val="18"/>
              </w:rPr>
              <w:t>认证证书编号</w:t>
            </w:r>
          </w:p>
        </w:tc>
        <w:tc>
          <w:tcPr>
            <w:tcW w:w="2959"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textAlignment w:val="auto"/>
              <w:rPr>
                <w:rFonts w:cs="宋体" w:asciiTheme="minorEastAsia" w:hAnsiTheme="minorEastAsia" w:eastAsiaTheme="minorEastAsia"/>
                <w:kern w:val="0"/>
                <w:sz w:val="18"/>
                <w:szCs w:val="18"/>
              </w:rPr>
            </w:pPr>
            <w:bookmarkStart w:id="6" w:name="证书编号"/>
            <w:bookmarkEnd w:id="6"/>
            <w:r>
              <w:rPr>
                <w:rFonts w:hint="eastAsia" w:cs="宋体" w:asciiTheme="minorEastAsia" w:hAnsiTheme="minorEastAsia" w:eastAsiaTheme="minorEastAsia"/>
                <w:kern w:val="0"/>
                <w:sz w:val="18"/>
                <w:szCs w:val="18"/>
              </w:rPr>
              <w:t>ISC-2021-1166</w:t>
            </w:r>
          </w:p>
        </w:tc>
        <w:tc>
          <w:tcPr>
            <w:tcW w:w="1510"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jc w:val="center"/>
              <w:textAlignment w:val="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证书有效期</w:t>
            </w:r>
          </w:p>
        </w:tc>
        <w:tc>
          <w:tcPr>
            <w:tcW w:w="2796"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360" w:lineRule="auto"/>
              <w:ind w:right="0"/>
              <w:textAlignment w:val="auto"/>
              <w:rPr>
                <w:rFonts w:hint="default" w:cs="宋体" w:asciiTheme="minorEastAsia" w:hAnsiTheme="minorEastAsia" w:eastAsiaTheme="minorEastAsia"/>
                <w:kern w:val="0"/>
                <w:sz w:val="18"/>
                <w:szCs w:val="18"/>
                <w:lang w:val="en-US" w:eastAsia="zh-CN"/>
              </w:rPr>
            </w:pPr>
            <w:bookmarkStart w:id="7" w:name="证书有效期"/>
            <w:bookmarkEnd w:id="7"/>
            <w:r>
              <w:rPr>
                <w:rFonts w:hint="eastAsia" w:cs="宋体" w:asciiTheme="minorEastAsia" w:hAnsiTheme="minorEastAsia"/>
                <w:kern w:val="0"/>
                <w:sz w:val="18"/>
                <w:szCs w:val="18"/>
                <w:lang w:val="en-US" w:eastAsia="zh-CN"/>
              </w:rPr>
              <w:t>2026年11月21日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jc w:val="center"/>
              <w:textAlignment w:val="auto"/>
              <w:rPr>
                <w:rFonts w:cs="宋体" w:asciiTheme="minorEastAsia" w:hAnsiTheme="minorEastAsia" w:eastAsiaTheme="minorEastAsia"/>
                <w:spacing w:val="0"/>
                <w:kern w:val="0"/>
                <w:sz w:val="18"/>
                <w:szCs w:val="18"/>
              </w:rPr>
            </w:pPr>
            <w:r>
              <w:rPr>
                <w:rFonts w:hint="eastAsia" w:cs="宋体" w:asciiTheme="minorEastAsia" w:hAnsiTheme="minorEastAsia" w:eastAsiaTheme="minorEastAsia"/>
                <w:spacing w:val="0"/>
                <w:kern w:val="0"/>
                <w:sz w:val="18"/>
                <w:szCs w:val="18"/>
              </w:rPr>
              <w:t>监督审核次数</w:t>
            </w:r>
          </w:p>
        </w:tc>
        <w:tc>
          <w:tcPr>
            <w:tcW w:w="2959"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textAlignment w:val="auto"/>
              <w:rPr>
                <w:rFonts w:cs="宋体" w:asciiTheme="minorEastAsia" w:hAnsiTheme="minorEastAsia" w:eastAsiaTheme="minorEastAsia"/>
                <w:kern w:val="0"/>
                <w:sz w:val="18"/>
                <w:szCs w:val="18"/>
              </w:rPr>
            </w:pPr>
            <w:bookmarkStart w:id="8" w:name="监督次数"/>
            <w:r>
              <w:rPr>
                <w:rFonts w:cs="宋体" w:asciiTheme="minorEastAsia" w:hAnsiTheme="minorEastAsia" w:eastAsiaTheme="minorEastAsia"/>
                <w:kern w:val="0"/>
                <w:sz w:val="18"/>
                <w:szCs w:val="18"/>
              </w:rPr>
              <w:t>一</w:t>
            </w:r>
            <w:bookmarkEnd w:id="8"/>
          </w:p>
        </w:tc>
        <w:tc>
          <w:tcPr>
            <w:tcW w:w="1510"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jc w:val="center"/>
              <w:textAlignment w:val="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本次监督</w:t>
            </w:r>
            <w:r>
              <w:rPr>
                <w:rFonts w:cs="宋体" w:asciiTheme="minorEastAsia" w:hAnsiTheme="minorEastAsia" w:eastAsiaTheme="minorEastAsia"/>
                <w:color w:val="333333"/>
                <w:kern w:val="0"/>
                <w:sz w:val="18"/>
                <w:szCs w:val="18"/>
              </w:rPr>
              <w:t>时间</w:t>
            </w:r>
          </w:p>
        </w:tc>
        <w:tc>
          <w:tcPr>
            <w:tcW w:w="2796"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360" w:lineRule="auto"/>
              <w:ind w:right="0"/>
              <w:textAlignment w:val="auto"/>
              <w:rPr>
                <w:rFonts w:cs="宋体" w:asciiTheme="minorEastAsia" w:hAnsiTheme="minorEastAsia" w:eastAsiaTheme="minorEastAsia"/>
                <w:kern w:val="0"/>
                <w:sz w:val="18"/>
                <w:szCs w:val="18"/>
              </w:rPr>
            </w:pPr>
            <w:bookmarkStart w:id="9" w:name="审核开始日"/>
            <w:r>
              <w:rPr>
                <w:rFonts w:cs="宋体" w:asciiTheme="minorEastAsia" w:hAnsiTheme="minorEastAsia" w:eastAsiaTheme="minorEastAsia"/>
                <w:kern w:val="0"/>
                <w:sz w:val="18"/>
                <w:szCs w:val="18"/>
              </w:rPr>
              <w:t xml:space="preserve">2023年02月06日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562"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firstLine="90" w:firstLineChars="50"/>
              <w:jc w:val="center"/>
              <w:textAlignment w:val="auto"/>
              <w:rPr>
                <w:rFonts w:cs="宋体" w:asciiTheme="minorEastAsia" w:hAnsiTheme="minorEastAsia" w:eastAsiaTheme="minorEastAsia"/>
                <w:spacing w:val="0"/>
                <w:kern w:val="0"/>
                <w:sz w:val="18"/>
                <w:szCs w:val="18"/>
              </w:rPr>
            </w:pPr>
            <w:r>
              <w:rPr>
                <w:rFonts w:hint="eastAsia" w:cs="宋体" w:asciiTheme="minorEastAsia" w:hAnsiTheme="minorEastAsia" w:eastAsiaTheme="minorEastAsia"/>
                <w:spacing w:val="0"/>
                <w:kern w:val="0"/>
                <w:sz w:val="18"/>
                <w:szCs w:val="18"/>
              </w:rPr>
              <w:t>监督审核员</w:t>
            </w:r>
          </w:p>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firstLine="90" w:firstLineChars="50"/>
              <w:jc w:val="center"/>
              <w:textAlignment w:val="auto"/>
              <w:rPr>
                <w:rFonts w:cs="宋体" w:asciiTheme="minorEastAsia" w:hAnsiTheme="minorEastAsia" w:eastAsiaTheme="minorEastAsia"/>
                <w:spacing w:val="0"/>
                <w:kern w:val="0"/>
                <w:sz w:val="18"/>
                <w:szCs w:val="18"/>
              </w:rPr>
            </w:pPr>
            <w:r>
              <w:rPr>
                <w:rFonts w:hint="eastAsia" w:cs="宋体" w:asciiTheme="minorEastAsia" w:hAnsiTheme="minorEastAsia" w:eastAsiaTheme="minorEastAsia"/>
                <w:spacing w:val="0"/>
                <w:kern w:val="0"/>
                <w:sz w:val="18"/>
                <w:szCs w:val="18"/>
              </w:rPr>
              <w:t>姓名及确认号</w:t>
            </w:r>
          </w:p>
        </w:tc>
        <w:tc>
          <w:tcPr>
            <w:tcW w:w="2959"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textAlignment w:val="auto"/>
              <w:rPr>
                <w:rFonts w:cs="宋体" w:asciiTheme="minorEastAsia" w:hAnsiTheme="minorEastAsia" w:eastAsiaTheme="minorEastAsia"/>
                <w:kern w:val="0"/>
                <w:sz w:val="18"/>
                <w:szCs w:val="18"/>
              </w:rPr>
            </w:pPr>
            <w:r>
              <w:rPr>
                <w:rFonts w:ascii="宋体" w:hAnsi="宋体" w:eastAsiaTheme="minorEastAsia"/>
                <w:sz w:val="18"/>
                <w:szCs w:val="18"/>
              </w:rPr>
              <w:t>孙广春</w:t>
            </w:r>
            <w:r>
              <w:rPr>
                <w:rFonts w:hint="eastAsia" w:ascii="宋体" w:hAnsi="宋体" w:eastAsiaTheme="minorEastAsia"/>
                <w:sz w:val="18"/>
                <w:szCs w:val="18"/>
                <w:lang w:val="en-US" w:eastAsia="zh-CN"/>
              </w:rPr>
              <w:t xml:space="preserve"> </w:t>
            </w:r>
            <w:r>
              <w:rPr>
                <w:rFonts w:ascii="宋体" w:hAnsi="宋体" w:eastAsiaTheme="minorEastAsia"/>
                <w:color w:val="000000"/>
                <w:sz w:val="18"/>
                <w:szCs w:val="18"/>
                <w:shd w:val="pct10" w:color="auto" w:fill="FFFFFF"/>
              </w:rPr>
              <w:t>2020-M1MMS-1274316</w:t>
            </w:r>
          </w:p>
        </w:tc>
        <w:tc>
          <w:tcPr>
            <w:tcW w:w="1510" w:type="dxa"/>
            <w:vAlign w:val="center"/>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276" w:lineRule="auto"/>
              <w:ind w:right="0"/>
              <w:jc w:val="center"/>
              <w:textAlignment w:val="auto"/>
              <w:rPr>
                <w:rFonts w:cs="宋体" w:asciiTheme="minorEastAsia" w:hAnsiTheme="minorEastAsia" w:eastAsiaTheme="minorEastAsia"/>
                <w:kern w:val="0"/>
                <w:sz w:val="18"/>
                <w:szCs w:val="18"/>
              </w:rPr>
            </w:pPr>
            <w:r>
              <w:rPr>
                <w:rFonts w:cs="宋体" w:asciiTheme="minorEastAsia" w:hAnsiTheme="minorEastAsia" w:eastAsiaTheme="minorEastAsia"/>
                <w:bCs/>
                <w:kern w:val="0"/>
                <w:sz w:val="18"/>
                <w:szCs w:val="18"/>
              </w:rPr>
              <w:t>监督审核涉及的区域或部门</w:t>
            </w:r>
          </w:p>
        </w:tc>
        <w:tc>
          <w:tcPr>
            <w:tcW w:w="2796" w:type="dxa"/>
            <w:vAlign w:val="center"/>
          </w:tcPr>
          <w:p>
            <w:pPr>
              <w:jc w:val="left"/>
              <w:rPr>
                <w:rFonts w:hint="eastAsia" w:ascii="宋体" w:hAnsi="宋体" w:eastAsiaTheme="minorEastAsia"/>
                <w:sz w:val="18"/>
                <w:szCs w:val="18"/>
                <w:lang w:eastAsia="zh-CN"/>
              </w:rPr>
            </w:pPr>
            <w:bookmarkStart w:id="10" w:name="生产地址"/>
            <w:r>
              <w:rPr>
                <w:rFonts w:hint="eastAsia" w:ascii="宋体" w:hAnsi="宋体"/>
                <w:sz w:val="18"/>
                <w:szCs w:val="18"/>
              </w:rPr>
              <w:t>河北省高碑店市团结东路33号</w:t>
            </w:r>
            <w:bookmarkEnd w:id="10"/>
            <w:r>
              <w:rPr>
                <w:rFonts w:hint="eastAsia" w:ascii="宋体" w:hAnsi="宋体"/>
                <w:sz w:val="18"/>
                <w:szCs w:val="18"/>
                <w:lang w:eastAsia="zh-CN"/>
              </w:rPr>
              <w:t>；</w:t>
            </w:r>
          </w:p>
          <w:p>
            <w:pPr>
              <w:jc w:val="left"/>
              <w:rPr>
                <w:rFonts w:hint="default" w:cs="宋体" w:asciiTheme="minorEastAsia" w:hAnsiTheme="minorEastAsia" w:eastAsiaTheme="minorEastAsia"/>
                <w:kern w:val="0"/>
                <w:sz w:val="18"/>
                <w:szCs w:val="18"/>
                <w:lang w:val="en-US"/>
              </w:rPr>
            </w:pPr>
            <w:r>
              <w:rPr>
                <w:rFonts w:hint="eastAsia" w:ascii="宋体" w:hAnsi="宋体"/>
                <w:color w:val="auto"/>
                <w:sz w:val="18"/>
                <w:szCs w:val="18"/>
                <w:lang w:val="en-US" w:eastAsia="zh-CN"/>
              </w:rPr>
              <w:t>领导层、质检部、</w:t>
            </w:r>
            <w:r>
              <w:rPr>
                <w:rFonts w:hint="eastAsia" w:eastAsia="新宋体"/>
                <w:sz w:val="18"/>
                <w:szCs w:val="18"/>
                <w:lang w:val="en-US" w:eastAsia="zh-CN"/>
              </w:rPr>
              <w:t>采购部、销售部、生产部</w:t>
            </w:r>
          </w:p>
        </w:tc>
      </w:tr>
    </w:tbl>
    <w:p>
      <w:pPr>
        <w:keepNext w:val="0"/>
        <w:keepLines w:val="0"/>
        <w:pageBreakBefore w:val="0"/>
        <w:widowControl/>
        <w:kinsoku/>
        <w:wordWrap/>
        <w:overflowPunct/>
        <w:topLinePunct w:val="0"/>
        <w:autoSpaceDE/>
        <w:autoSpaceDN/>
        <w:bidi w:val="0"/>
        <w:adjustRightInd/>
        <w:spacing w:line="360" w:lineRule="auto"/>
        <w:ind w:right="-315" w:rightChars="-150"/>
        <w:textAlignment w:val="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keepNext w:val="0"/>
        <w:keepLines w:val="0"/>
        <w:pageBreakBefore w:val="0"/>
        <w:widowControl/>
        <w:kinsoku/>
        <w:wordWrap/>
        <w:overflowPunct/>
        <w:topLinePunct w:val="0"/>
        <w:autoSpaceDE/>
        <w:autoSpaceDN/>
        <w:bidi w:val="0"/>
        <w:adjustRightInd/>
        <w:snapToGrid/>
        <w:spacing w:line="300" w:lineRule="auto"/>
        <w:ind w:right="-315" w:rightChars="-150"/>
        <w:textAlignment w:val="auto"/>
        <w:rPr>
          <w:rFonts w:cs="宋体" w:asciiTheme="minorEastAsia" w:hAnsiTheme="minorEastAsia"/>
          <w:b/>
          <w:bCs w:val="0"/>
          <w:kern w:val="0"/>
          <w:sz w:val="21"/>
          <w:szCs w:val="21"/>
        </w:rPr>
      </w:pPr>
      <w:r>
        <w:rPr>
          <w:rFonts w:hint="eastAsia" w:cs="宋体" w:asciiTheme="minorEastAsia" w:hAnsiTheme="minorEastAsia"/>
          <w:b/>
          <w:bCs w:val="0"/>
          <w:kern w:val="0"/>
          <w:sz w:val="21"/>
          <w:szCs w:val="21"/>
        </w:rPr>
        <w:t>1.</w:t>
      </w:r>
      <w:r>
        <w:rPr>
          <w:rFonts w:cs="宋体" w:asciiTheme="minorEastAsia" w:hAnsiTheme="minorEastAsia"/>
          <w:b/>
          <w:bCs w:val="0"/>
          <w:kern w:val="0"/>
          <w:sz w:val="21"/>
          <w:szCs w:val="21"/>
        </w:rPr>
        <w:t>一年内违反法律法规</w:t>
      </w:r>
      <w:r>
        <w:rPr>
          <w:rFonts w:hint="eastAsia" w:cs="宋体" w:asciiTheme="minorEastAsia" w:hAnsiTheme="minorEastAsia"/>
          <w:b/>
          <w:bCs w:val="0"/>
          <w:kern w:val="0"/>
          <w:sz w:val="21"/>
          <w:szCs w:val="21"/>
        </w:rPr>
        <w:t>或</w:t>
      </w:r>
      <w:r>
        <w:rPr>
          <w:rFonts w:cs="宋体" w:asciiTheme="minorEastAsia" w:hAnsiTheme="minorEastAsia"/>
          <w:b/>
          <w:bCs w:val="0"/>
          <w:kern w:val="0"/>
          <w:sz w:val="21"/>
          <w:szCs w:val="21"/>
        </w:rPr>
        <w:t>重大事故的情况：</w:t>
      </w:r>
    </w:p>
    <w:p>
      <w:pPr>
        <w:keepNext w:val="0"/>
        <w:keepLines w:val="0"/>
        <w:pageBreakBefore w:val="0"/>
        <w:kinsoku/>
        <w:wordWrap/>
        <w:overflowPunct/>
        <w:topLinePunct w:val="0"/>
        <w:autoSpaceDE/>
        <w:autoSpaceDN/>
        <w:bidi w:val="0"/>
        <w:adjustRightInd/>
        <w:snapToGrid/>
        <w:spacing w:line="300" w:lineRule="auto"/>
        <w:ind w:right="-315" w:rightChars="-150" w:firstLine="420" w:firstLineChars="200"/>
        <w:textAlignment w:val="auto"/>
        <w:rPr>
          <w:rFonts w:ascii="宋体" w:hAnsi="宋体"/>
          <w:color w:val="0070C0"/>
          <w:kern w:val="24"/>
          <w:sz w:val="21"/>
          <w:szCs w:val="21"/>
        </w:rPr>
      </w:pPr>
      <w:r>
        <w:rPr>
          <w:rFonts w:hint="eastAsia" w:ascii="宋体" w:hAnsi="宋体" w:cs="宋体"/>
          <w:bCs/>
          <w:color w:val="000000" w:themeColor="text1"/>
          <w:kern w:val="0"/>
          <w:sz w:val="21"/>
          <w:szCs w:val="21"/>
        </w:rPr>
        <w:t>20</w:t>
      </w:r>
      <w:r>
        <w:rPr>
          <w:rFonts w:hint="eastAsia" w:ascii="宋体" w:hAnsi="宋体" w:cs="宋体"/>
          <w:bCs/>
          <w:color w:val="000000" w:themeColor="text1"/>
          <w:kern w:val="0"/>
          <w:sz w:val="21"/>
          <w:szCs w:val="21"/>
          <w:lang w:val="en-US" w:eastAsia="zh-CN"/>
        </w:rPr>
        <w:t>22</w:t>
      </w:r>
      <w:r>
        <w:rPr>
          <w:rFonts w:hint="eastAsia" w:ascii="宋体" w:hAnsi="宋体" w:cs="宋体"/>
          <w:bCs/>
          <w:color w:val="000000" w:themeColor="text1"/>
          <w:kern w:val="0"/>
          <w:sz w:val="21"/>
          <w:szCs w:val="21"/>
        </w:rPr>
        <w:t>年</w:t>
      </w:r>
      <w:r>
        <w:rPr>
          <w:rFonts w:hint="eastAsia" w:ascii="宋体" w:hAnsi="宋体" w:cs="宋体"/>
          <w:bCs/>
          <w:color w:val="000000" w:themeColor="text1"/>
          <w:kern w:val="0"/>
          <w:sz w:val="21"/>
          <w:szCs w:val="21"/>
          <w:lang w:val="en-US" w:eastAsia="zh-CN"/>
        </w:rPr>
        <w:t>1</w:t>
      </w:r>
      <w:r>
        <w:rPr>
          <w:rFonts w:hint="eastAsia" w:ascii="宋体" w:hAnsi="宋体" w:cs="宋体"/>
          <w:bCs/>
          <w:color w:val="000000" w:themeColor="text1"/>
          <w:kern w:val="0"/>
          <w:sz w:val="21"/>
          <w:szCs w:val="21"/>
        </w:rPr>
        <w:t>月至今，公司日常运行中生产经营平稳，企业未有违反法律、法规问题和产品质量问题的投诉或重大质量事故发生。企业营业执照等资质未发生变化。</w:t>
      </w:r>
      <w:r>
        <w:rPr>
          <w:rFonts w:hint="eastAsia" w:ascii="宋体" w:hAnsi="宋体"/>
          <w:color w:val="000000" w:themeColor="text1"/>
          <w:kern w:val="24"/>
          <w:sz w:val="21"/>
          <w:szCs w:val="21"/>
        </w:rPr>
        <w:t>公司一年来重点做了以下工作：</w:t>
      </w:r>
    </w:p>
    <w:p>
      <w:pPr>
        <w:keepNext w:val="0"/>
        <w:keepLines w:val="0"/>
        <w:pageBreakBefore w:val="0"/>
        <w:widowControl/>
        <w:kinsoku/>
        <w:wordWrap/>
        <w:overflowPunct/>
        <w:topLinePunct w:val="0"/>
        <w:autoSpaceDE/>
        <w:autoSpaceDN/>
        <w:bidi w:val="0"/>
        <w:adjustRightInd/>
        <w:snapToGrid/>
        <w:spacing w:line="300" w:lineRule="auto"/>
        <w:ind w:right="-315" w:rightChars="-150"/>
        <w:textAlignment w:val="auto"/>
        <w:rPr>
          <w:rFonts w:hint="default" w:ascii="宋体" w:hAnsi="宋体" w:cs="宋体" w:eastAsiaTheme="minorEastAsia"/>
          <w:bCs/>
          <w:color w:val="0070C0"/>
          <w:kern w:val="0"/>
          <w:sz w:val="21"/>
          <w:szCs w:val="21"/>
          <w:lang w:val="en-US" w:eastAsia="zh-CN"/>
        </w:rPr>
      </w:pPr>
      <w:r>
        <w:rPr>
          <w:rFonts w:hint="eastAsia" w:ascii="宋体" w:hAnsi="宋体" w:cs="宋体"/>
          <w:bCs/>
          <w:color w:val="000000" w:themeColor="text1"/>
          <w:kern w:val="0"/>
          <w:sz w:val="21"/>
          <w:szCs w:val="21"/>
        </w:rPr>
        <w:t xml:space="preserve">1.1 </w:t>
      </w:r>
      <w:r>
        <w:rPr>
          <w:rFonts w:hint="eastAsia" w:ascii="宋体" w:hAnsi="宋体" w:cs="宋体"/>
          <w:bCs/>
          <w:color w:val="000000" w:themeColor="text1"/>
          <w:kern w:val="0"/>
          <w:sz w:val="21"/>
          <w:szCs w:val="21"/>
          <w:lang w:val="en-US" w:eastAsia="zh-CN"/>
        </w:rPr>
        <w:t>技术部在征求质检部和生产部的意见后，对产品检验规程结合生产实际进行了细化，提高了可操作性。</w:t>
      </w:r>
    </w:p>
    <w:p>
      <w:pPr>
        <w:keepNext w:val="0"/>
        <w:keepLines w:val="0"/>
        <w:pageBreakBefore w:val="0"/>
        <w:widowControl/>
        <w:kinsoku/>
        <w:wordWrap/>
        <w:overflowPunct/>
        <w:topLinePunct w:val="0"/>
        <w:autoSpaceDE/>
        <w:autoSpaceDN/>
        <w:bidi w:val="0"/>
        <w:adjustRightInd/>
        <w:snapToGrid/>
        <w:spacing w:line="300" w:lineRule="auto"/>
        <w:ind w:right="-315" w:rightChars="-150"/>
        <w:textAlignment w:val="auto"/>
        <w:rPr>
          <w:rFonts w:cs="宋体" w:asciiTheme="minorEastAsia" w:hAnsiTheme="minorEastAsia"/>
          <w:b/>
          <w:bCs w:val="0"/>
          <w:color w:val="auto"/>
          <w:kern w:val="0"/>
          <w:sz w:val="21"/>
          <w:szCs w:val="21"/>
        </w:rPr>
      </w:pPr>
      <w:r>
        <w:rPr>
          <w:rFonts w:hint="eastAsia" w:ascii="宋体" w:hAnsi="宋体" w:cs="宋体"/>
          <w:b/>
          <w:bCs w:val="0"/>
          <w:color w:val="auto"/>
          <w:kern w:val="0"/>
          <w:sz w:val="21"/>
          <w:szCs w:val="21"/>
        </w:rPr>
        <w:t>2.</w:t>
      </w:r>
      <w:r>
        <w:rPr>
          <w:rFonts w:hint="eastAsia" w:asciiTheme="minorEastAsia" w:hAnsiTheme="minorEastAsia"/>
          <w:b/>
          <w:bCs w:val="0"/>
          <w:color w:val="auto"/>
          <w:sz w:val="21"/>
          <w:szCs w:val="21"/>
        </w:rPr>
        <w:t>内部审核和管理评审</w:t>
      </w:r>
      <w:r>
        <w:rPr>
          <w:rFonts w:cs="宋体" w:asciiTheme="minorEastAsia" w:hAnsiTheme="minorEastAsia"/>
          <w:b/>
          <w:bCs w:val="0"/>
          <w:color w:val="auto"/>
          <w:kern w:val="0"/>
          <w:sz w:val="21"/>
          <w:szCs w:val="21"/>
        </w:rPr>
        <w:t>的情况：</w:t>
      </w:r>
    </w:p>
    <w:p>
      <w:pPr>
        <w:keepNext w:val="0"/>
        <w:keepLines w:val="0"/>
        <w:pageBreakBefore w:val="0"/>
        <w:widowControl w:val="0"/>
        <w:kinsoku/>
        <w:wordWrap/>
        <w:overflowPunct/>
        <w:topLinePunct w:val="0"/>
        <w:autoSpaceDE/>
        <w:autoSpaceDN/>
        <w:bidi w:val="0"/>
        <w:adjustRightInd/>
        <w:snapToGrid/>
        <w:spacing w:after="157" w:afterLines="50" w:line="300" w:lineRule="auto"/>
        <w:ind w:right="-315" w:rightChars="-150"/>
        <w:textAlignment w:val="auto"/>
        <w:rPr>
          <w:rFonts w:hint="eastAsia" w:ascii="宋体" w:hAnsi="宋体" w:eastAsiaTheme="minorEastAsia"/>
          <w:color w:val="000000"/>
          <w:sz w:val="21"/>
          <w:szCs w:val="21"/>
          <w:lang w:eastAsia="zh-CN"/>
        </w:rPr>
      </w:pPr>
      <w:r>
        <w:rPr>
          <w:rStyle w:val="9"/>
          <w:rFonts w:hint="eastAsia" w:ascii="宋体" w:eastAsia="宋体"/>
          <w:color w:val="auto"/>
          <w:sz w:val="21"/>
          <w:szCs w:val="21"/>
        </w:rPr>
        <w:t>2.1内审情况：</w:t>
      </w:r>
      <w:bookmarkStart w:id="11" w:name="_Hlk39328758"/>
      <w:r>
        <w:rPr>
          <w:rFonts w:hint="eastAsia" w:ascii="宋体" w:hAnsi="宋体"/>
          <w:color w:val="000000"/>
          <w:sz w:val="21"/>
          <w:szCs w:val="21"/>
        </w:rPr>
        <w:t>按公司的内审计划安排</w:t>
      </w:r>
      <w:r>
        <w:rPr>
          <w:rFonts w:hint="eastAsia" w:ascii="宋体" w:hAnsi="宋体"/>
          <w:color w:val="000000"/>
          <w:sz w:val="21"/>
          <w:szCs w:val="21"/>
          <w:lang w:eastAsia="zh-CN"/>
        </w:rPr>
        <w:t>，</w:t>
      </w:r>
      <w:r>
        <w:rPr>
          <w:rFonts w:hint="eastAsia" w:ascii="宋体" w:hAnsi="宋体"/>
          <w:color w:val="000000"/>
          <w:sz w:val="21"/>
          <w:szCs w:val="21"/>
        </w:rPr>
        <w:t>于</w:t>
      </w:r>
      <w:r>
        <w:rPr>
          <w:rFonts w:hint="eastAsia" w:ascii="仿宋_GB2312"/>
          <w:color w:val="auto"/>
          <w:sz w:val="21"/>
          <w:szCs w:val="21"/>
          <w:highlight w:val="none"/>
          <w:lang w:val="en-US" w:eastAsia="zh-CN"/>
        </w:rPr>
        <w:t>2022年9月5日</w:t>
      </w:r>
      <w:r>
        <w:rPr>
          <w:rFonts w:hint="eastAsia" w:ascii="宋体" w:hAnsi="宋体"/>
          <w:color w:val="000000"/>
          <w:sz w:val="21"/>
          <w:szCs w:val="21"/>
        </w:rPr>
        <w:t>，组织开展了测量管理体系内部审核，内审分1个组，对测量管理体系涉及到的所有部门、场所和活动进行了全要素的审核，审核结论为公司测量管理体系符合测量管理体系标准要求，运行持续有效。本次内部审核开具了1个不符合项，已于2</w:t>
      </w:r>
      <w:r>
        <w:rPr>
          <w:rFonts w:ascii="宋体" w:hAnsi="宋体"/>
          <w:color w:val="000000"/>
          <w:sz w:val="21"/>
          <w:szCs w:val="21"/>
        </w:rPr>
        <w:t>02</w:t>
      </w:r>
      <w:r>
        <w:rPr>
          <w:rFonts w:hint="eastAsia" w:ascii="宋体" w:hAnsi="宋体"/>
          <w:color w:val="000000"/>
          <w:sz w:val="21"/>
          <w:szCs w:val="21"/>
          <w:lang w:val="en-US" w:eastAsia="zh-CN"/>
        </w:rPr>
        <w:t>2</w:t>
      </w:r>
      <w:r>
        <w:rPr>
          <w:rFonts w:hint="eastAsia" w:ascii="宋体" w:hAnsi="宋体"/>
          <w:color w:val="000000"/>
          <w:sz w:val="21"/>
          <w:szCs w:val="21"/>
        </w:rPr>
        <w:t>年</w:t>
      </w:r>
      <w:r>
        <w:rPr>
          <w:rFonts w:hint="eastAsia" w:ascii="宋体" w:hAnsi="宋体"/>
          <w:color w:val="000000"/>
          <w:sz w:val="21"/>
          <w:szCs w:val="21"/>
          <w:lang w:val="en-US" w:eastAsia="zh-CN"/>
        </w:rPr>
        <w:t>9</w:t>
      </w:r>
      <w:r>
        <w:rPr>
          <w:rFonts w:hint="eastAsia" w:ascii="宋体" w:hAnsi="宋体"/>
          <w:color w:val="000000"/>
          <w:sz w:val="21"/>
          <w:szCs w:val="21"/>
        </w:rPr>
        <w:t>月</w:t>
      </w:r>
      <w:r>
        <w:rPr>
          <w:rFonts w:hint="eastAsia" w:ascii="宋体" w:hAnsi="宋体"/>
          <w:color w:val="000000"/>
          <w:sz w:val="21"/>
          <w:szCs w:val="21"/>
          <w:lang w:val="en-US" w:eastAsia="zh-CN"/>
        </w:rPr>
        <w:t>5</w:t>
      </w:r>
      <w:r>
        <w:rPr>
          <w:rFonts w:hint="eastAsia" w:ascii="宋体" w:hAnsi="宋体"/>
          <w:color w:val="000000"/>
          <w:sz w:val="21"/>
          <w:szCs w:val="21"/>
        </w:rPr>
        <w:t>日完成整改。审核组长</w:t>
      </w:r>
      <w:r>
        <w:rPr>
          <w:rFonts w:hint="eastAsia" w:ascii="宋体" w:hAnsi="宋体"/>
          <w:color w:val="000000"/>
          <w:sz w:val="21"/>
          <w:szCs w:val="21"/>
          <w:lang w:val="en-US" w:eastAsia="zh-CN"/>
        </w:rPr>
        <w:t>胡柳杰</w:t>
      </w:r>
      <w:r>
        <w:rPr>
          <w:rFonts w:hint="eastAsia" w:ascii="宋体" w:hAnsi="宋体"/>
          <w:color w:val="000000"/>
          <w:sz w:val="21"/>
          <w:szCs w:val="21"/>
        </w:rPr>
        <w:t>编制</w:t>
      </w:r>
      <w:r>
        <w:rPr>
          <w:rFonts w:hint="eastAsia" w:ascii="宋体" w:hAnsi="宋体"/>
          <w:color w:val="auto"/>
          <w:sz w:val="21"/>
          <w:szCs w:val="21"/>
        </w:rPr>
        <w:t>了202</w:t>
      </w:r>
      <w:r>
        <w:rPr>
          <w:rFonts w:hint="eastAsia" w:ascii="宋体" w:hAnsi="宋体"/>
          <w:color w:val="auto"/>
          <w:sz w:val="21"/>
          <w:szCs w:val="21"/>
          <w:lang w:val="en-US" w:eastAsia="zh-CN"/>
        </w:rPr>
        <w:t>2</w:t>
      </w:r>
      <w:r>
        <w:rPr>
          <w:rFonts w:hint="eastAsia" w:ascii="宋体" w:hAnsi="宋体"/>
          <w:color w:val="auto"/>
          <w:sz w:val="21"/>
          <w:szCs w:val="21"/>
        </w:rPr>
        <w:t>年</w:t>
      </w:r>
      <w:r>
        <w:rPr>
          <w:rFonts w:hint="eastAsia" w:ascii="宋体" w:hAnsi="宋体"/>
          <w:color w:val="000000"/>
          <w:sz w:val="21"/>
          <w:szCs w:val="21"/>
        </w:rPr>
        <w:t>度内部审核报告。</w:t>
      </w:r>
      <w:bookmarkEnd w:id="11"/>
      <w:r>
        <w:rPr>
          <w:rFonts w:hint="eastAsia" w:ascii="宋体" w:hAnsi="宋体"/>
          <w:color w:val="000000"/>
          <w:sz w:val="21"/>
          <w:szCs w:val="21"/>
        </w:rPr>
        <w:t>内审通知、内审计划、内审检查表、内审报告、不符合项整改记录规范</w:t>
      </w:r>
      <w:r>
        <w:rPr>
          <w:rFonts w:hint="eastAsia" w:ascii="宋体" w:hAnsi="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00" w:lineRule="auto"/>
        <w:ind w:right="-315" w:rightChars="-150"/>
        <w:textAlignment w:val="auto"/>
        <w:rPr>
          <w:rStyle w:val="9"/>
          <w:rFonts w:ascii="宋体" w:eastAsia="宋体"/>
          <w:color w:val="0070C0"/>
          <w:sz w:val="21"/>
          <w:szCs w:val="21"/>
        </w:rPr>
      </w:pPr>
      <w:r>
        <w:rPr>
          <w:rStyle w:val="9"/>
          <w:rFonts w:hint="eastAsia" w:ascii="宋体" w:eastAsia="宋体"/>
          <w:color w:val="auto"/>
          <w:sz w:val="21"/>
          <w:szCs w:val="21"/>
        </w:rPr>
        <w:t>2.2管理评审情况：</w:t>
      </w:r>
      <w:r>
        <w:rPr>
          <w:rStyle w:val="9"/>
          <w:rFonts w:hint="eastAsia" w:ascii="宋体" w:eastAsia="宋体"/>
          <w:color w:val="auto"/>
          <w:sz w:val="21"/>
          <w:szCs w:val="21"/>
          <w:lang w:val="en-US" w:eastAsia="zh-CN"/>
        </w:rPr>
        <w:t>根据管理评审计划安排</w:t>
      </w:r>
      <w:r>
        <w:rPr>
          <w:rFonts w:hint="eastAsia"/>
          <w:bCs/>
          <w:color w:val="000000"/>
          <w:sz w:val="21"/>
          <w:szCs w:val="21"/>
          <w:lang w:val="en-US" w:eastAsia="zh-CN"/>
        </w:rPr>
        <w:t>质检</w:t>
      </w:r>
      <w:r>
        <w:rPr>
          <w:rFonts w:hint="eastAsia"/>
          <w:bCs/>
          <w:color w:val="000000"/>
          <w:sz w:val="21"/>
          <w:szCs w:val="21"/>
        </w:rPr>
        <w:t>部于</w:t>
      </w:r>
      <w:r>
        <w:rPr>
          <w:rFonts w:ascii="宋体" w:hAnsi="宋体"/>
          <w:sz w:val="21"/>
          <w:szCs w:val="21"/>
        </w:rPr>
        <w:t>20</w:t>
      </w:r>
      <w:r>
        <w:rPr>
          <w:rFonts w:hint="eastAsia" w:ascii="宋体" w:hAnsi="宋体"/>
          <w:sz w:val="21"/>
          <w:szCs w:val="21"/>
        </w:rPr>
        <w:t>2</w:t>
      </w:r>
      <w:r>
        <w:rPr>
          <w:rFonts w:ascii="宋体" w:hAnsi="宋体"/>
          <w:sz w:val="21"/>
          <w:szCs w:val="21"/>
        </w:rPr>
        <w:t>2</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w:t>
      </w:r>
      <w:r>
        <w:rPr>
          <w:rFonts w:ascii="宋体" w:hAnsi="宋体"/>
          <w:sz w:val="21"/>
          <w:szCs w:val="21"/>
        </w:rPr>
        <w:t>2</w:t>
      </w:r>
      <w:r>
        <w:rPr>
          <w:rFonts w:hint="eastAsia" w:ascii="宋体" w:hAnsi="宋体"/>
          <w:sz w:val="21"/>
          <w:szCs w:val="21"/>
          <w:lang w:val="en-US" w:eastAsia="zh-CN"/>
        </w:rPr>
        <w:t>4日组织</w:t>
      </w:r>
      <w:r>
        <w:rPr>
          <w:rFonts w:hint="eastAsia"/>
          <w:bCs/>
          <w:color w:val="000000"/>
          <w:sz w:val="21"/>
          <w:szCs w:val="21"/>
        </w:rPr>
        <w:t>召开了测量管理体系管理评审会，会议由总经理</w:t>
      </w:r>
      <w:r>
        <w:rPr>
          <w:rFonts w:hint="eastAsia"/>
          <w:bCs/>
          <w:color w:val="000000"/>
          <w:sz w:val="21"/>
          <w:szCs w:val="21"/>
          <w:lang w:val="en-US" w:eastAsia="zh-CN"/>
        </w:rPr>
        <w:t>边宗文</w:t>
      </w:r>
      <w:r>
        <w:rPr>
          <w:rFonts w:hint="eastAsia"/>
          <w:bCs/>
          <w:color w:val="000000"/>
          <w:sz w:val="21"/>
          <w:szCs w:val="21"/>
        </w:rPr>
        <w:t>主持，管理者代表</w:t>
      </w:r>
      <w:r>
        <w:rPr>
          <w:rFonts w:hint="eastAsia"/>
          <w:bCs/>
          <w:color w:val="000000"/>
          <w:sz w:val="21"/>
          <w:szCs w:val="21"/>
          <w:lang w:val="en-US" w:eastAsia="zh-CN"/>
        </w:rPr>
        <w:t>胡柳杰</w:t>
      </w:r>
      <w:r>
        <w:rPr>
          <w:rFonts w:hint="eastAsia"/>
          <w:bCs/>
          <w:color w:val="000000"/>
          <w:sz w:val="21"/>
          <w:szCs w:val="21"/>
        </w:rPr>
        <w:t>对测量管理体系运行状况做了总体介绍，会议从内</w:t>
      </w:r>
      <w:r>
        <w:rPr>
          <w:rFonts w:hint="eastAsia"/>
          <w:bCs/>
          <w:color w:val="000000"/>
          <w:sz w:val="21"/>
          <w:szCs w:val="21"/>
          <w:lang w:eastAsia="zh-CN"/>
        </w:rPr>
        <w:t>、</w:t>
      </w:r>
      <w:r>
        <w:rPr>
          <w:rFonts w:hint="eastAsia"/>
          <w:bCs/>
          <w:color w:val="000000"/>
          <w:sz w:val="21"/>
          <w:szCs w:val="21"/>
        </w:rPr>
        <w:t>外部审核结果</w:t>
      </w:r>
      <w:r>
        <w:rPr>
          <w:rFonts w:hint="eastAsia"/>
          <w:bCs/>
          <w:color w:val="000000"/>
          <w:sz w:val="21"/>
          <w:szCs w:val="21"/>
          <w:lang w:eastAsia="zh-CN"/>
        </w:rPr>
        <w:t>，</w:t>
      </w:r>
      <w:r>
        <w:rPr>
          <w:rFonts w:hint="eastAsia"/>
          <w:bCs/>
          <w:color w:val="000000"/>
          <w:sz w:val="21"/>
          <w:szCs w:val="21"/>
          <w:lang w:val="en-US" w:eastAsia="zh-CN"/>
        </w:rPr>
        <w:t>计量方针、目标的可行性及完成情况等</w:t>
      </w:r>
      <w:r>
        <w:rPr>
          <w:rFonts w:hint="eastAsia"/>
          <w:bCs/>
          <w:color w:val="000000"/>
          <w:sz w:val="21"/>
          <w:szCs w:val="21"/>
        </w:rPr>
        <w:t>等</w:t>
      </w:r>
      <w:r>
        <w:rPr>
          <w:rFonts w:hint="eastAsia"/>
          <w:bCs/>
          <w:color w:val="000000"/>
          <w:sz w:val="21"/>
          <w:szCs w:val="21"/>
          <w:lang w:val="en-US" w:eastAsia="zh-CN"/>
        </w:rPr>
        <w:t>7</w:t>
      </w:r>
      <w:r>
        <w:rPr>
          <w:rFonts w:hint="eastAsia"/>
          <w:bCs/>
          <w:color w:val="000000"/>
          <w:sz w:val="21"/>
          <w:szCs w:val="21"/>
        </w:rPr>
        <w:t>个方面，测量管理体系进行了评价，对公司测量管理体系的有效性和适宜性给以肯定。评审结论为公司测量管理体系运行是充分、有效和适宜的，符合GB/T 19022-2003标准要求。会后形成了《管理评审报告》。</w:t>
      </w:r>
      <w:r>
        <w:rPr>
          <w:rFonts w:hint="eastAsia"/>
          <w:bCs/>
          <w:color w:val="000000"/>
          <w:sz w:val="21"/>
          <w:szCs w:val="21"/>
          <w:lang w:val="en-US" w:eastAsia="zh-CN"/>
        </w:rPr>
        <w:t>报告</w:t>
      </w:r>
      <w:r>
        <w:rPr>
          <w:rFonts w:hint="eastAsia"/>
          <w:bCs/>
          <w:color w:val="000000"/>
          <w:sz w:val="21"/>
          <w:szCs w:val="21"/>
        </w:rPr>
        <w:t>对管理评审会提出的</w:t>
      </w:r>
      <w:r>
        <w:rPr>
          <w:rFonts w:hint="eastAsia"/>
          <w:sz w:val="21"/>
          <w:szCs w:val="21"/>
          <w:lang w:val="en-US" w:eastAsia="zh-CN"/>
        </w:rPr>
        <w:t>提高管理制度的有效性和指导性</w:t>
      </w:r>
      <w:r>
        <w:rPr>
          <w:rFonts w:hint="eastAsia"/>
          <w:bCs/>
          <w:color w:val="000000"/>
          <w:sz w:val="21"/>
          <w:szCs w:val="21"/>
        </w:rPr>
        <w:t>等</w:t>
      </w:r>
      <w:r>
        <w:rPr>
          <w:rFonts w:hint="eastAsia"/>
          <w:bCs/>
          <w:color w:val="000000"/>
          <w:sz w:val="21"/>
          <w:szCs w:val="21"/>
          <w:lang w:val="en-US" w:eastAsia="zh-CN"/>
        </w:rPr>
        <w:t>2</w:t>
      </w:r>
      <w:r>
        <w:rPr>
          <w:rFonts w:hint="eastAsia"/>
          <w:bCs/>
          <w:color w:val="000000"/>
          <w:sz w:val="21"/>
          <w:szCs w:val="21"/>
        </w:rPr>
        <w:t>个</w:t>
      </w:r>
      <w:r>
        <w:rPr>
          <w:rFonts w:hint="eastAsia"/>
          <w:bCs/>
          <w:color w:val="000000"/>
          <w:sz w:val="21"/>
          <w:szCs w:val="21"/>
          <w:lang w:val="en-US" w:eastAsia="zh-CN"/>
        </w:rPr>
        <w:t>的</w:t>
      </w:r>
      <w:r>
        <w:rPr>
          <w:rFonts w:hint="eastAsia"/>
          <w:bCs/>
          <w:color w:val="000000"/>
          <w:sz w:val="21"/>
          <w:szCs w:val="21"/>
        </w:rPr>
        <w:t>问题，均已落实了整改的责任部门。</w:t>
      </w:r>
    </w:p>
    <w:p>
      <w:pPr>
        <w:keepNext w:val="0"/>
        <w:keepLines w:val="0"/>
        <w:pageBreakBefore w:val="0"/>
        <w:widowControl/>
        <w:kinsoku/>
        <w:wordWrap/>
        <w:overflowPunct/>
        <w:topLinePunct w:val="0"/>
        <w:autoSpaceDE/>
        <w:autoSpaceDN/>
        <w:bidi w:val="0"/>
        <w:adjustRightInd/>
        <w:snapToGrid/>
        <w:spacing w:line="300" w:lineRule="auto"/>
        <w:ind w:right="-315" w:rightChars="-150"/>
        <w:textAlignment w:val="auto"/>
        <w:rPr>
          <w:rFonts w:cs="宋体" w:asciiTheme="minorEastAsia" w:hAnsiTheme="minorEastAsia"/>
          <w:b/>
          <w:bCs w:val="0"/>
          <w:color w:val="auto"/>
          <w:kern w:val="0"/>
          <w:sz w:val="21"/>
          <w:szCs w:val="21"/>
        </w:rPr>
      </w:pPr>
      <w:r>
        <w:rPr>
          <w:rFonts w:hint="eastAsia" w:cs="宋体" w:asciiTheme="minorEastAsia" w:hAnsiTheme="minorEastAsia"/>
          <w:b/>
          <w:bCs w:val="0"/>
          <w:color w:val="auto"/>
          <w:kern w:val="0"/>
          <w:sz w:val="21"/>
          <w:szCs w:val="21"/>
        </w:rPr>
        <w:t>3.为持续改进而策划的活动的进展企业对识别的关键测量过程进行了持续的控制，</w:t>
      </w:r>
      <w:r>
        <w:rPr>
          <w:rFonts w:hint="eastAsia" w:cs="宋体" w:asciiTheme="minorEastAsia" w:hAnsiTheme="minorEastAsia"/>
          <w:b/>
          <w:bCs w:val="0"/>
          <w:color w:val="auto"/>
          <w:kern w:val="0"/>
          <w:sz w:val="21"/>
          <w:szCs w:val="21"/>
          <w:lang w:val="en-US" w:eastAsia="zh-CN"/>
        </w:rPr>
        <w:t>认证审核以来无</w:t>
      </w:r>
      <w:r>
        <w:rPr>
          <w:rFonts w:hint="eastAsia" w:cs="宋体" w:asciiTheme="minorEastAsia" w:hAnsiTheme="minorEastAsia"/>
          <w:b/>
          <w:bCs w:val="0"/>
          <w:color w:val="auto"/>
          <w:kern w:val="0"/>
          <w:sz w:val="21"/>
          <w:szCs w:val="21"/>
        </w:rPr>
        <w:t>关键测量过程：</w:t>
      </w:r>
    </w:p>
    <w:p>
      <w:pPr>
        <w:keepNext w:val="0"/>
        <w:keepLines w:val="0"/>
        <w:pageBreakBefore w:val="0"/>
        <w:widowControl/>
        <w:kinsoku/>
        <w:wordWrap/>
        <w:overflowPunct/>
        <w:topLinePunct w:val="0"/>
        <w:autoSpaceDE/>
        <w:autoSpaceDN/>
        <w:bidi w:val="0"/>
        <w:adjustRightInd/>
        <w:snapToGrid/>
        <w:spacing w:line="300" w:lineRule="auto"/>
        <w:ind w:right="-315" w:rightChars="-150"/>
        <w:jc w:val="left"/>
        <w:textAlignment w:val="auto"/>
        <w:rPr>
          <w:rFonts w:cs="宋体" w:asciiTheme="minorEastAsia" w:hAnsiTheme="minorEastAsia"/>
          <w:bCs/>
          <w:color w:val="auto"/>
          <w:kern w:val="0"/>
          <w:sz w:val="21"/>
          <w:szCs w:val="21"/>
        </w:rPr>
      </w:pPr>
      <w:r>
        <w:rPr>
          <w:rFonts w:hint="eastAsia" w:cs="宋体" w:asciiTheme="minorEastAsia" w:hAnsiTheme="minorEastAsia"/>
          <w:bCs/>
          <w:color w:val="auto"/>
          <w:kern w:val="0"/>
          <w:sz w:val="21"/>
          <w:szCs w:val="21"/>
        </w:rPr>
        <w:t>a)计量要求的导出和验证：查</w:t>
      </w:r>
      <w:r>
        <w:rPr>
          <w:rFonts w:hint="eastAsia"/>
          <w:color w:val="auto"/>
          <w:sz w:val="21"/>
          <w:szCs w:val="21"/>
          <w:lang w:val="en-US" w:eastAsia="zh-CN"/>
        </w:rPr>
        <w:t>电缆保护管绝缘电阻</w:t>
      </w:r>
      <w:r>
        <w:rPr>
          <w:rFonts w:hint="eastAsia" w:ascii="宋体" w:hAnsi="宋体"/>
          <w:color w:val="auto"/>
          <w:sz w:val="21"/>
          <w:szCs w:val="21"/>
        </w:rPr>
        <w:t>测量过程</w:t>
      </w:r>
      <w:r>
        <w:rPr>
          <w:rFonts w:hint="eastAsia"/>
          <w:color w:val="auto"/>
          <w:sz w:val="21"/>
          <w:szCs w:val="21"/>
        </w:rPr>
        <w:t>，计量要求导出方法正确，验证满足测量过程要求。</w:t>
      </w:r>
      <w:r>
        <w:rPr>
          <w:rFonts w:hint="eastAsia"/>
          <w:color w:val="auto"/>
          <w:sz w:val="21"/>
          <w:szCs w:val="21"/>
          <w:lang w:val="en-US" w:eastAsia="zh-CN"/>
        </w:rPr>
        <w:t>详</w:t>
      </w:r>
      <w:r>
        <w:rPr>
          <w:rFonts w:hint="eastAsia"/>
          <w:color w:val="auto"/>
          <w:sz w:val="21"/>
          <w:szCs w:val="21"/>
        </w:rPr>
        <w:t>见附件《计量要求导出及验证记录表》</w:t>
      </w:r>
    </w:p>
    <w:p>
      <w:pPr>
        <w:keepNext w:val="0"/>
        <w:keepLines w:val="0"/>
        <w:pageBreakBefore w:val="0"/>
        <w:widowControl/>
        <w:kinsoku/>
        <w:wordWrap/>
        <w:overflowPunct/>
        <w:topLinePunct w:val="0"/>
        <w:autoSpaceDE/>
        <w:autoSpaceDN/>
        <w:bidi w:val="0"/>
        <w:adjustRightInd/>
        <w:snapToGrid/>
        <w:spacing w:line="300" w:lineRule="auto"/>
        <w:ind w:right="-315" w:rightChars="-150"/>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b)</w:t>
      </w:r>
      <w:r>
        <w:rPr>
          <w:rFonts w:cs="宋体" w:asciiTheme="minorEastAsia" w:hAnsiTheme="minorEastAsia"/>
          <w:color w:val="auto"/>
          <w:kern w:val="0"/>
          <w:sz w:val="21"/>
          <w:szCs w:val="21"/>
        </w:rPr>
        <w:t>测量不确定评定</w:t>
      </w:r>
      <w:r>
        <w:rPr>
          <w:rFonts w:hint="eastAsia" w:cs="宋体" w:asciiTheme="minorEastAsia" w:hAnsiTheme="minorEastAsia"/>
          <w:color w:val="auto"/>
          <w:kern w:val="0"/>
          <w:sz w:val="21"/>
          <w:szCs w:val="21"/>
        </w:rPr>
        <w:t>：查</w:t>
      </w:r>
      <w:r>
        <w:rPr>
          <w:rFonts w:hint="eastAsia"/>
          <w:color w:val="auto"/>
          <w:sz w:val="21"/>
          <w:szCs w:val="21"/>
          <w:lang w:val="en-US" w:eastAsia="zh-CN"/>
        </w:rPr>
        <w:t>电缆保护管绝缘电阻</w:t>
      </w:r>
      <w:r>
        <w:rPr>
          <w:rFonts w:hint="eastAsia" w:ascii="宋体" w:hAnsi="宋体"/>
          <w:color w:val="auto"/>
          <w:sz w:val="21"/>
          <w:szCs w:val="21"/>
        </w:rPr>
        <w:t>测量过程</w:t>
      </w:r>
      <w:r>
        <w:rPr>
          <w:rFonts w:hint="eastAsia"/>
          <w:color w:val="auto"/>
          <w:sz w:val="21"/>
          <w:szCs w:val="21"/>
        </w:rPr>
        <w:t>，测量不确定度评定方法正确。祥见附件《测量不确定度评定》</w:t>
      </w:r>
    </w:p>
    <w:p>
      <w:pPr>
        <w:keepNext w:val="0"/>
        <w:keepLines w:val="0"/>
        <w:pageBreakBefore w:val="0"/>
        <w:widowControl/>
        <w:kinsoku/>
        <w:wordWrap/>
        <w:overflowPunct/>
        <w:topLinePunct w:val="0"/>
        <w:autoSpaceDE/>
        <w:autoSpaceDN/>
        <w:bidi w:val="0"/>
        <w:adjustRightInd/>
        <w:snapToGrid/>
        <w:spacing w:line="300" w:lineRule="auto"/>
        <w:ind w:right="-315" w:rightChars="-150"/>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c)有效性确认：查</w:t>
      </w:r>
      <w:r>
        <w:rPr>
          <w:rFonts w:hint="eastAsia"/>
          <w:color w:val="auto"/>
          <w:sz w:val="21"/>
          <w:szCs w:val="21"/>
          <w:lang w:val="en-US" w:eastAsia="zh-CN"/>
        </w:rPr>
        <w:t>电缆保护管绝缘电阻</w:t>
      </w:r>
      <w:r>
        <w:rPr>
          <w:rFonts w:hint="eastAsia" w:ascii="宋体" w:hAnsi="宋体"/>
          <w:color w:val="auto"/>
          <w:sz w:val="21"/>
          <w:szCs w:val="21"/>
        </w:rPr>
        <w:t>测量过程</w:t>
      </w:r>
      <w:r>
        <w:rPr>
          <w:rFonts w:hint="eastAsia"/>
          <w:color w:val="auto"/>
          <w:sz w:val="21"/>
          <w:szCs w:val="21"/>
        </w:rPr>
        <w:t>，采用罐车检尺量和流量计量进行比对进行有效性确认，满足要求。</w:t>
      </w:r>
      <w:r>
        <w:rPr>
          <w:rFonts w:hint="eastAsia"/>
          <w:color w:val="auto"/>
          <w:sz w:val="21"/>
          <w:szCs w:val="21"/>
          <w:lang w:val="en-US" w:eastAsia="zh-CN"/>
        </w:rPr>
        <w:t>详</w:t>
      </w:r>
      <w:r>
        <w:rPr>
          <w:rFonts w:hint="eastAsia"/>
          <w:color w:val="auto"/>
          <w:sz w:val="21"/>
          <w:szCs w:val="21"/>
        </w:rPr>
        <w:t>见附件《测量过程有效性确认》</w:t>
      </w:r>
    </w:p>
    <w:p>
      <w:pPr>
        <w:keepNext w:val="0"/>
        <w:keepLines w:val="0"/>
        <w:pageBreakBefore w:val="0"/>
        <w:widowControl/>
        <w:kinsoku/>
        <w:wordWrap/>
        <w:overflowPunct/>
        <w:topLinePunct w:val="0"/>
        <w:autoSpaceDE/>
        <w:autoSpaceDN/>
        <w:bidi w:val="0"/>
        <w:adjustRightInd/>
        <w:snapToGrid/>
        <w:spacing w:line="300" w:lineRule="auto"/>
        <w:ind w:right="-315" w:rightChars="-150"/>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d)</w:t>
      </w:r>
      <w:r>
        <w:rPr>
          <w:rFonts w:cs="宋体" w:asciiTheme="minorEastAsia" w:hAnsiTheme="minorEastAsia"/>
          <w:color w:val="auto"/>
          <w:kern w:val="0"/>
          <w:sz w:val="21"/>
          <w:szCs w:val="21"/>
        </w:rPr>
        <w:t>测量过程的控制</w:t>
      </w:r>
      <w:r>
        <w:rPr>
          <w:rFonts w:hint="eastAsia" w:cs="宋体" w:asciiTheme="minorEastAsia" w:hAnsiTheme="minorEastAsia"/>
          <w:color w:val="auto"/>
          <w:kern w:val="0"/>
          <w:sz w:val="21"/>
          <w:szCs w:val="21"/>
        </w:rPr>
        <w:t>：查</w:t>
      </w:r>
      <w:r>
        <w:rPr>
          <w:rFonts w:hint="eastAsia"/>
          <w:color w:val="auto"/>
          <w:sz w:val="21"/>
          <w:szCs w:val="21"/>
          <w:lang w:val="en-US" w:eastAsia="zh-CN"/>
        </w:rPr>
        <w:t>电缆保护管绝缘电阻</w:t>
      </w:r>
      <w:r>
        <w:rPr>
          <w:rFonts w:hint="eastAsia" w:ascii="宋体" w:hAnsi="宋体"/>
          <w:color w:val="auto"/>
          <w:sz w:val="21"/>
          <w:szCs w:val="21"/>
        </w:rPr>
        <w:t>测量过程</w:t>
      </w:r>
      <w:r>
        <w:rPr>
          <w:rFonts w:hint="eastAsia"/>
          <w:color w:val="auto"/>
          <w:sz w:val="21"/>
          <w:szCs w:val="21"/>
        </w:rPr>
        <w:t>，编制了控制规范，对测量人员、测量设备、测量环境进行控制，满足要求。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napToGrid/>
        <w:spacing w:line="300" w:lineRule="auto"/>
        <w:ind w:right="-315" w:rightChars="-150"/>
        <w:textAlignment w:val="auto"/>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e)</w:t>
      </w:r>
      <w:r>
        <w:rPr>
          <w:rFonts w:cs="宋体" w:asciiTheme="minorEastAsia" w:hAnsiTheme="minorEastAsia"/>
          <w:color w:val="auto"/>
          <w:kern w:val="0"/>
          <w:sz w:val="21"/>
          <w:szCs w:val="21"/>
        </w:rPr>
        <w:t>测量过程的监视</w:t>
      </w:r>
      <w:r>
        <w:rPr>
          <w:rFonts w:hint="eastAsia" w:cs="宋体" w:asciiTheme="minorEastAsia" w:hAnsiTheme="minorEastAsia"/>
          <w:color w:val="auto"/>
          <w:kern w:val="0"/>
          <w:sz w:val="21"/>
          <w:szCs w:val="21"/>
        </w:rPr>
        <w:t>：查</w:t>
      </w:r>
      <w:r>
        <w:rPr>
          <w:rFonts w:hint="eastAsia"/>
          <w:color w:val="auto"/>
          <w:sz w:val="21"/>
          <w:szCs w:val="21"/>
          <w:lang w:val="en-US" w:eastAsia="zh-CN"/>
        </w:rPr>
        <w:t>电缆保护管绝缘电阻</w:t>
      </w:r>
      <w:r>
        <w:rPr>
          <w:rFonts w:hint="eastAsia" w:ascii="宋体" w:hAnsi="宋体"/>
          <w:color w:val="auto"/>
          <w:sz w:val="21"/>
          <w:szCs w:val="21"/>
        </w:rPr>
        <w:t>测量过程</w:t>
      </w:r>
      <w:r>
        <w:rPr>
          <w:rFonts w:hint="eastAsia"/>
          <w:color w:val="auto"/>
          <w:sz w:val="21"/>
          <w:szCs w:val="21"/>
        </w:rPr>
        <w:t>，</w:t>
      </w:r>
      <w:r>
        <w:rPr>
          <w:rFonts w:hint="eastAsia" w:cs="宋体" w:asciiTheme="minorEastAsia" w:hAnsiTheme="minorEastAsia"/>
          <w:color w:val="auto"/>
          <w:kern w:val="0"/>
          <w:sz w:val="21"/>
          <w:szCs w:val="21"/>
        </w:rPr>
        <w:t>采用统计技术进行控制和监视测量过程。</w:t>
      </w:r>
      <w:r>
        <w:rPr>
          <w:rFonts w:hint="eastAsia" w:cs="宋体" w:asciiTheme="minorEastAsia" w:hAnsiTheme="minorEastAsia"/>
          <w:color w:val="auto"/>
          <w:kern w:val="0"/>
          <w:sz w:val="21"/>
          <w:szCs w:val="21"/>
          <w:lang w:val="en-US" w:eastAsia="zh-CN"/>
        </w:rPr>
        <w:t>详</w:t>
      </w:r>
      <w:r>
        <w:rPr>
          <w:rFonts w:hint="eastAsia" w:cs="宋体" w:asciiTheme="minorEastAsia" w:hAnsiTheme="minorEastAsia"/>
          <w:color w:val="auto"/>
          <w:kern w:val="0"/>
          <w:sz w:val="21"/>
          <w:szCs w:val="21"/>
        </w:rPr>
        <w:t>见《测量过程监视记录》</w:t>
      </w:r>
    </w:p>
    <w:p>
      <w:pPr>
        <w:keepNext w:val="0"/>
        <w:keepLines w:val="0"/>
        <w:pageBreakBefore w:val="0"/>
        <w:widowControl/>
        <w:kinsoku/>
        <w:wordWrap/>
        <w:overflowPunct/>
        <w:topLinePunct w:val="0"/>
        <w:autoSpaceDE/>
        <w:autoSpaceDN/>
        <w:bidi w:val="0"/>
        <w:adjustRightInd/>
        <w:snapToGrid/>
        <w:spacing w:after="157" w:afterLines="50" w:line="300" w:lineRule="auto"/>
        <w:ind w:right="-315" w:rightChars="-150"/>
        <w:textAlignment w:val="auto"/>
        <w:rPr>
          <w:rFonts w:hint="eastAsia"/>
          <w:color w:val="0070C0"/>
          <w:sz w:val="21"/>
          <w:szCs w:val="21"/>
        </w:rPr>
      </w:pPr>
      <w:r>
        <w:rPr>
          <w:rFonts w:hint="eastAsia" w:cs="宋体" w:asciiTheme="minorEastAsia" w:hAnsiTheme="minorEastAsia"/>
          <w:color w:val="auto"/>
          <w:kern w:val="0"/>
          <w:sz w:val="21"/>
          <w:szCs w:val="21"/>
        </w:rPr>
        <w:t>f)测量设备的溯源：</w:t>
      </w:r>
      <w:r>
        <w:rPr>
          <w:rFonts w:hint="eastAsia" w:ascii="宋体" w:hAnsi="宋体" w:eastAsia="宋体" w:cs="宋体"/>
          <w:color w:val="auto"/>
          <w:kern w:val="0"/>
          <w:sz w:val="21"/>
          <w:szCs w:val="21"/>
        </w:rPr>
        <w:t>公司未建最高计量标准，测量设备由</w:t>
      </w:r>
      <w:r>
        <w:rPr>
          <w:rFonts w:hint="eastAsia" w:ascii="宋体" w:hAnsi="宋体" w:eastAsia="宋体" w:cs="宋体"/>
          <w:color w:val="auto"/>
          <w:kern w:val="0"/>
          <w:sz w:val="21"/>
          <w:szCs w:val="21"/>
          <w:lang w:val="en-US" w:eastAsia="zh-CN"/>
        </w:rPr>
        <w:t>质检部</w:t>
      </w:r>
      <w:r>
        <w:rPr>
          <w:rFonts w:hint="eastAsia" w:ascii="宋体" w:hAnsi="宋体" w:eastAsia="宋体" w:cs="宋体"/>
          <w:color w:val="auto"/>
          <w:kern w:val="0"/>
          <w:sz w:val="21"/>
          <w:szCs w:val="21"/>
        </w:rPr>
        <w:t>负责溯源。公司测量设备全部委托</w:t>
      </w:r>
      <w:r>
        <w:rPr>
          <w:rFonts w:hint="eastAsia" w:ascii="宋体" w:hAnsi="宋体" w:eastAsia="宋体" w:cs="宋体"/>
          <w:color w:val="auto"/>
          <w:kern w:val="0"/>
          <w:sz w:val="21"/>
          <w:szCs w:val="21"/>
          <w:lang w:val="en-US" w:eastAsia="zh-CN"/>
        </w:rPr>
        <w:t>广东中准检测有限公司、</w:t>
      </w:r>
      <w:r>
        <w:rPr>
          <w:rFonts w:hint="eastAsia"/>
          <w:color w:val="auto"/>
          <w:sz w:val="21"/>
          <w:szCs w:val="21"/>
          <w:lang w:val="en-US" w:eastAsia="zh-CN"/>
        </w:rPr>
        <w:t>山东博测计量检测技术有限公司</w:t>
      </w:r>
      <w:r>
        <w:rPr>
          <w:rFonts w:hint="eastAsia" w:ascii="宋体" w:hAnsi="宋体" w:eastAsia="宋体" w:cs="宋体"/>
          <w:color w:val="auto"/>
          <w:kern w:val="0"/>
          <w:sz w:val="21"/>
          <w:szCs w:val="21"/>
        </w:rPr>
        <w:t>等机构检定/校准。</w:t>
      </w:r>
      <w:r>
        <w:rPr>
          <w:rFonts w:hint="eastAsia"/>
          <w:color w:val="auto"/>
          <w:sz w:val="21"/>
          <w:szCs w:val="21"/>
        </w:rPr>
        <w:t>抽查</w:t>
      </w:r>
      <w:r>
        <w:rPr>
          <w:rFonts w:hint="eastAsia"/>
          <w:color w:val="auto"/>
          <w:sz w:val="21"/>
          <w:szCs w:val="21"/>
          <w:lang w:val="en-US" w:eastAsia="zh-CN"/>
        </w:rPr>
        <w:t>6</w:t>
      </w:r>
      <w:r>
        <w:rPr>
          <w:rFonts w:hint="eastAsia"/>
          <w:color w:val="auto"/>
          <w:sz w:val="21"/>
          <w:szCs w:val="21"/>
        </w:rPr>
        <w:t>台测量设备检定/校准证书</w:t>
      </w:r>
      <w:r>
        <w:rPr>
          <w:rFonts w:hint="eastAsia" w:ascii="宋体" w:hAnsi="宋体" w:cs="宋体"/>
          <w:color w:val="auto"/>
          <w:kern w:val="0"/>
          <w:sz w:val="21"/>
          <w:szCs w:val="21"/>
        </w:rPr>
        <w:t>量值均溯源有效，详见《测量设备溯源抽查表》。</w:t>
      </w:r>
    </w:p>
    <w:p>
      <w:pPr>
        <w:keepNext w:val="0"/>
        <w:keepLines w:val="0"/>
        <w:pageBreakBefore w:val="0"/>
        <w:widowControl/>
        <w:kinsoku/>
        <w:wordWrap/>
        <w:overflowPunct/>
        <w:topLinePunct w:val="0"/>
        <w:autoSpaceDE/>
        <w:autoSpaceDN/>
        <w:bidi w:val="0"/>
        <w:adjustRightInd/>
        <w:snapToGrid/>
        <w:spacing w:line="300" w:lineRule="auto"/>
        <w:ind w:right="-315" w:rightChars="-150"/>
        <w:textAlignment w:val="auto"/>
        <w:rPr>
          <w:b/>
          <w:bCs/>
          <w:color w:val="auto"/>
          <w:sz w:val="21"/>
          <w:szCs w:val="21"/>
        </w:rPr>
      </w:pPr>
      <w:r>
        <w:rPr>
          <w:rFonts w:hint="eastAsia"/>
          <w:b/>
          <w:bCs/>
          <w:color w:val="auto"/>
          <w:sz w:val="21"/>
          <w:szCs w:val="21"/>
        </w:rPr>
        <w:t>4.能源管理情况：</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00" w:lineRule="auto"/>
        <w:ind w:right="-315" w:rightChars="-150" w:firstLine="420" w:firstLineChars="200"/>
        <w:jc w:val="both"/>
        <w:textAlignment w:val="auto"/>
        <w:rPr>
          <w:rFonts w:ascii="宋体" w:hAnsi="宋体" w:eastAsia="宋体"/>
          <w:bCs/>
          <w:color w:val="0070C0"/>
          <w:sz w:val="21"/>
          <w:szCs w:val="21"/>
        </w:rPr>
      </w:pPr>
      <w:r>
        <w:rPr>
          <w:rFonts w:hint="eastAsia" w:ascii="宋体" w:hAnsi="宋体"/>
          <w:sz w:val="21"/>
          <w:szCs w:val="21"/>
        </w:rPr>
        <w:t>企业主要耗能</w:t>
      </w:r>
      <w:r>
        <w:rPr>
          <w:rFonts w:hint="eastAsia" w:ascii="宋体" w:hAnsi="宋体"/>
          <w:sz w:val="21"/>
          <w:szCs w:val="21"/>
          <w:lang w:val="en-US" w:eastAsia="zh-CN"/>
        </w:rPr>
        <w:t>品种</w:t>
      </w:r>
      <w:r>
        <w:rPr>
          <w:rFonts w:hint="eastAsia" w:ascii="宋体" w:hAnsi="宋体"/>
          <w:sz w:val="21"/>
          <w:szCs w:val="21"/>
        </w:rPr>
        <w:t>为</w:t>
      </w:r>
      <w:r>
        <w:rPr>
          <w:rFonts w:hint="eastAsia" w:ascii="宋体" w:hAnsi="宋体"/>
          <w:sz w:val="21"/>
          <w:szCs w:val="21"/>
          <w:lang w:val="en-US" w:eastAsia="zh-CN"/>
        </w:rPr>
        <w:t>水、</w:t>
      </w:r>
      <w:r>
        <w:rPr>
          <w:rFonts w:hint="eastAsia" w:ascii="宋体" w:hAnsi="宋体"/>
          <w:sz w:val="21"/>
          <w:szCs w:val="21"/>
        </w:rPr>
        <w:t>电；企业主要耗能</w:t>
      </w:r>
      <w:r>
        <w:rPr>
          <w:rFonts w:hint="eastAsia" w:ascii="宋体" w:hAnsi="宋体"/>
          <w:sz w:val="21"/>
          <w:szCs w:val="21"/>
          <w:lang w:val="en-US" w:eastAsia="zh-CN"/>
        </w:rPr>
        <w:t>品种</w:t>
      </w:r>
      <w:r>
        <w:rPr>
          <w:rFonts w:hint="eastAsia" w:ascii="宋体" w:hAnsi="宋体"/>
          <w:sz w:val="21"/>
          <w:szCs w:val="21"/>
        </w:rPr>
        <w:t>为</w:t>
      </w:r>
      <w:r>
        <w:rPr>
          <w:rFonts w:hint="eastAsia" w:ascii="宋体" w:hAnsi="宋体"/>
          <w:sz w:val="21"/>
          <w:szCs w:val="21"/>
          <w:lang w:val="en-US" w:eastAsia="zh-CN"/>
        </w:rPr>
        <w:t>水、</w:t>
      </w:r>
      <w:r>
        <w:rPr>
          <w:rFonts w:hint="eastAsia" w:ascii="宋体" w:hAnsi="宋体"/>
          <w:sz w:val="21"/>
          <w:szCs w:val="21"/>
        </w:rPr>
        <w:t>电；20</w:t>
      </w:r>
      <w:r>
        <w:rPr>
          <w:rFonts w:ascii="宋体" w:hAnsi="宋体"/>
          <w:sz w:val="21"/>
          <w:szCs w:val="21"/>
        </w:rPr>
        <w:t>2</w:t>
      </w:r>
      <w:r>
        <w:rPr>
          <w:rFonts w:hint="eastAsia" w:ascii="宋体" w:hAnsi="宋体"/>
          <w:sz w:val="21"/>
          <w:szCs w:val="21"/>
          <w:lang w:val="en-US" w:eastAsia="zh-CN"/>
        </w:rPr>
        <w:t>2年1月</w:t>
      </w:r>
      <w:r>
        <w:rPr>
          <w:rFonts w:hint="eastAsia" w:ascii="宋体" w:hAnsi="宋体" w:eastAsia="宋体" w:cs="宋体"/>
          <w:sz w:val="21"/>
          <w:szCs w:val="21"/>
          <w:lang w:val="en-US" w:eastAsia="zh-CN"/>
        </w:rPr>
        <w:t>～</w:t>
      </w:r>
      <w:r>
        <w:rPr>
          <w:rFonts w:hint="eastAsia" w:ascii="宋体" w:hAnsi="宋体"/>
          <w:sz w:val="21"/>
          <w:szCs w:val="21"/>
          <w:lang w:val="en-US" w:eastAsia="zh-CN"/>
        </w:rPr>
        <w:t>11月共用水1698m</w:t>
      </w:r>
      <w:r>
        <w:rPr>
          <w:rFonts w:hint="eastAsia" w:ascii="宋体" w:hAnsi="宋体" w:eastAsiaTheme="minorEastAsia"/>
          <w:sz w:val="21"/>
          <w:szCs w:val="21"/>
          <w:vertAlign w:val="superscript"/>
          <w:lang w:val="en-US" w:eastAsia="zh-CN"/>
        </w:rPr>
        <w:t>3</w:t>
      </w:r>
      <w:r>
        <w:rPr>
          <w:rFonts w:hint="eastAsia" w:ascii="宋体" w:hAnsi="宋体"/>
          <w:sz w:val="21"/>
          <w:szCs w:val="21"/>
          <w:lang w:val="en-US" w:eastAsia="zh-CN"/>
        </w:rPr>
        <w:t>，用电10.82万度。折合13.8</w:t>
      </w:r>
      <w:r>
        <w:rPr>
          <w:rFonts w:hint="eastAsia" w:ascii="宋体" w:hAnsi="宋体"/>
          <w:sz w:val="21"/>
          <w:szCs w:val="21"/>
        </w:rPr>
        <w:t>吨标煤</w:t>
      </w:r>
      <w:r>
        <w:rPr>
          <w:rFonts w:hint="eastAsia" w:ascii="宋体" w:hAnsi="宋体"/>
          <w:sz w:val="21"/>
          <w:szCs w:val="21"/>
          <w:lang w:eastAsia="zh-CN"/>
        </w:rPr>
        <w:t>。</w:t>
      </w:r>
      <w:r>
        <w:rPr>
          <w:rFonts w:hint="eastAsia" w:ascii="宋体" w:hAnsi="宋体"/>
          <w:sz w:val="21"/>
          <w:szCs w:val="21"/>
          <w:lang w:val="en-US" w:eastAsia="zh-CN"/>
        </w:rPr>
        <w:t>企业</w:t>
      </w:r>
      <w:r>
        <w:rPr>
          <w:rFonts w:hint="eastAsia" w:ascii="宋体" w:hAnsi="宋体"/>
          <w:sz w:val="21"/>
          <w:szCs w:val="21"/>
        </w:rPr>
        <w:t>不是重点</w:t>
      </w:r>
      <w:r>
        <w:rPr>
          <w:rFonts w:hint="eastAsia" w:ascii="宋体" w:hAnsi="宋体"/>
          <w:sz w:val="21"/>
          <w:szCs w:val="21"/>
          <w:lang w:val="en-US" w:eastAsia="zh-CN"/>
        </w:rPr>
        <w:t>用</w:t>
      </w:r>
      <w:r>
        <w:rPr>
          <w:rFonts w:hint="eastAsia" w:ascii="宋体" w:hAnsi="宋体"/>
          <w:sz w:val="21"/>
          <w:szCs w:val="21"/>
        </w:rPr>
        <w:t>能企业。</w:t>
      </w:r>
      <w:r>
        <w:rPr>
          <w:rFonts w:hint="eastAsia" w:ascii="宋体" w:hAnsi="宋体"/>
          <w:sz w:val="21"/>
          <w:szCs w:val="21"/>
          <w:lang w:val="en-US" w:eastAsia="zh-CN"/>
        </w:rPr>
        <w:t>企管部按月与自来水公司、电力公司结算。</w:t>
      </w:r>
    </w:p>
    <w:p>
      <w:pPr>
        <w:keepNext w:val="0"/>
        <w:keepLines w:val="0"/>
        <w:pageBreakBefore w:val="0"/>
        <w:widowControl/>
        <w:kinsoku/>
        <w:wordWrap/>
        <w:overflowPunct/>
        <w:topLinePunct w:val="0"/>
        <w:autoSpaceDE/>
        <w:autoSpaceDN/>
        <w:bidi w:val="0"/>
        <w:adjustRightInd/>
        <w:snapToGrid/>
        <w:spacing w:line="300" w:lineRule="auto"/>
        <w:ind w:right="-315" w:rightChars="-150"/>
        <w:textAlignment w:val="auto"/>
        <w:rPr>
          <w:rFonts w:cs="宋体" w:asciiTheme="minorEastAsia" w:hAnsiTheme="minorEastAsia"/>
          <w:color w:val="0070C0"/>
          <w:kern w:val="0"/>
          <w:sz w:val="21"/>
          <w:szCs w:val="21"/>
        </w:rPr>
      </w:pPr>
      <w:r>
        <w:rPr>
          <w:rFonts w:hint="eastAsia" w:asciiTheme="minorEastAsia" w:hAnsiTheme="minorEastAsia"/>
          <w:b/>
          <w:bCs w:val="0"/>
          <w:color w:val="auto"/>
          <w:sz w:val="21"/>
          <w:szCs w:val="21"/>
        </w:rPr>
        <w:t>5.对认证审核时提出的的不符合项的纠正措施情况有表述</w:t>
      </w:r>
      <w:r>
        <w:rPr>
          <w:rFonts w:cs="宋体" w:asciiTheme="minorEastAsia" w:hAnsiTheme="minorEastAsia"/>
          <w:b/>
          <w:bCs w:val="0"/>
          <w:color w:val="auto"/>
          <w:kern w:val="0"/>
          <w:sz w:val="21"/>
          <w:szCs w:val="21"/>
        </w:rPr>
        <w:t>：</w:t>
      </w:r>
      <w:r>
        <w:rPr>
          <w:rFonts w:cs="宋体" w:asciiTheme="minorEastAsia" w:hAnsiTheme="minorEastAsia"/>
          <w:color w:val="0070C0"/>
          <w:kern w:val="0"/>
          <w:sz w:val="21"/>
          <w:szCs w:val="21"/>
        </w:rPr>
        <w:t> </w:t>
      </w:r>
    </w:p>
    <w:p>
      <w:pPr>
        <w:keepNext w:val="0"/>
        <w:keepLines w:val="0"/>
        <w:pageBreakBefore w:val="0"/>
        <w:kinsoku/>
        <w:wordWrap/>
        <w:overflowPunct/>
        <w:topLinePunct w:val="0"/>
        <w:autoSpaceDE/>
        <w:autoSpaceDN/>
        <w:bidi w:val="0"/>
        <w:adjustRightInd/>
        <w:snapToGrid/>
        <w:spacing w:line="300" w:lineRule="auto"/>
        <w:ind w:right="-315" w:rightChars="-150" w:firstLine="420" w:firstLineChars="200"/>
        <w:textAlignment w:val="auto"/>
        <w:rPr>
          <w:rFonts w:ascii="宋体" w:hAnsi="宋体" w:cs="宋体"/>
          <w:bCs/>
          <w:color w:val="auto"/>
          <w:kern w:val="0"/>
          <w:sz w:val="21"/>
          <w:szCs w:val="21"/>
        </w:rPr>
      </w:pPr>
      <w:r>
        <w:rPr>
          <w:rFonts w:hint="eastAsia" w:ascii="宋体" w:hAnsi="宋体" w:cs="宋体"/>
          <w:bCs/>
          <w:color w:val="auto"/>
          <w:kern w:val="0"/>
          <w:sz w:val="21"/>
          <w:szCs w:val="21"/>
        </w:rPr>
        <w:t>查20</w:t>
      </w:r>
      <w:r>
        <w:rPr>
          <w:rFonts w:hint="eastAsia" w:ascii="宋体" w:hAnsi="宋体" w:cs="宋体"/>
          <w:bCs/>
          <w:color w:val="auto"/>
          <w:kern w:val="0"/>
          <w:sz w:val="21"/>
          <w:szCs w:val="21"/>
          <w:lang w:val="en-US" w:eastAsia="zh-CN"/>
        </w:rPr>
        <w:t>21</w:t>
      </w:r>
      <w:r>
        <w:rPr>
          <w:rFonts w:hint="eastAsia" w:ascii="宋体" w:hAnsi="宋体" w:cs="宋体"/>
          <w:bCs/>
          <w:color w:val="auto"/>
          <w:kern w:val="0"/>
          <w:sz w:val="21"/>
          <w:szCs w:val="21"/>
        </w:rPr>
        <w:t>年</w:t>
      </w:r>
      <w:r>
        <w:rPr>
          <w:rFonts w:hint="eastAsia" w:ascii="宋体" w:hAnsi="宋体" w:cs="宋体"/>
          <w:bCs/>
          <w:color w:val="auto"/>
          <w:kern w:val="0"/>
          <w:sz w:val="21"/>
          <w:szCs w:val="21"/>
          <w:lang w:val="en-US" w:eastAsia="zh-CN"/>
        </w:rPr>
        <w:t>初次认证审核时</w:t>
      </w:r>
      <w:r>
        <w:rPr>
          <w:rFonts w:hint="eastAsia" w:ascii="宋体" w:hAnsi="宋体" w:cs="宋体"/>
          <w:bCs/>
          <w:color w:val="auto"/>
          <w:kern w:val="0"/>
          <w:sz w:val="21"/>
          <w:szCs w:val="21"/>
        </w:rPr>
        <w:t>开出了</w:t>
      </w:r>
      <w:r>
        <w:rPr>
          <w:rFonts w:hint="eastAsia" w:ascii="宋体" w:hAnsi="宋体" w:cs="宋体"/>
          <w:bCs/>
          <w:color w:val="auto"/>
          <w:kern w:val="0"/>
          <w:sz w:val="21"/>
          <w:szCs w:val="21"/>
          <w:lang w:val="en-US" w:eastAsia="zh-CN"/>
        </w:rPr>
        <w:t>1</w:t>
      </w:r>
      <w:r>
        <w:rPr>
          <w:rFonts w:hint="eastAsia" w:ascii="宋体" w:hAnsi="宋体" w:cs="宋体"/>
          <w:bCs/>
          <w:color w:val="auto"/>
          <w:kern w:val="0"/>
          <w:sz w:val="21"/>
          <w:szCs w:val="21"/>
        </w:rPr>
        <w:t>项不符合项报告：</w:t>
      </w:r>
      <w:r>
        <w:rPr>
          <w:rFonts w:hint="eastAsia"/>
          <w:color w:val="auto"/>
          <w:sz w:val="21"/>
          <w:szCs w:val="21"/>
          <w:lang w:val="en-US" w:eastAsia="zh-CN"/>
        </w:rPr>
        <w:t>抽查质检部提供的</w:t>
      </w:r>
      <w:r>
        <w:rPr>
          <w:rFonts w:hint="eastAsia"/>
          <w:color w:val="auto"/>
          <w:sz w:val="21"/>
          <w:szCs w:val="21"/>
        </w:rPr>
        <w:t>JL8.</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06出厂</w:t>
      </w:r>
      <w:r>
        <w:rPr>
          <w:rFonts w:hint="eastAsia"/>
          <w:color w:val="auto"/>
          <w:sz w:val="21"/>
          <w:szCs w:val="21"/>
        </w:rPr>
        <w:t>检验记录，</w:t>
      </w:r>
      <w:r>
        <w:rPr>
          <w:rFonts w:hint="eastAsia"/>
          <w:color w:val="auto"/>
          <w:sz w:val="21"/>
          <w:szCs w:val="21"/>
          <w:lang w:eastAsia="zh-CN"/>
        </w:rPr>
        <w:t>没有标明记录保存期限</w:t>
      </w:r>
      <w:r>
        <w:rPr>
          <w:rFonts w:hint="eastAsia"/>
          <w:color w:val="auto"/>
          <w:sz w:val="21"/>
          <w:szCs w:val="21"/>
          <w:lang w:val="en-US" w:eastAsia="zh-CN"/>
        </w:rPr>
        <w:t>等信息</w:t>
      </w:r>
      <w:r>
        <w:rPr>
          <w:rFonts w:hint="eastAsia"/>
          <w:color w:val="auto"/>
          <w:sz w:val="21"/>
          <w:szCs w:val="21"/>
          <w:lang w:eastAsia="zh-CN"/>
        </w:rPr>
        <w:t>，不符合</w:t>
      </w:r>
      <w:r>
        <w:rPr>
          <w:rFonts w:hint="eastAsia"/>
          <w:color w:val="auto"/>
          <w:sz w:val="21"/>
          <w:szCs w:val="21"/>
        </w:rPr>
        <w:t>GB/T19022-2003标准6.</w:t>
      </w:r>
      <w:r>
        <w:rPr>
          <w:rFonts w:hint="eastAsia"/>
          <w:color w:val="auto"/>
          <w:sz w:val="21"/>
          <w:szCs w:val="21"/>
          <w:lang w:val="en-US" w:eastAsia="zh-CN"/>
        </w:rPr>
        <w:t>2</w:t>
      </w:r>
      <w:r>
        <w:rPr>
          <w:rFonts w:hint="eastAsia"/>
          <w:color w:val="auto"/>
          <w:sz w:val="21"/>
          <w:szCs w:val="21"/>
        </w:rPr>
        <w:t>.</w:t>
      </w:r>
      <w:r>
        <w:rPr>
          <w:rFonts w:hint="eastAsia"/>
          <w:color w:val="auto"/>
          <w:sz w:val="21"/>
          <w:szCs w:val="21"/>
          <w:lang w:val="en-US" w:eastAsia="zh-CN"/>
        </w:rPr>
        <w:t xml:space="preserve">3 记录 </w:t>
      </w:r>
      <w:r>
        <w:rPr>
          <w:rFonts w:hint="eastAsia"/>
          <w:color w:val="auto"/>
          <w:sz w:val="21"/>
          <w:szCs w:val="21"/>
        </w:rPr>
        <w:t>条款的</w:t>
      </w:r>
      <w:r>
        <w:rPr>
          <w:rFonts w:hint="eastAsia"/>
          <w:color w:val="auto"/>
          <w:sz w:val="21"/>
          <w:szCs w:val="21"/>
          <w:lang w:val="en-US" w:eastAsia="zh-CN"/>
        </w:rPr>
        <w:t>规定</w:t>
      </w:r>
      <w:r>
        <w:rPr>
          <w:rFonts w:hint="eastAsia"/>
          <w:color w:val="auto"/>
          <w:sz w:val="21"/>
          <w:szCs w:val="21"/>
        </w:rPr>
        <w:t>要求</w:t>
      </w:r>
      <w:r>
        <w:rPr>
          <w:rFonts w:hint="eastAsia"/>
          <w:color w:val="auto"/>
          <w:sz w:val="21"/>
          <w:szCs w:val="21"/>
          <w:lang w:eastAsia="zh-CN"/>
        </w:rPr>
        <w:t>。</w:t>
      </w:r>
    </w:p>
    <w:p>
      <w:pPr>
        <w:keepNext w:val="0"/>
        <w:keepLines w:val="0"/>
        <w:pageBreakBefore w:val="0"/>
        <w:widowControl/>
        <w:kinsoku/>
        <w:wordWrap/>
        <w:overflowPunct/>
        <w:topLinePunct w:val="0"/>
        <w:autoSpaceDE/>
        <w:autoSpaceDN/>
        <w:bidi w:val="0"/>
        <w:adjustRightInd/>
        <w:snapToGrid/>
        <w:spacing w:line="300" w:lineRule="auto"/>
        <w:ind w:right="-315" w:rightChars="-150" w:firstLine="420" w:firstLineChars="200"/>
        <w:jc w:val="left"/>
        <w:textAlignment w:val="auto"/>
        <w:rPr>
          <w:rFonts w:hint="eastAsia" w:ascii="宋体" w:hAnsi="宋体" w:cs="宋体"/>
          <w:bCs/>
          <w:color w:val="auto"/>
          <w:kern w:val="0"/>
          <w:sz w:val="21"/>
          <w:szCs w:val="21"/>
        </w:rPr>
      </w:pPr>
      <w:r>
        <w:rPr>
          <w:rFonts w:hint="eastAsia" w:ascii="宋体" w:hAnsi="宋体" w:cs="宋体"/>
          <w:bCs/>
          <w:color w:val="auto"/>
          <w:kern w:val="0"/>
          <w:sz w:val="21"/>
          <w:szCs w:val="21"/>
        </w:rPr>
        <w:t>企业对不符合</w:t>
      </w:r>
      <w:r>
        <w:rPr>
          <w:rFonts w:hint="eastAsia" w:ascii="宋体" w:hAnsi="宋体" w:cs="宋体"/>
          <w:bCs/>
          <w:color w:val="auto"/>
          <w:kern w:val="0"/>
          <w:sz w:val="21"/>
          <w:szCs w:val="21"/>
          <w:lang w:val="en-US" w:eastAsia="zh-CN"/>
        </w:rPr>
        <w:t>组织相关部门制定并实施了纠正措施：</w:t>
      </w:r>
      <w:r>
        <w:rPr>
          <w:rFonts w:hint="eastAsia" w:ascii="宋体" w:hAnsi="宋体" w:cs="宋体"/>
          <w:color w:val="auto"/>
          <w:kern w:val="0"/>
          <w:sz w:val="21"/>
          <w:szCs w:val="21"/>
          <w:lang w:val="en-US" w:eastAsia="zh-CN"/>
        </w:rPr>
        <w:t>1）对</w:t>
      </w:r>
      <w:r>
        <w:rPr>
          <w:rFonts w:hint="eastAsia" w:ascii="宋体" w:hAnsi="宋体" w:eastAsia="宋体" w:cs="Times New Roman"/>
          <w:color w:val="auto"/>
          <w:szCs w:val="21"/>
          <w:shd w:val="clear" w:color="auto" w:fill="auto"/>
        </w:rPr>
        <w:t>JL8.</w:t>
      </w:r>
      <w:r>
        <w:rPr>
          <w:rFonts w:hint="eastAsia" w:ascii="宋体" w:hAnsi="宋体" w:eastAsia="宋体" w:cs="Times New Roman"/>
          <w:color w:val="auto"/>
          <w:szCs w:val="21"/>
          <w:shd w:val="clear" w:color="auto" w:fill="auto"/>
          <w:lang w:val="en-US" w:eastAsia="zh-CN"/>
        </w:rPr>
        <w:t>5</w:t>
      </w:r>
      <w:r>
        <w:rPr>
          <w:rFonts w:hint="eastAsia" w:ascii="宋体" w:hAnsi="宋体" w:eastAsia="宋体" w:cs="Times New Roman"/>
          <w:color w:val="auto"/>
          <w:szCs w:val="21"/>
          <w:shd w:val="clear" w:color="auto" w:fill="auto"/>
        </w:rPr>
        <w:t>-</w:t>
      </w:r>
      <w:r>
        <w:rPr>
          <w:rFonts w:hint="eastAsia" w:ascii="宋体" w:hAnsi="宋体" w:eastAsia="宋体" w:cs="Times New Roman"/>
          <w:color w:val="auto"/>
          <w:szCs w:val="21"/>
          <w:shd w:val="clear" w:color="auto" w:fill="auto"/>
          <w:lang w:val="en-US" w:eastAsia="zh-CN"/>
        </w:rPr>
        <w:t>06</w:t>
      </w:r>
      <w:r>
        <w:rPr>
          <w:rFonts w:hint="eastAsia" w:ascii="宋体"/>
          <w:color w:val="auto"/>
          <w:sz w:val="21"/>
          <w:szCs w:val="21"/>
          <w:lang w:eastAsia="zh-CN"/>
        </w:rPr>
        <w:t>进货</w:t>
      </w:r>
      <w:r>
        <w:rPr>
          <w:rFonts w:hint="eastAsia" w:ascii="宋体"/>
          <w:color w:val="auto"/>
          <w:sz w:val="21"/>
          <w:szCs w:val="21"/>
        </w:rPr>
        <w:t>检验记录</w:t>
      </w:r>
      <w:r>
        <w:rPr>
          <w:rFonts w:hint="eastAsia" w:ascii="宋体"/>
          <w:color w:val="auto"/>
          <w:sz w:val="21"/>
          <w:szCs w:val="21"/>
          <w:lang w:val="en-US" w:eastAsia="zh-CN"/>
        </w:rPr>
        <w:t>进行修改，</w:t>
      </w:r>
      <w:r>
        <w:rPr>
          <w:rFonts w:hint="eastAsia" w:ascii="宋体"/>
          <w:color w:val="auto"/>
          <w:sz w:val="21"/>
          <w:szCs w:val="21"/>
          <w:lang w:eastAsia="zh-CN"/>
        </w:rPr>
        <w:t>标明记录保存期限</w:t>
      </w:r>
      <w:r>
        <w:rPr>
          <w:rFonts w:hint="eastAsia" w:ascii="宋体"/>
          <w:color w:val="auto"/>
          <w:sz w:val="21"/>
          <w:szCs w:val="21"/>
          <w:lang w:val="en-US" w:eastAsia="zh-CN"/>
        </w:rPr>
        <w:t>五年；</w:t>
      </w:r>
      <w:r>
        <w:rPr>
          <w:rFonts w:hint="eastAsia" w:ascii="宋体" w:hAnsi="宋体" w:cs="宋体"/>
          <w:color w:val="auto"/>
          <w:kern w:val="0"/>
          <w:sz w:val="21"/>
          <w:szCs w:val="21"/>
          <w:lang w:val="en-US" w:eastAsia="zh-CN"/>
        </w:rPr>
        <w:t>2）检查公司其它记录，避免类似情况再发生</w:t>
      </w:r>
      <w:r>
        <w:rPr>
          <w:rFonts w:hint="eastAsia" w:ascii="宋体" w:hAnsi="宋体" w:cs="宋体"/>
          <w:bCs/>
          <w:color w:val="auto"/>
          <w:kern w:val="0"/>
          <w:sz w:val="21"/>
          <w:szCs w:val="21"/>
        </w:rPr>
        <w:t>。验证该不符合项纠正措施有效，同意关闭。</w:t>
      </w:r>
    </w:p>
    <w:p>
      <w:pPr>
        <w:pStyle w:val="2"/>
        <w:keepNext w:val="0"/>
        <w:keepLines w:val="0"/>
        <w:pageBreakBefore w:val="0"/>
        <w:widowControl w:val="0"/>
        <w:kinsoku/>
        <w:wordWrap/>
        <w:overflowPunct/>
        <w:topLinePunct w:val="0"/>
        <w:autoSpaceDE/>
        <w:autoSpaceDN/>
        <w:bidi w:val="0"/>
        <w:adjustRightInd/>
        <w:snapToGrid w:val="0"/>
        <w:spacing w:after="157" w:afterLines="50" w:line="300" w:lineRule="auto"/>
        <w:ind w:right="-315" w:rightChars="-150"/>
        <w:textAlignment w:val="auto"/>
        <w:rPr>
          <w:rFonts w:hint="default" w:eastAsiaTheme="minorEastAsia"/>
          <w:b w:val="0"/>
          <w:bCs w:val="0"/>
          <w:sz w:val="21"/>
          <w:szCs w:val="21"/>
          <w:lang w:val="en-US" w:eastAsia="zh-CN"/>
        </w:rPr>
      </w:pPr>
      <w:r>
        <w:rPr>
          <w:rFonts w:hint="eastAsia" w:ascii="宋体" w:hAnsi="宋体" w:cs="宋体"/>
          <w:bCs/>
          <w:color w:val="auto"/>
          <w:kern w:val="0"/>
          <w:sz w:val="21"/>
          <w:szCs w:val="21"/>
          <w:lang w:val="en-US" w:eastAsia="zh-CN"/>
        </w:rPr>
        <w:t xml:space="preserve">   本次审核监督审核开具1项不符合项（编号</w:t>
      </w:r>
      <w:bookmarkStart w:id="13" w:name="_GoBack"/>
      <w:bookmarkEnd w:id="13"/>
      <w:r>
        <w:rPr>
          <w:rFonts w:hint="eastAsia" w:ascii="宋体" w:hAnsi="宋体" w:cs="宋体"/>
          <w:bCs/>
          <w:color w:val="auto"/>
          <w:kern w:val="0"/>
          <w:sz w:val="21"/>
          <w:szCs w:val="21"/>
          <w:lang w:val="en-US" w:eastAsia="zh-CN"/>
        </w:rPr>
        <w:t>2020020601）：</w:t>
      </w:r>
      <w:r>
        <w:rPr>
          <w:rFonts w:hint="eastAsia"/>
          <w:b/>
          <w:bCs/>
          <w:sz w:val="21"/>
          <w:szCs w:val="21"/>
          <w:lang w:val="en-US" w:eastAsia="zh-CN"/>
        </w:rPr>
        <w:t xml:space="preserve"> </w:t>
      </w:r>
      <w:r>
        <w:rPr>
          <w:rFonts w:hint="eastAsia"/>
          <w:b w:val="0"/>
          <w:bCs w:val="0"/>
          <w:sz w:val="21"/>
          <w:szCs w:val="21"/>
          <w:lang w:val="en-US" w:eastAsia="zh-CN"/>
        </w:rPr>
        <w:t>企管部</w:t>
      </w:r>
      <w:r>
        <w:rPr>
          <w:rFonts w:hint="eastAsia" w:ascii="宋体" w:hAnsi="宋体" w:cs="Arial"/>
          <w:b w:val="0"/>
          <w:bCs w:val="0"/>
          <w:color w:val="000000"/>
          <w:kern w:val="0"/>
          <w:sz w:val="21"/>
          <w:szCs w:val="21"/>
        </w:rPr>
        <w:t>编号</w:t>
      </w:r>
      <w:r>
        <w:rPr>
          <w:rFonts w:hint="eastAsia" w:ascii="宋体" w:hAnsi="宋体" w:cs="Arial"/>
          <w:b w:val="0"/>
          <w:bCs w:val="0"/>
          <w:color w:val="000000"/>
          <w:kern w:val="0"/>
          <w:sz w:val="21"/>
          <w:szCs w:val="21"/>
          <w:lang w:val="en-US" w:eastAsia="zh-CN"/>
        </w:rPr>
        <w:t>为</w:t>
      </w:r>
      <w:r>
        <w:rPr>
          <w:rFonts w:hint="eastAsia"/>
          <w:b w:val="0"/>
          <w:bCs w:val="0"/>
          <w:sz w:val="21"/>
          <w:szCs w:val="21"/>
        </w:rPr>
        <w:t>SC/JG-202</w:t>
      </w:r>
      <w:r>
        <w:rPr>
          <w:rFonts w:hint="eastAsia"/>
          <w:b w:val="0"/>
          <w:bCs w:val="0"/>
          <w:sz w:val="21"/>
          <w:szCs w:val="21"/>
          <w:lang w:val="en-US" w:eastAsia="zh-CN"/>
        </w:rPr>
        <w:t>的测量管理体系手册（A/0版）职能分配表中6.2.2软件管理职责为质检部，实际的管理职责为技术部。不符合GB/T19022-2003标准6.2.1程序的要求。详见《不符合项报告》。</w:t>
      </w:r>
    </w:p>
    <w:p>
      <w:pPr>
        <w:keepNext w:val="0"/>
        <w:keepLines w:val="0"/>
        <w:pageBreakBefore w:val="0"/>
        <w:widowControl/>
        <w:numPr>
          <w:ilvl w:val="0"/>
          <w:numId w:val="1"/>
        </w:numPr>
        <w:kinsoku/>
        <w:wordWrap/>
        <w:overflowPunct/>
        <w:topLinePunct w:val="0"/>
        <w:autoSpaceDE/>
        <w:autoSpaceDN/>
        <w:bidi w:val="0"/>
        <w:adjustRightInd/>
        <w:snapToGrid/>
        <w:spacing w:line="300" w:lineRule="auto"/>
        <w:ind w:right="-315" w:rightChars="-150"/>
        <w:textAlignment w:val="auto"/>
        <w:rPr>
          <w:rFonts w:cs="宋体" w:asciiTheme="minorEastAsia" w:hAnsiTheme="minorEastAsia"/>
          <w:b/>
          <w:bCs/>
          <w:color w:val="auto"/>
          <w:kern w:val="0"/>
          <w:sz w:val="21"/>
          <w:szCs w:val="21"/>
        </w:rPr>
      </w:pPr>
      <w:r>
        <w:rPr>
          <w:rFonts w:hint="eastAsia" w:cs="宋体" w:asciiTheme="minorEastAsia" w:hAnsiTheme="minorEastAsia"/>
          <w:b/>
          <w:bCs/>
          <w:color w:val="auto"/>
          <w:kern w:val="0"/>
          <w:sz w:val="21"/>
          <w:szCs w:val="21"/>
        </w:rPr>
        <w:t>对</w:t>
      </w:r>
      <w:r>
        <w:rPr>
          <w:rFonts w:hint="eastAsia" w:asciiTheme="minorEastAsia" w:hAnsiTheme="minorEastAsia"/>
          <w:b/>
          <w:bCs/>
          <w:color w:val="auto"/>
          <w:sz w:val="21"/>
          <w:szCs w:val="21"/>
        </w:rPr>
        <w:t>投诉的处理</w:t>
      </w:r>
      <w:r>
        <w:rPr>
          <w:rFonts w:cs="宋体" w:asciiTheme="minorEastAsia" w:hAnsiTheme="minorEastAsia"/>
          <w:b/>
          <w:bCs/>
          <w:color w:val="auto"/>
          <w:kern w:val="0"/>
          <w:sz w:val="21"/>
          <w:szCs w:val="21"/>
        </w:rPr>
        <w:t>情况：</w:t>
      </w:r>
    </w:p>
    <w:p>
      <w:pPr>
        <w:keepNext w:val="0"/>
        <w:keepLines w:val="0"/>
        <w:pageBreakBefore w:val="0"/>
        <w:widowControl/>
        <w:kinsoku/>
        <w:wordWrap/>
        <w:overflowPunct/>
        <w:topLinePunct w:val="0"/>
        <w:autoSpaceDE/>
        <w:autoSpaceDN/>
        <w:bidi w:val="0"/>
        <w:adjustRightInd/>
        <w:snapToGrid/>
        <w:spacing w:after="157" w:afterLines="50" w:line="300" w:lineRule="auto"/>
        <w:ind w:right="-315" w:rightChars="-150" w:firstLine="420" w:firstLineChars="200"/>
        <w:textAlignment w:val="auto"/>
        <w:rPr>
          <w:rFonts w:ascii="宋体" w:hAnsi="宋体" w:cs="宋体"/>
          <w:bCs/>
          <w:color w:val="auto"/>
          <w:kern w:val="0"/>
          <w:sz w:val="21"/>
          <w:szCs w:val="21"/>
        </w:rPr>
      </w:pPr>
      <w:r>
        <w:rPr>
          <w:rFonts w:hint="eastAsia" w:cs="宋体" w:asciiTheme="minorEastAsia" w:hAnsiTheme="minorEastAsia"/>
          <w:bCs/>
          <w:color w:val="auto"/>
          <w:kern w:val="0"/>
          <w:sz w:val="21"/>
          <w:szCs w:val="21"/>
        </w:rPr>
        <w:t>企业202</w:t>
      </w:r>
      <w:r>
        <w:rPr>
          <w:rFonts w:hint="eastAsia" w:cs="宋体" w:asciiTheme="minorEastAsia" w:hAnsiTheme="minorEastAsia"/>
          <w:bCs/>
          <w:color w:val="auto"/>
          <w:kern w:val="0"/>
          <w:sz w:val="21"/>
          <w:szCs w:val="21"/>
          <w:lang w:val="en-US" w:eastAsia="zh-CN"/>
        </w:rPr>
        <w:t>2</w:t>
      </w:r>
      <w:r>
        <w:rPr>
          <w:rFonts w:hint="eastAsia" w:cs="宋体" w:asciiTheme="minorEastAsia" w:hAnsiTheme="minorEastAsia"/>
          <w:bCs/>
          <w:color w:val="auto"/>
          <w:kern w:val="0"/>
          <w:sz w:val="21"/>
          <w:szCs w:val="21"/>
        </w:rPr>
        <w:t>年</w:t>
      </w:r>
      <w:r>
        <w:rPr>
          <w:rFonts w:hint="eastAsia" w:cs="宋体" w:asciiTheme="minorEastAsia" w:hAnsiTheme="minorEastAsia"/>
          <w:bCs/>
          <w:color w:val="auto"/>
          <w:kern w:val="0"/>
          <w:sz w:val="21"/>
          <w:szCs w:val="21"/>
          <w:lang w:val="en-US" w:eastAsia="zh-CN"/>
        </w:rPr>
        <w:t>1月至今，</w:t>
      </w:r>
      <w:r>
        <w:rPr>
          <w:rFonts w:hint="eastAsia" w:cs="宋体" w:asciiTheme="minorEastAsia" w:hAnsiTheme="minorEastAsia"/>
          <w:bCs/>
          <w:color w:val="auto"/>
          <w:kern w:val="0"/>
          <w:sz w:val="21"/>
          <w:szCs w:val="21"/>
        </w:rPr>
        <w:t>未有顾客的投诉。</w:t>
      </w:r>
      <w:r>
        <w:rPr>
          <w:rFonts w:hint="eastAsia"/>
          <w:bCs/>
          <w:color w:val="auto"/>
          <w:sz w:val="21"/>
          <w:szCs w:val="21"/>
        </w:rPr>
        <w:t>企业未有</w:t>
      </w:r>
      <w:r>
        <w:rPr>
          <w:rFonts w:ascii="宋体" w:hAnsi="宋体" w:cs="宋体"/>
          <w:bCs/>
          <w:color w:val="auto"/>
          <w:kern w:val="0"/>
          <w:sz w:val="21"/>
          <w:szCs w:val="21"/>
        </w:rPr>
        <w:t>违反法律</w:t>
      </w:r>
      <w:r>
        <w:rPr>
          <w:rFonts w:hint="eastAsia" w:ascii="宋体" w:hAnsi="宋体" w:cs="宋体"/>
          <w:bCs/>
          <w:color w:val="auto"/>
          <w:kern w:val="0"/>
          <w:sz w:val="21"/>
          <w:szCs w:val="21"/>
        </w:rPr>
        <w:t>、</w:t>
      </w:r>
      <w:r>
        <w:rPr>
          <w:rFonts w:ascii="宋体" w:hAnsi="宋体" w:cs="宋体"/>
          <w:bCs/>
          <w:color w:val="auto"/>
          <w:kern w:val="0"/>
          <w:sz w:val="21"/>
          <w:szCs w:val="21"/>
        </w:rPr>
        <w:t>法规</w:t>
      </w:r>
      <w:r>
        <w:rPr>
          <w:rFonts w:hint="eastAsia" w:ascii="宋体" w:hAnsi="宋体" w:cs="宋体"/>
          <w:bCs/>
          <w:color w:val="auto"/>
          <w:kern w:val="0"/>
          <w:sz w:val="21"/>
          <w:szCs w:val="21"/>
        </w:rPr>
        <w:t>问题和产品质量问题的投诉或</w:t>
      </w:r>
      <w:r>
        <w:rPr>
          <w:rFonts w:ascii="宋体" w:hAnsi="宋体" w:cs="宋体"/>
          <w:bCs/>
          <w:color w:val="auto"/>
          <w:kern w:val="0"/>
          <w:sz w:val="21"/>
          <w:szCs w:val="21"/>
        </w:rPr>
        <w:t>重大</w:t>
      </w:r>
      <w:r>
        <w:rPr>
          <w:rFonts w:hint="eastAsia" w:ascii="宋体" w:hAnsi="宋体" w:cs="宋体"/>
          <w:bCs/>
          <w:color w:val="auto"/>
          <w:kern w:val="0"/>
          <w:sz w:val="21"/>
          <w:szCs w:val="21"/>
        </w:rPr>
        <w:t>质量</w:t>
      </w:r>
      <w:r>
        <w:rPr>
          <w:rFonts w:ascii="宋体" w:hAnsi="宋体" w:cs="宋体"/>
          <w:bCs/>
          <w:color w:val="auto"/>
          <w:kern w:val="0"/>
          <w:sz w:val="21"/>
          <w:szCs w:val="21"/>
        </w:rPr>
        <w:t>事故</w:t>
      </w:r>
      <w:r>
        <w:rPr>
          <w:rFonts w:hint="eastAsia" w:ascii="宋体" w:hAnsi="宋体" w:cs="宋体"/>
          <w:bCs/>
          <w:color w:val="auto"/>
          <w:kern w:val="0"/>
          <w:sz w:val="21"/>
          <w:szCs w:val="21"/>
        </w:rPr>
        <w:t>发生。</w:t>
      </w:r>
    </w:p>
    <w:p>
      <w:pPr>
        <w:keepNext w:val="0"/>
        <w:keepLines w:val="0"/>
        <w:pageBreakBefore w:val="0"/>
        <w:widowControl/>
        <w:numPr>
          <w:ilvl w:val="0"/>
          <w:numId w:val="1"/>
        </w:numPr>
        <w:kinsoku/>
        <w:wordWrap/>
        <w:overflowPunct/>
        <w:topLinePunct w:val="0"/>
        <w:autoSpaceDE/>
        <w:autoSpaceDN/>
        <w:bidi w:val="0"/>
        <w:adjustRightInd/>
        <w:snapToGrid/>
        <w:spacing w:line="300" w:lineRule="auto"/>
        <w:ind w:right="-315" w:rightChars="-150"/>
        <w:textAlignment w:val="auto"/>
        <w:rPr>
          <w:rFonts w:cs="宋体" w:asciiTheme="minorEastAsia" w:hAnsiTheme="minorEastAsia"/>
          <w:bCs/>
          <w:color w:val="auto"/>
          <w:kern w:val="0"/>
          <w:sz w:val="21"/>
          <w:szCs w:val="21"/>
        </w:rPr>
      </w:pPr>
      <w:r>
        <w:rPr>
          <w:rFonts w:hint="eastAsia" w:asciiTheme="minorEastAsia" w:hAnsiTheme="minorEastAsia"/>
          <w:b/>
          <w:bCs w:val="0"/>
          <w:color w:val="auto"/>
          <w:sz w:val="21"/>
          <w:szCs w:val="21"/>
        </w:rPr>
        <w:t>测量管理体系在实现获证客户目标方面的有效性及持续的运作控制</w:t>
      </w:r>
      <w:r>
        <w:rPr>
          <w:rFonts w:cs="宋体" w:asciiTheme="minorEastAsia" w:hAnsiTheme="minorEastAsia"/>
          <w:b/>
          <w:bCs w:val="0"/>
          <w:color w:val="auto"/>
          <w:kern w:val="0"/>
          <w:sz w:val="21"/>
          <w:szCs w:val="21"/>
        </w:rPr>
        <w:t>情况</w:t>
      </w:r>
      <w:r>
        <w:rPr>
          <w:rFonts w:cs="宋体" w:asciiTheme="minorEastAsia" w:hAnsiTheme="minorEastAsia"/>
          <w:bCs/>
          <w:color w:val="auto"/>
          <w:kern w:val="0"/>
          <w:sz w:val="21"/>
          <w:szCs w:val="21"/>
        </w:rPr>
        <w:t>：</w:t>
      </w:r>
    </w:p>
    <w:p>
      <w:pPr>
        <w:keepNext w:val="0"/>
        <w:keepLines w:val="0"/>
        <w:pageBreakBefore w:val="0"/>
        <w:kinsoku/>
        <w:wordWrap/>
        <w:overflowPunct/>
        <w:topLinePunct w:val="0"/>
        <w:autoSpaceDE/>
        <w:autoSpaceDN/>
        <w:bidi w:val="0"/>
        <w:adjustRightInd/>
        <w:snapToGrid/>
        <w:spacing w:line="276" w:lineRule="auto"/>
        <w:ind w:right="-315" w:rightChars="-150" w:firstLine="420" w:firstLineChars="200"/>
        <w:jc w:val="left"/>
        <w:textAlignment w:val="auto"/>
        <w:rPr>
          <w:rFonts w:hint="eastAsia" w:ascii="宋体" w:hAnsi="宋体" w:eastAsiaTheme="minorEastAsia"/>
          <w:color w:val="auto"/>
          <w:szCs w:val="21"/>
          <w:shd w:val="clear" w:color="auto" w:fill="auto"/>
          <w:lang w:eastAsia="zh-CN"/>
        </w:rPr>
      </w:pPr>
      <w:r>
        <w:rPr>
          <w:rFonts w:hint="eastAsia" w:ascii="宋体" w:hAnsi="宋体" w:eastAsia="宋体"/>
          <w:bCs/>
          <w:color w:val="auto"/>
          <w:sz w:val="21"/>
          <w:szCs w:val="21"/>
        </w:rPr>
        <w:t>公司制定了</w:t>
      </w:r>
      <w:r>
        <w:rPr>
          <w:rFonts w:hint="eastAsia" w:ascii="宋体" w:hAnsi="宋体"/>
          <w:color w:val="auto"/>
          <w:szCs w:val="21"/>
          <w:shd w:val="clear" w:color="auto" w:fill="auto"/>
          <w:lang w:val="en-US" w:eastAsia="zh-CN"/>
        </w:rPr>
        <w:t>关</w:t>
      </w:r>
      <w:r>
        <w:rPr>
          <w:rFonts w:hint="eastAsia"/>
          <w:color w:val="auto"/>
          <w:sz w:val="21"/>
          <w:szCs w:val="21"/>
        </w:rPr>
        <w:t>键测量过程受控率100</w:t>
      </w:r>
      <w:r>
        <w:rPr>
          <w:rFonts w:hint="eastAsia"/>
          <w:color w:val="auto"/>
          <w:sz w:val="21"/>
          <w:szCs w:val="21"/>
          <w:lang w:val="en-US" w:eastAsia="zh-CN"/>
        </w:rPr>
        <w:t>%等</w:t>
      </w:r>
      <w:r>
        <w:rPr>
          <w:rFonts w:hint="eastAsia" w:ascii="宋体" w:hAnsi="宋体" w:eastAsia="宋体"/>
          <w:bCs/>
          <w:color w:val="auto"/>
          <w:sz w:val="21"/>
          <w:szCs w:val="21"/>
          <w:lang w:val="en-US" w:eastAsia="zh-CN"/>
        </w:rPr>
        <w:t>5</w:t>
      </w:r>
      <w:r>
        <w:rPr>
          <w:rFonts w:hint="eastAsia" w:ascii="宋体" w:hAnsi="宋体" w:eastAsia="宋体"/>
          <w:bCs/>
          <w:color w:val="auto"/>
          <w:sz w:val="21"/>
          <w:szCs w:val="21"/>
        </w:rPr>
        <w:t>项质量目标，</w:t>
      </w:r>
      <w:r>
        <w:rPr>
          <w:rFonts w:hint="eastAsia" w:ascii="宋体" w:hAnsi="宋体"/>
          <w:color w:val="auto"/>
          <w:szCs w:val="21"/>
          <w:shd w:val="clear" w:color="auto" w:fill="auto"/>
        </w:rPr>
        <w:t>因企业规模较小，未对指标进行进一步分解</w:t>
      </w:r>
      <w:r>
        <w:rPr>
          <w:rFonts w:hint="eastAsia" w:ascii="宋体" w:hAnsi="宋体"/>
          <w:color w:val="auto"/>
          <w:szCs w:val="21"/>
          <w:shd w:val="clear" w:color="auto" w:fill="auto"/>
          <w:lang w:eastAsia="zh-CN"/>
        </w:rPr>
        <w:t>；质</w:t>
      </w:r>
      <w:r>
        <w:rPr>
          <w:rFonts w:hint="eastAsia" w:ascii="宋体" w:hAnsi="宋体"/>
          <w:color w:val="auto"/>
          <w:szCs w:val="21"/>
          <w:shd w:val="clear" w:color="auto" w:fill="auto"/>
          <w:lang w:val="en-US" w:eastAsia="zh-CN"/>
        </w:rPr>
        <w:t>检</w:t>
      </w:r>
      <w:r>
        <w:rPr>
          <w:rFonts w:hint="eastAsia" w:ascii="宋体" w:hAnsi="宋体"/>
          <w:color w:val="auto"/>
          <w:szCs w:val="21"/>
          <w:shd w:val="clear" w:color="auto" w:fill="auto"/>
          <w:lang w:eastAsia="zh-CN"/>
        </w:rPr>
        <w:t>部</w:t>
      </w:r>
      <w:r>
        <w:rPr>
          <w:rFonts w:hint="eastAsia" w:ascii="宋体" w:hAnsi="宋体"/>
          <w:color w:val="auto"/>
          <w:szCs w:val="21"/>
          <w:shd w:val="clear" w:color="auto" w:fill="auto"/>
          <w:lang w:val="en-US" w:eastAsia="zh-CN"/>
        </w:rPr>
        <w:t>负责</w:t>
      </w:r>
      <w:r>
        <w:rPr>
          <w:rFonts w:hint="eastAsia" w:ascii="宋体" w:hAnsi="宋体"/>
          <w:color w:val="auto"/>
          <w:szCs w:val="21"/>
          <w:shd w:val="clear" w:color="auto" w:fill="auto"/>
        </w:rPr>
        <w:t>对公司</w:t>
      </w:r>
      <w:r>
        <w:rPr>
          <w:rFonts w:hint="eastAsia"/>
          <w:color w:val="auto"/>
          <w:sz w:val="21"/>
          <w:szCs w:val="21"/>
        </w:rPr>
        <w:t>关</w:t>
      </w:r>
      <w:r>
        <w:rPr>
          <w:rFonts w:hint="eastAsia" w:ascii="宋体" w:hAnsi="宋体"/>
          <w:color w:val="auto"/>
          <w:szCs w:val="21"/>
          <w:shd w:val="clear" w:color="auto" w:fill="auto"/>
        </w:rPr>
        <w:t>进行统计</w:t>
      </w:r>
      <w:r>
        <w:rPr>
          <w:rFonts w:hint="eastAsia" w:ascii="宋体" w:hAnsi="宋体"/>
          <w:color w:val="auto"/>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after="157" w:afterLines="50" w:line="300" w:lineRule="auto"/>
        <w:ind w:right="-315" w:rightChars="-150" w:firstLine="420" w:firstLineChars="200"/>
        <w:textAlignment w:val="auto"/>
        <w:rPr>
          <w:rFonts w:cs="宋体" w:asciiTheme="minorEastAsia" w:hAnsiTheme="minorEastAsia"/>
          <w:bCs/>
          <w:color w:val="auto"/>
          <w:kern w:val="0"/>
          <w:sz w:val="21"/>
          <w:szCs w:val="21"/>
        </w:rPr>
      </w:pPr>
      <w:r>
        <w:rPr>
          <w:rFonts w:hint="eastAsia" w:ascii="宋体" w:hAnsi="宋体" w:eastAsia="宋体"/>
          <w:bCs/>
          <w:color w:val="auto"/>
          <w:sz w:val="21"/>
          <w:szCs w:val="21"/>
        </w:rPr>
        <w:t>查20</w:t>
      </w:r>
      <w:r>
        <w:rPr>
          <w:rFonts w:hint="eastAsia" w:ascii="宋体" w:hAnsi="宋体" w:eastAsia="宋体"/>
          <w:bCs/>
          <w:color w:val="auto"/>
          <w:sz w:val="21"/>
          <w:szCs w:val="21"/>
          <w:lang w:val="en-US" w:eastAsia="zh-CN"/>
        </w:rPr>
        <w:t>22</w:t>
      </w:r>
      <w:r>
        <w:rPr>
          <w:rFonts w:hint="eastAsia" w:ascii="宋体" w:hAnsi="宋体" w:eastAsia="宋体"/>
          <w:bCs/>
          <w:color w:val="auto"/>
          <w:sz w:val="21"/>
          <w:szCs w:val="21"/>
        </w:rPr>
        <w:t>年1月到1</w:t>
      </w:r>
      <w:r>
        <w:rPr>
          <w:rFonts w:hint="eastAsia" w:ascii="宋体" w:hAnsi="宋体" w:eastAsia="宋体"/>
          <w:bCs/>
          <w:color w:val="auto"/>
          <w:sz w:val="21"/>
          <w:szCs w:val="21"/>
          <w:lang w:val="en-US" w:eastAsia="zh-CN"/>
        </w:rPr>
        <w:t>2</w:t>
      </w:r>
      <w:r>
        <w:rPr>
          <w:rFonts w:hint="eastAsia" w:ascii="宋体" w:hAnsi="宋体" w:eastAsia="宋体"/>
          <w:bCs/>
          <w:color w:val="auto"/>
          <w:sz w:val="21"/>
          <w:szCs w:val="21"/>
        </w:rPr>
        <w:t>月质量目标完成情况检查表，按目标、措施、完成情况、未完成情况进行统计，记录内容全，每月统计，质量目标管理满足要求。</w:t>
      </w:r>
    </w:p>
    <w:p>
      <w:pPr>
        <w:keepNext w:val="0"/>
        <w:keepLines w:val="0"/>
        <w:pageBreakBefore w:val="0"/>
        <w:widowControl/>
        <w:numPr>
          <w:ilvl w:val="0"/>
          <w:numId w:val="1"/>
        </w:numPr>
        <w:kinsoku/>
        <w:wordWrap/>
        <w:overflowPunct/>
        <w:topLinePunct w:val="0"/>
        <w:autoSpaceDE/>
        <w:autoSpaceDN/>
        <w:bidi w:val="0"/>
        <w:adjustRightInd/>
        <w:snapToGrid/>
        <w:spacing w:line="300" w:lineRule="auto"/>
        <w:ind w:right="-315" w:rightChars="-150"/>
        <w:textAlignment w:val="auto"/>
        <w:rPr>
          <w:rFonts w:asciiTheme="minorEastAsia" w:hAnsiTheme="minorEastAsia"/>
          <w:b/>
          <w:bCs w:val="0"/>
          <w:color w:val="auto"/>
          <w:sz w:val="21"/>
          <w:szCs w:val="21"/>
        </w:rPr>
      </w:pPr>
      <w:r>
        <w:rPr>
          <w:rFonts w:hint="eastAsia" w:asciiTheme="minorEastAsia" w:hAnsiTheme="minorEastAsia"/>
          <w:b/>
          <w:bCs w:val="0"/>
          <w:color w:val="auto"/>
          <w:sz w:val="21"/>
          <w:szCs w:val="21"/>
        </w:rPr>
        <w:t>对企业组织任何变更的审核</w:t>
      </w:r>
    </w:p>
    <w:p>
      <w:pPr>
        <w:keepNext w:val="0"/>
        <w:keepLines w:val="0"/>
        <w:pageBreakBefore w:val="0"/>
        <w:widowControl/>
        <w:kinsoku/>
        <w:wordWrap/>
        <w:overflowPunct/>
        <w:topLinePunct w:val="0"/>
        <w:autoSpaceDE/>
        <w:autoSpaceDN/>
        <w:bidi w:val="0"/>
        <w:adjustRightInd/>
        <w:snapToGrid/>
        <w:spacing w:after="157" w:afterLines="50" w:line="300" w:lineRule="auto"/>
        <w:ind w:right="-315" w:rightChars="-150"/>
        <w:textAlignment w:val="auto"/>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企业营业执照和组织机构未发生变化。</w:t>
      </w:r>
    </w:p>
    <w:p>
      <w:pPr>
        <w:keepNext w:val="0"/>
        <w:keepLines w:val="0"/>
        <w:pageBreakBefore w:val="0"/>
        <w:widowControl/>
        <w:numPr>
          <w:ilvl w:val="0"/>
          <w:numId w:val="1"/>
        </w:numPr>
        <w:kinsoku/>
        <w:wordWrap/>
        <w:overflowPunct/>
        <w:topLinePunct w:val="0"/>
        <w:autoSpaceDE/>
        <w:autoSpaceDN/>
        <w:bidi w:val="0"/>
        <w:adjustRightInd/>
        <w:snapToGrid/>
        <w:spacing w:line="300" w:lineRule="auto"/>
        <w:ind w:right="-315" w:rightChars="-150"/>
        <w:textAlignment w:val="auto"/>
        <w:rPr>
          <w:rFonts w:cs="宋体" w:asciiTheme="minorEastAsia" w:hAnsiTheme="minorEastAsia"/>
          <w:b/>
          <w:bCs w:val="0"/>
          <w:color w:val="000000" w:themeColor="text1"/>
          <w:kern w:val="0"/>
          <w:sz w:val="21"/>
          <w:szCs w:val="21"/>
        </w:rPr>
      </w:pPr>
      <w:r>
        <w:rPr>
          <w:rFonts w:hint="eastAsia" w:asciiTheme="minorEastAsia" w:hAnsiTheme="minorEastAsia"/>
          <w:b/>
          <w:bCs w:val="0"/>
          <w:color w:val="000000" w:themeColor="text1"/>
          <w:sz w:val="21"/>
          <w:szCs w:val="21"/>
        </w:rPr>
        <w:t>标志的使用和（或）任何其他对认证资</w:t>
      </w:r>
      <w:r>
        <w:rPr>
          <w:rFonts w:hint="eastAsia"/>
          <w:b/>
          <w:bCs w:val="0"/>
          <w:color w:val="000000" w:themeColor="text1"/>
          <w:sz w:val="21"/>
          <w:szCs w:val="21"/>
        </w:rPr>
        <w:t>格引用</w:t>
      </w:r>
      <w:r>
        <w:rPr>
          <w:rFonts w:cs="宋体" w:asciiTheme="minorEastAsia" w:hAnsiTheme="minorEastAsia"/>
          <w:b/>
          <w:bCs w:val="0"/>
          <w:color w:val="000000" w:themeColor="text1"/>
          <w:kern w:val="0"/>
          <w:sz w:val="21"/>
          <w:szCs w:val="21"/>
        </w:rPr>
        <w:t>的情况：</w:t>
      </w:r>
    </w:p>
    <w:p>
      <w:pPr>
        <w:keepNext w:val="0"/>
        <w:keepLines w:val="0"/>
        <w:pageBreakBefore w:val="0"/>
        <w:widowControl/>
        <w:kinsoku/>
        <w:wordWrap/>
        <w:overflowPunct/>
        <w:topLinePunct w:val="0"/>
        <w:autoSpaceDE/>
        <w:autoSpaceDN/>
        <w:bidi w:val="0"/>
        <w:adjustRightInd/>
        <w:snapToGrid/>
        <w:spacing w:after="157" w:afterLines="50" w:line="300" w:lineRule="auto"/>
        <w:ind w:right="-315" w:rightChars="-150"/>
        <w:textAlignment w:val="auto"/>
        <w:rPr>
          <w:rFonts w:hint="eastAsia" w:cs="宋体" w:asciiTheme="minorEastAsia" w:hAnsiTheme="minorEastAsia"/>
          <w:bCs/>
          <w:color w:val="000000" w:themeColor="text1"/>
          <w:kern w:val="0"/>
          <w:sz w:val="21"/>
          <w:szCs w:val="21"/>
        </w:rPr>
      </w:pPr>
      <w:r>
        <w:rPr>
          <w:rFonts w:hint="eastAsia" w:cs="宋体" w:asciiTheme="minorEastAsia" w:hAnsiTheme="minorEastAsia"/>
          <w:bCs/>
          <w:color w:val="000000" w:themeColor="text1"/>
          <w:kern w:val="0"/>
          <w:sz w:val="21"/>
          <w:szCs w:val="21"/>
        </w:rPr>
        <w:t xml:space="preserve"> 用于企业的形象宣传。</w:t>
      </w:r>
    </w:p>
    <w:p>
      <w:pPr>
        <w:keepNext w:val="0"/>
        <w:keepLines w:val="0"/>
        <w:pageBreakBefore w:val="0"/>
        <w:widowControl/>
        <w:numPr>
          <w:ilvl w:val="0"/>
          <w:numId w:val="2"/>
        </w:numPr>
        <w:kinsoku/>
        <w:wordWrap/>
        <w:overflowPunct/>
        <w:topLinePunct w:val="0"/>
        <w:autoSpaceDE/>
        <w:autoSpaceDN/>
        <w:bidi w:val="0"/>
        <w:adjustRightInd/>
        <w:snapToGrid/>
        <w:spacing w:line="300" w:lineRule="auto"/>
        <w:textAlignment w:val="auto"/>
        <w:rPr>
          <w:rFonts w:hint="eastAsia"/>
          <w:b/>
          <w:bCs/>
          <w:color w:val="000000" w:themeColor="text1"/>
          <w:lang w:val="en-US" w:eastAsia="zh-CN"/>
        </w:rPr>
      </w:pPr>
      <w:r>
        <w:rPr>
          <w:rFonts w:hint="eastAsia" w:eastAsia="宋体"/>
          <w:b/>
          <w:bCs/>
          <w:color w:val="000000" w:themeColor="text1"/>
          <w:sz w:val="21"/>
          <w:szCs w:val="21"/>
          <w:lang w:val="en-US" w:eastAsia="zh-CN"/>
        </w:rPr>
        <w:t>销售和服务</w:t>
      </w:r>
    </w:p>
    <w:p>
      <w:pPr>
        <w:keepNext w:val="0"/>
        <w:keepLines w:val="0"/>
        <w:pageBreakBefore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sz w:val="21"/>
          <w:szCs w:val="21"/>
        </w:rPr>
      </w:pPr>
      <w:r>
        <w:rPr>
          <w:rFonts w:hint="eastAsia"/>
          <w:sz w:val="21"/>
          <w:szCs w:val="21"/>
        </w:rPr>
        <w:t>公司以图纸、工艺</w:t>
      </w:r>
      <w:r>
        <w:rPr>
          <w:rFonts w:hint="eastAsia"/>
          <w:sz w:val="21"/>
          <w:szCs w:val="21"/>
          <w:lang w:eastAsia="zh-CN"/>
        </w:rPr>
        <w:t>、</w:t>
      </w:r>
      <w:r>
        <w:rPr>
          <w:rFonts w:hint="eastAsia"/>
          <w:sz w:val="21"/>
          <w:szCs w:val="21"/>
          <w:lang w:val="en-US" w:eastAsia="zh-CN"/>
        </w:rPr>
        <w:t>检验规范</w:t>
      </w:r>
      <w:r>
        <w:rPr>
          <w:rFonts w:hint="eastAsia"/>
          <w:sz w:val="21"/>
          <w:szCs w:val="21"/>
        </w:rPr>
        <w:t>等技术文件形式体现计量要求，通过产品检验和对测量过程检测验证等形式验证顾客的计量要求是否得到满足。</w:t>
      </w:r>
      <w:r>
        <w:rPr>
          <w:rFonts w:hint="eastAsia" w:ascii="宋体" w:hAnsi="宋体"/>
          <w:sz w:val="21"/>
          <w:szCs w:val="21"/>
        </w:rPr>
        <w:t>测量过程一览表显示：</w:t>
      </w:r>
      <w:r>
        <w:rPr>
          <w:rFonts w:hint="eastAsia" w:ascii="Segoe UI Symbol" w:hAnsi="Segoe UI Symbol" w:cs="Segoe UI Symbol"/>
          <w:sz w:val="21"/>
          <w:szCs w:val="21"/>
        </w:rPr>
        <w:t>对</w:t>
      </w:r>
      <w:r>
        <w:rPr>
          <w:rFonts w:hint="eastAsia" w:ascii="宋体" w:hAnsi="宋体"/>
          <w:sz w:val="21"/>
          <w:szCs w:val="21"/>
        </w:rPr>
        <w:t>产品生产、检验涉及测量过程进行了识别和控制。测量设备、人员的配备可满足该合同产品的生产和检验要求。</w:t>
      </w:r>
    </w:p>
    <w:p>
      <w:pPr>
        <w:keepNext w:val="0"/>
        <w:keepLines w:val="0"/>
        <w:pageBreakBefore w:val="0"/>
        <w:widowControl w:val="0"/>
        <w:kinsoku/>
        <w:wordWrap/>
        <w:overflowPunct/>
        <w:topLinePunct w:val="0"/>
        <w:autoSpaceDE/>
        <w:autoSpaceDN/>
        <w:bidi w:val="0"/>
        <w:adjustRightInd/>
        <w:snapToGrid/>
        <w:spacing w:after="157" w:afterLines="50" w:line="276" w:lineRule="auto"/>
        <w:ind w:firstLine="420" w:firstLineChars="200"/>
        <w:textAlignment w:val="auto"/>
        <w:rPr>
          <w:sz w:val="21"/>
          <w:szCs w:val="21"/>
        </w:rPr>
      </w:pPr>
      <w:r>
        <w:rPr>
          <w:rFonts w:hint="eastAsia" w:ascii="宋体" w:hAnsi="宋体"/>
          <w:sz w:val="21"/>
          <w:szCs w:val="21"/>
        </w:rPr>
        <w:t>销售部2</w:t>
      </w:r>
      <w:r>
        <w:rPr>
          <w:rFonts w:ascii="宋体" w:hAnsi="宋体"/>
          <w:sz w:val="21"/>
          <w:szCs w:val="21"/>
        </w:rPr>
        <w:t>02</w:t>
      </w:r>
      <w:r>
        <w:rPr>
          <w:rFonts w:hint="eastAsia" w:ascii="宋体" w:hAnsi="宋体"/>
          <w:sz w:val="21"/>
          <w:szCs w:val="21"/>
          <w:lang w:val="en-US" w:eastAsia="zh-CN"/>
        </w:rPr>
        <w:t>2</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月至今，未出现需要更换或退货的产品，也未签订售后服务合同</w:t>
      </w:r>
      <w:r>
        <w:rPr>
          <w:rFonts w:hint="eastAsia" w:ascii="宋体" w:hAnsi="宋体"/>
          <w:sz w:val="21"/>
          <w:szCs w:val="21"/>
          <w:lang w:eastAsia="zh-CN"/>
        </w:rPr>
        <w:t>。</w:t>
      </w:r>
      <w:r>
        <w:rPr>
          <w:rFonts w:hint="eastAsia" w:ascii="宋体" w:hAnsi="宋体"/>
          <w:sz w:val="21"/>
          <w:szCs w:val="21"/>
          <w:lang w:val="en-US" w:eastAsia="zh-CN"/>
        </w:rPr>
        <w:t>销售部只</w:t>
      </w:r>
      <w:r>
        <w:rPr>
          <w:rFonts w:hint="eastAsia" w:ascii="宋体" w:hAnsi="宋体"/>
          <w:sz w:val="21"/>
          <w:szCs w:val="21"/>
        </w:rPr>
        <w:t>对</w:t>
      </w:r>
      <w:r>
        <w:rPr>
          <w:rFonts w:hint="eastAsia" w:ascii="宋体" w:hAnsi="宋体"/>
          <w:sz w:val="21"/>
          <w:szCs w:val="21"/>
          <w:lang w:val="en-US" w:eastAsia="zh-CN"/>
        </w:rPr>
        <w:t>公司</w:t>
      </w:r>
      <w:r>
        <w:rPr>
          <w:rFonts w:hint="eastAsia" w:ascii="宋体" w:hAnsi="宋体"/>
          <w:sz w:val="21"/>
          <w:szCs w:val="21"/>
        </w:rPr>
        <w:t>销售的</w:t>
      </w:r>
      <w:r>
        <w:rPr>
          <w:rFonts w:hint="eastAsia" w:ascii="宋体" w:hAnsi="宋体"/>
          <w:sz w:val="21"/>
          <w:szCs w:val="21"/>
          <w:lang w:val="en-US" w:eastAsia="zh-CN"/>
        </w:rPr>
        <w:t>产品提供合同中约定售后服务。不对外签订维修服务合同合同。</w:t>
      </w:r>
    </w:p>
    <w:p>
      <w:pPr>
        <w:keepNext w:val="0"/>
        <w:keepLines w:val="0"/>
        <w:pageBreakBefore w:val="0"/>
        <w:kinsoku/>
        <w:wordWrap/>
        <w:overflowPunct/>
        <w:topLinePunct w:val="0"/>
        <w:autoSpaceDE/>
        <w:autoSpaceDN/>
        <w:bidi w:val="0"/>
        <w:adjustRightInd/>
        <w:snapToGrid w:val="0"/>
        <w:spacing w:line="400" w:lineRule="exact"/>
        <w:ind w:right="-315" w:rightChars="-150"/>
        <w:textAlignment w:val="auto"/>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keepNext w:val="0"/>
        <w:keepLines w:val="0"/>
        <w:pageBreakBefore w:val="0"/>
        <w:kinsoku/>
        <w:wordWrap/>
        <w:overflowPunct/>
        <w:topLinePunct w:val="0"/>
        <w:autoSpaceDE/>
        <w:autoSpaceDN/>
        <w:bidi w:val="0"/>
        <w:adjustRightInd/>
        <w:snapToGrid w:val="0"/>
        <w:spacing w:line="400" w:lineRule="exact"/>
        <w:ind w:right="-315" w:rightChars="-150" w:firstLine="420" w:firstLineChars="200"/>
        <w:textAlignment w:val="auto"/>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23</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2</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6</w:t>
      </w:r>
      <w:r>
        <w:rPr>
          <w:rStyle w:val="10"/>
          <w:rFonts w:ascii="宋体" w:hAnsi="宋体" w:eastAsia="宋体"/>
          <w:color w:val="000000" w:themeColor="text1"/>
          <w:sz w:val="21"/>
          <w:szCs w:val="21"/>
        </w:rPr>
        <w:t>日</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cs="宋体" w:asciiTheme="minorEastAsia" w:hAnsiTheme="minorEastAsia"/>
          <w:color w:val="000000" w:themeColor="text1"/>
          <w:kern w:val="0"/>
          <w:sz w:val="21"/>
          <w:szCs w:val="21"/>
        </w:rPr>
        <w:t>河北冀高电力器材开发有限公司</w:t>
      </w:r>
      <w:r>
        <w:rPr>
          <w:rFonts w:hint="eastAsia" w:cs="宋体" w:asciiTheme="minorEastAsia" w:hAnsiTheme="minorEastAsia"/>
          <w:color w:val="000000" w:themeColor="text1"/>
          <w:kern w:val="0"/>
          <w:sz w:val="21"/>
          <w:szCs w:val="21"/>
          <w:lang w:val="en-US" w:eastAsia="zh-CN"/>
        </w:rPr>
        <w:t>测量管理体系进行</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.验证了公司在去年一年内，测量管理体系运</w:t>
      </w:r>
      <w:r>
        <w:rPr>
          <w:rFonts w:hint="eastAsia" w:asciiTheme="minorEastAsia" w:hAnsiTheme="minorEastAsia"/>
          <w:bCs/>
          <w:color w:val="000000" w:themeColor="text1"/>
          <w:szCs w:val="21"/>
          <w:lang w:val="en-US" w:eastAsia="zh-CN"/>
        </w:rPr>
        <w:t>行</w:t>
      </w:r>
      <w:r>
        <w:rPr>
          <w:rFonts w:hint="eastAsia" w:asciiTheme="minorEastAsia" w:hAnsiTheme="minorEastAsia"/>
          <w:bCs/>
          <w:color w:val="000000" w:themeColor="text1"/>
          <w:szCs w:val="21"/>
        </w:rPr>
        <w:t>情况，</w:t>
      </w:r>
      <w:r>
        <w:rPr>
          <w:rFonts w:hint="eastAsia" w:ascii="宋体" w:hAnsi="宋体"/>
          <w:color w:val="000000" w:themeColor="text1"/>
          <w:szCs w:val="21"/>
        </w:rPr>
        <w:t>公司领导重视体系运行和管理，体系文件得到有效实施，企业管理规范，关键测量过程受控、监视方法正确有效，重要测量人员能力受控，测量设备、测量环境、测量软件、测量记录及外部供方管理等各项工作。综上所述，审核组认为</w:t>
      </w:r>
      <w:r>
        <w:rPr>
          <w:rFonts w:cs="宋体" w:asciiTheme="minorEastAsia" w:hAnsiTheme="minorEastAsia"/>
          <w:color w:val="000000" w:themeColor="text1"/>
          <w:kern w:val="0"/>
          <w:sz w:val="21"/>
          <w:szCs w:val="21"/>
        </w:rPr>
        <w:t>河北冀高电力器材开发有限公司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000000" w:themeColor="text1"/>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color w:val="000000"/>
          <w:szCs w:val="21"/>
        </w:rPr>
        <w:drawing>
          <wp:inline distT="0" distB="0" distL="114300" distR="114300">
            <wp:extent cx="640080" cy="309245"/>
            <wp:effectExtent l="0" t="0" r="7620" b="8255"/>
            <wp:docPr id="2" name="图片 1"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签名"/>
                    <pic:cNvPicPr>
                      <a:picLocks noChangeAspect="1"/>
                    </pic:cNvPicPr>
                  </pic:nvPicPr>
                  <pic:blipFill>
                    <a:blip r:embed="rId6"/>
                    <a:stretch>
                      <a:fillRect/>
                    </a:stretch>
                  </pic:blipFill>
                  <pic:spPr>
                    <a:xfrm>
                      <a:off x="0" y="0"/>
                      <a:ext cx="640080" cy="309245"/>
                    </a:xfrm>
                    <a:prstGeom prst="rect">
                      <a:avLst/>
                    </a:prstGeom>
                    <a:noFill/>
                    <a:ln>
                      <a:noFill/>
                    </a:ln>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2022年2月6日</w:t>
      </w:r>
    </w:p>
    <w:p>
      <w:pPr>
        <w:widowControl/>
        <w:spacing w:line="360" w:lineRule="auto"/>
        <w:jc w:val="left"/>
        <w:rPr>
          <w:rFonts w:ascii="宋体" w:hAnsi="宋体" w:eastAsia="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color w:val="000000"/>
          <w:szCs w:val="21"/>
        </w:rPr>
        <w:drawing>
          <wp:inline distT="0" distB="0" distL="114300" distR="114300">
            <wp:extent cx="640080" cy="309245"/>
            <wp:effectExtent l="0" t="0" r="7620" b="8255"/>
            <wp:docPr id="3"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签名"/>
                    <pic:cNvPicPr>
                      <a:picLocks noChangeAspect="1"/>
                    </pic:cNvPicPr>
                  </pic:nvPicPr>
                  <pic:blipFill>
                    <a:blip r:embed="rId6"/>
                    <a:stretch>
                      <a:fillRect/>
                    </a:stretch>
                  </pic:blipFill>
                  <pic:spPr>
                    <a:xfrm>
                      <a:off x="0" y="0"/>
                      <a:ext cx="640080" cy="309245"/>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2022年2月6日</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17" w:right="1701" w:bottom="1417" w:left="1701"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2"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67.45pt;margin-top:13.2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C6E70"/>
    <w:multiLevelType w:val="multilevel"/>
    <w:tmpl w:val="CF4C6E70"/>
    <w:lvl w:ilvl="0" w:tentative="0">
      <w:start w:val="10"/>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30D360AD"/>
    <w:multiLevelType w:val="singleLevel"/>
    <w:tmpl w:val="30D360AD"/>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kMzQ1YzMwMjJhYTJhNGYxMDI5MWIyNmM4MjdiZjQifQ=="/>
  </w:docVars>
  <w:rsids>
    <w:rsidRoot w:val="00000000"/>
    <w:rsid w:val="10B00AED"/>
    <w:rsid w:val="11AC0232"/>
    <w:rsid w:val="16073E54"/>
    <w:rsid w:val="1A2D41B2"/>
    <w:rsid w:val="1BF5437F"/>
    <w:rsid w:val="22E542B8"/>
    <w:rsid w:val="3634309B"/>
    <w:rsid w:val="41526422"/>
    <w:rsid w:val="4C723C4B"/>
    <w:rsid w:val="60F81416"/>
    <w:rsid w:val="68876A45"/>
    <w:rsid w:val="7A811CB6"/>
    <w:rsid w:val="7ACF02C6"/>
    <w:rsid w:val="7DBF0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2419</Words>
  <Characters>2683</Characters>
  <Lines>15</Lines>
  <Paragraphs>4</Paragraphs>
  <TotalTime>4</TotalTime>
  <ScaleCrop>false</ScaleCrop>
  <LinksUpToDate>false</LinksUpToDate>
  <CharactersWithSpaces>2775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Lenovo</cp:lastModifiedBy>
  <cp:lastPrinted>2017-09-01T06:24:00Z</cp:lastPrinted>
  <dcterms:modified xsi:type="dcterms:W3CDTF">2023-02-06T13:12:51Z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EE2961C6A6834CFFB60A0AC9B3B6B257</vt:lpwstr>
  </property>
</Properties>
</file>