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0016-2023-QEO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重庆同诚房地产土地资产评估有限公司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91500000709319553P</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Q:未认可,E:未认可,O:未认可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w:t>
            </w:r>
            <w:r>
              <w:rPr>
                <w:rFonts w:hint="eastAsia"/>
                <w:color w:val="auto"/>
                <w:sz w:val="22"/>
                <w:szCs w:val="22"/>
                <w:highlight w:val="none"/>
              </w:rPr>
              <w:t xml:space="preserve">001-2016 idt ISO 9001:2015标准 (不适用：  </w:t>
            </w:r>
            <w:r>
              <w:rPr>
                <w:rFonts w:hint="eastAsia"/>
                <w:color w:val="auto"/>
                <w:sz w:val="22"/>
                <w:szCs w:val="22"/>
                <w:highlight w:val="none"/>
                <w:lang w:val="en-US" w:eastAsia="zh-CN"/>
              </w:rPr>
              <w:t>8.3</w:t>
            </w:r>
            <w:r>
              <w:rPr>
                <w:rFonts w:hint="eastAsia"/>
                <w:color w:val="auto"/>
                <w:sz w:val="22"/>
                <w:szCs w:val="22"/>
                <w:highlight w:val="none"/>
              </w:rPr>
              <w:t>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Q:60,E:60,O:60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重庆同诚房地产土地资产评估有限公司</w:t>
            </w:r>
            <w:bookmarkEnd w:id="18"/>
          </w:p>
        </w:tc>
        <w:tc>
          <w:tcPr>
            <w:tcW w:w="5013" w:type="dxa"/>
            <w:gridSpan w:val="3"/>
            <w:vMerge w:val="restart"/>
          </w:tcPr>
          <w:p>
            <w:pPr>
              <w:snapToGrid w:val="0"/>
              <w:spacing w:line="0" w:lineRule="atLeast"/>
              <w:jc w:val="left"/>
              <w:rPr>
                <w:sz w:val="22"/>
                <w:szCs w:val="22"/>
              </w:rPr>
            </w:pPr>
            <w:bookmarkStart w:id="19" w:name="审核范围"/>
            <w:r>
              <w:rPr>
                <w:sz w:val="22"/>
                <w:szCs w:val="22"/>
              </w:rPr>
              <w:t>Q：资产评估、房地产估价（一级）、土地评估</w:t>
            </w:r>
          </w:p>
          <w:p>
            <w:pPr>
              <w:snapToGrid w:val="0"/>
              <w:spacing w:line="0" w:lineRule="atLeast"/>
              <w:jc w:val="left"/>
              <w:rPr>
                <w:sz w:val="22"/>
                <w:szCs w:val="22"/>
              </w:rPr>
            </w:pPr>
            <w:r>
              <w:rPr>
                <w:sz w:val="22"/>
                <w:szCs w:val="22"/>
              </w:rPr>
              <w:t>E：资产评估、房地产估价（一级）、土地评估所涉及场所的相关环境管理活动</w:t>
            </w:r>
          </w:p>
          <w:p>
            <w:pPr>
              <w:snapToGrid w:val="0"/>
              <w:spacing w:line="0" w:lineRule="atLeast"/>
              <w:jc w:val="left"/>
              <w:rPr>
                <w:sz w:val="22"/>
                <w:szCs w:val="22"/>
              </w:rPr>
            </w:pPr>
            <w:r>
              <w:rPr>
                <w:sz w:val="22"/>
                <w:szCs w:val="22"/>
              </w:rPr>
              <w:t>O：资产评估、房地产估价（一级）、土地评估所涉及场所的相关职业健康安全管理活动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重庆市北部新区星光大道62号（海王星科技大厦D区9楼3号）</w:t>
            </w:r>
            <w:bookmarkEnd w:id="20"/>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重庆市北部新区星光大道62号（海王星科技大厦D区9楼3号）</w:t>
            </w:r>
            <w:bookmarkEnd w:id="21"/>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p>
            <w:pPr>
              <w:snapToGrid w:val="0"/>
              <w:spacing w:line="0" w:lineRule="atLeast"/>
              <w:jc w:val="left"/>
              <w:rPr>
                <w:sz w:val="22"/>
                <w:szCs w:val="22"/>
              </w:rPr>
            </w:pPr>
          </w:p>
          <w:p>
            <w:pPr>
              <w:snapToGrid w:val="0"/>
              <w:spacing w:line="0" w:lineRule="atLeast"/>
              <w:jc w:val="left"/>
              <w:rPr>
                <w:sz w:val="22"/>
                <w:szCs w:val="22"/>
              </w:rPr>
            </w:pPr>
          </w:p>
          <w:p>
            <w:pPr>
              <w:snapToGrid w:val="0"/>
              <w:spacing w:line="0" w:lineRule="atLeast"/>
              <w:jc w:val="left"/>
              <w:rPr>
                <w:sz w:val="22"/>
                <w:szCs w:val="22"/>
              </w:rPr>
            </w:pPr>
          </w:p>
        </w:tc>
      </w:tr>
    </w:tbl>
    <w:p>
      <w:pPr>
        <w:snapToGrid w:val="0"/>
        <w:spacing w:line="0" w:lineRule="atLeast"/>
      </w:pPr>
      <w:bookmarkStart w:id="22" w:name="_GoBack"/>
      <w:bookmarkEnd w:id="22"/>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03BD436C"/>
    <w:rsid w:val="20717E17"/>
    <w:rsid w:val="2BFD38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821</Words>
  <Characters>1281</Characters>
  <Lines>18</Lines>
  <Paragraphs>5</Paragraphs>
  <TotalTime>4</TotalTime>
  <ScaleCrop>false</ScaleCrop>
  <LinksUpToDate>false</LinksUpToDate>
  <CharactersWithSpaces>1442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2023-02-03T01:19:48Z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