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79"/>
        <w:gridCol w:w="1354"/>
        <w:gridCol w:w="1289"/>
        <w:gridCol w:w="1505"/>
        <w:gridCol w:w="190"/>
        <w:gridCol w:w="1343"/>
        <w:gridCol w:w="15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Times New Roman" w:hAnsi="Times New Roman" w:cs="Times New Roman"/>
                <w:b/>
                <w:sz w:val="22"/>
                <w:szCs w:val="22"/>
              </w:rPr>
              <w:t>成都锋汇聚成科技有限公司</w:t>
            </w:r>
            <w:bookmarkEnd w:id="2"/>
          </w:p>
        </w:tc>
        <w:tc>
          <w:tcPr>
            <w:tcW w:w="153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6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Q:29.12.00,33.02.02,33.02.04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Q:29.12.00,33.02.02,33.02.04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bookmarkStart w:id="3" w:name="_GoBack"/>
            <w:r>
              <w:rPr>
                <w:rFonts w:hint="eastAsia"/>
                <w:b/>
                <w:sz w:val="20"/>
                <w:lang w:val="en-US" w:eastAsia="zh-CN"/>
              </w:rPr>
              <w:t>销售流程：业务洽谈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合同签订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发货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客户签收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运行维护流程：巡检（查看在线监测系统是否正常运行）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系统故障处理（适用时）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客户验收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系统集成流程：需求确认→确定方案→合同签订→采购→安装调试→项目验收→交付。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特殊过程：服务过程，依据特殊过程控制。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中华人民共和国劳动合同法、中华人民共和国消费者权益保护法、欺诈消费者行为处罚办法、中华人民共和国共和国合同法、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"http://www.spsp.gov.cn/page/CN/2014/GBT 31042-2014.shtml"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品牌价值 服务评价要求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"http://www.spsp.gov.cn/page/CN/2014/GBT 31042-2014.shtml"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GB/T 31042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-2014、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"http://www.spsp.gov.cn/page/CN/1999/GBT 17705-1999.shtml"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销售数据报告报文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"http://www.spsp.gov.cn/page/CN/1999/GBT 17705-1999.shtml"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GB/T 17705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-1999、中华人民共和国环境保护行业标准《环境空气气态污染物（SO2 、NO2 、 O3 、CO）连续自动监测系统运行和质控技术规范（HJ818-2018）》、《环境空气颗粒物（PM10和PM2.5）连续自动监测系统运行和质控技术规范(HJ817-2018)》、产品合同法、产品质量法、计量法等标准和法规。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177800</wp:posOffset>
                  </wp:positionV>
                  <wp:extent cx="1003935" cy="325755"/>
                  <wp:effectExtent l="0" t="0" r="12065" b="4445"/>
                  <wp:wrapNone/>
                  <wp:docPr id="3" name="图片 3" descr="8167595353976a5f073eee1808c0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167595353976a5f073eee1808c0a5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-1808" t="13628" r="1518" b="6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2023年2月2日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241300</wp:posOffset>
                  </wp:positionV>
                  <wp:extent cx="1003935" cy="325755"/>
                  <wp:effectExtent l="0" t="0" r="12065" b="4445"/>
                  <wp:wrapNone/>
                  <wp:docPr id="4" name="图片 4" descr="8167595353976a5f073eee1808c0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167595353976a5f073eee1808c0a5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-1808" t="13628" r="1518" b="6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2023年2月2日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79"/>
        <w:gridCol w:w="135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</w:rPr>
              <w:t>成都锋汇聚成科技有限公司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sz w:val="21"/>
                <w:szCs w:val="21"/>
              </w:rPr>
              <w:t>:29.12.00,33.02.02,33.02.04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sz w:val="21"/>
                <w:szCs w:val="21"/>
              </w:rPr>
              <w:t>:29.12.00,33.02.02,33.02.04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销售流程：业务洽谈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合同签订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发货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客户签收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运行维护流程：巡检（查看在线监测系统是否正常运行）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系统故障处理（适用时）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客户验收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系统集成流程：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需求确认→确定方案→合同签订→采购→安装调试→项目验收→交付。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重要环境因素：1潜在的火灾；2固废的排放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控制措施：采取分类收集、管理方案和预案措施管理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5820"/>
              </w:tabs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中华人民共和国劳动合同法、中华人民共和国消费者权益保护法、欺诈消费者行为处罚办法、中华人民共和国共和国合同法、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"http://www.spsp.gov.cn/page/CN/2014/GBT 31042-2014.shtml"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品牌价值 服务评价要求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"http://www.spsp.gov.cn/page/CN/2014/GBT 31042-2014.shtml"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GB/T 31042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-2014、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"http://www.spsp.gov.cn/page/CN/1999/GBT 17705-1999.shtml"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销售数据报告报文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"http://www.spsp.gov.cn/page/CN/1999/GBT 17705-1999.shtml" \t "http://cx.spsp.gov.cn/_blank"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t>GB/T 17705</w:t>
            </w:r>
            <w:r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-1999、中华人民共和国环境保护行业标准《环境空气气态污染物（SO2 、NO2 、 O3 、CO）连续自动监测系统运行和质控技术规范（HJ818-2018）》、《环境空气颗粒物（PM10和PM2.5）连续自动监测系统运行和质控技术规范(HJ817-2018)》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产品合同法、产品质量法、计量法等标准和法规。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177800</wp:posOffset>
                  </wp:positionV>
                  <wp:extent cx="1003935" cy="325755"/>
                  <wp:effectExtent l="0" t="0" r="12065" b="4445"/>
                  <wp:wrapNone/>
                  <wp:docPr id="7" name="图片 7" descr="8167595353976a5f073eee1808c0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167595353976a5f073eee1808c0a5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-1808" t="13628" r="1518" b="6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2023年2月2日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241300</wp:posOffset>
                  </wp:positionV>
                  <wp:extent cx="1003935" cy="325755"/>
                  <wp:effectExtent l="0" t="0" r="12065" b="4445"/>
                  <wp:wrapNone/>
                  <wp:docPr id="8" name="图片 8" descr="8167595353976a5f073eee1808c0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167595353976a5f073eee1808c0a5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-1808" t="13628" r="1518" b="6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2023年2月2日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2F97D0A"/>
    <w:rsid w:val="316458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1003</Words>
  <Characters>1245</Characters>
  <Lines>2</Lines>
  <Paragraphs>1</Paragraphs>
  <TotalTime>0</TotalTime>
  <ScaleCrop>false</ScaleCrop>
  <LinksUpToDate>false</LinksUpToDate>
  <CharactersWithSpaces>1262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2023-02-02T06:28:37Z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