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681"/>
        <w:gridCol w:w="737"/>
        <w:gridCol w:w="1064"/>
        <w:gridCol w:w="1355"/>
        <w:gridCol w:w="80"/>
        <w:gridCol w:w="691"/>
        <w:gridCol w:w="300"/>
        <w:gridCol w:w="73"/>
        <w:gridCol w:w="517"/>
        <w:gridCol w:w="555"/>
        <w:gridCol w:w="646"/>
        <w:gridCol w:w="482"/>
        <w:gridCol w:w="136"/>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highlight w:val="none"/>
              </w:rPr>
              <w:t>宜宾市南溪区机关事务综合服务中心</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rFonts w:hint="default" w:eastAsia="宋体"/>
                <w:sz w:val="21"/>
                <w:szCs w:val="21"/>
                <w:lang w:val="en-US" w:eastAsia="zh-CN"/>
              </w:rPr>
            </w:pPr>
            <w:bookmarkStart w:id="1" w:name="注册地址"/>
            <w:r>
              <w:rPr>
                <w:sz w:val="21"/>
                <w:szCs w:val="21"/>
              </w:rPr>
              <w:t>宜宾市南溪区人民政府行政办公楼三楼</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宜宾市南溪区人民政府行政办公楼三楼</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0108-2023-EnMs</w:t>
            </w:r>
            <w:bookmarkEnd w:id="3"/>
          </w:p>
        </w:tc>
        <w:tc>
          <w:tcPr>
            <w:tcW w:w="1071" w:type="dxa"/>
            <w:gridSpan w:val="3"/>
            <w:vAlign w:val="center"/>
          </w:tcPr>
          <w:p>
            <w:pPr>
              <w:rPr>
                <w:sz w:val="21"/>
                <w:szCs w:val="21"/>
              </w:rPr>
            </w:pPr>
            <w:r>
              <w:rPr>
                <w:rFonts w:hint="eastAsia"/>
                <w:sz w:val="21"/>
                <w:szCs w:val="21"/>
              </w:rPr>
              <w:t>审核领域</w:t>
            </w:r>
          </w:p>
        </w:tc>
        <w:tc>
          <w:tcPr>
            <w:tcW w:w="3622" w:type="dxa"/>
            <w:gridSpan w:val="8"/>
            <w:vAlign w:val="center"/>
          </w:tcPr>
          <w:p>
            <w:pPr>
              <w:rPr>
                <w:sz w:val="21"/>
                <w:szCs w:val="21"/>
              </w:rPr>
            </w:pPr>
            <w:r>
              <w:rPr>
                <w:rFonts w:hint="eastAsia"/>
                <w:spacing w:val="-2"/>
                <w:sz w:val="21"/>
                <w:szCs w:val="21"/>
              </w:rPr>
              <w:t xml:space="preserve"> </w:t>
            </w:r>
            <w:r>
              <w:rPr>
                <w:rFonts w:hint="eastAsia" w:ascii="宋体" w:hAnsi="宋体" w:eastAsia="宋体" w:cs="宋体"/>
                <w:spacing w:val="-2"/>
                <w:sz w:val="21"/>
                <w:szCs w:val="21"/>
              </w:rPr>
              <w:t>■</w:t>
            </w:r>
            <w:r>
              <w:rPr>
                <w:rFonts w:hint="eastAsia"/>
                <w:sz w:val="21"/>
                <w:szCs w:val="21"/>
              </w:rPr>
              <w:sym w:font="Wingdings 2" w:char="0052"/>
            </w:r>
            <w:bookmarkStart w:id="17" w:name="_GoBack"/>
            <w:bookmarkEnd w:id="17"/>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4" w:name="联系人"/>
            <w:r>
              <w:rPr>
                <w:sz w:val="21"/>
                <w:szCs w:val="21"/>
              </w:rPr>
              <w:t>李刚杰</w:t>
            </w:r>
            <w:bookmarkEnd w:id="4"/>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5" w:name="联系人电话"/>
            <w:r>
              <w:rPr>
                <w:sz w:val="21"/>
                <w:szCs w:val="21"/>
              </w:rPr>
              <w:t>0831-3320674</w:t>
            </w:r>
            <w:bookmarkEnd w:id="5"/>
          </w:p>
        </w:tc>
        <w:tc>
          <w:tcPr>
            <w:tcW w:w="618" w:type="dxa"/>
            <w:gridSpan w:val="2"/>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6" w:name="联系人邮箱"/>
            <w:r>
              <w:rPr>
                <w:sz w:val="21"/>
                <w:szCs w:val="21"/>
              </w:rPr>
              <w:t>229055145@qq.com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sz w:val="21"/>
                <w:szCs w:val="21"/>
              </w:rPr>
              <w:t>管理者代表</w:t>
            </w:r>
          </w:p>
        </w:tc>
        <w:tc>
          <w:tcPr>
            <w:tcW w:w="3837" w:type="dxa"/>
            <w:gridSpan w:val="4"/>
            <w:vAlign w:val="center"/>
          </w:tcPr>
          <w:p>
            <w:bookmarkStart w:id="7" w:name="管理者代表"/>
            <w:r>
              <w:rPr>
                <w:sz w:val="21"/>
                <w:szCs w:val="21"/>
              </w:rPr>
              <w:t>周清远</w:t>
            </w:r>
            <w:bookmarkEnd w:id="7"/>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bookmarkStart w:id="8" w:name="管代电话"/>
            <w:bookmarkEnd w:id="8"/>
          </w:p>
        </w:tc>
        <w:tc>
          <w:tcPr>
            <w:tcW w:w="618" w:type="dxa"/>
            <w:gridSpan w:val="2"/>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9" w:name="审核类型"/>
            <w:r>
              <w:rPr>
                <w:rFonts w:ascii="宋体" w:hAnsi="宋体"/>
                <w:b/>
                <w:sz w:val="21"/>
                <w:szCs w:val="21"/>
              </w:rPr>
              <w:t>一阶段</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0" w:name="现场审核勾选"/>
            <w:r>
              <w:rPr>
                <w:rFonts w:hint="eastAsia" w:ascii="宋体" w:hAnsi="宋体" w:cs="宋体"/>
                <w:color w:val="000000"/>
                <w:kern w:val="0"/>
                <w:szCs w:val="24"/>
              </w:rPr>
              <w:t>□</w:t>
            </w:r>
            <w:bookmarkEnd w:id="10"/>
            <w:r>
              <w:rPr>
                <w:rFonts w:hint="eastAsia" w:ascii="宋体" w:hAnsi="宋体" w:cs="宋体"/>
                <w:color w:val="000000"/>
                <w:kern w:val="0"/>
                <w:szCs w:val="21"/>
              </w:rPr>
              <w:t xml:space="preserve">现场审核   </w:t>
            </w:r>
            <w:bookmarkStart w:id="11" w:name="远程审核勾选"/>
            <w:r>
              <w:rPr>
                <w:rFonts w:hint="eastAsia" w:ascii="宋体" w:hAnsi="宋体" w:cs="宋体"/>
                <w:color w:val="000000"/>
                <w:kern w:val="0"/>
                <w:szCs w:val="24"/>
              </w:rPr>
              <w:t>■</w:t>
            </w:r>
            <w:bookmarkEnd w:id="11"/>
            <w:r>
              <w:rPr>
                <w:rFonts w:hint="eastAsia" w:ascii="宋体" w:hAnsi="宋体" w:cs="宋体"/>
                <w:color w:val="000000"/>
                <w:kern w:val="0"/>
                <w:szCs w:val="21"/>
              </w:rPr>
              <w:t xml:space="preserve">远程审核   </w:t>
            </w:r>
            <w:bookmarkStart w:id="12" w:name="现场与远程审核勾选"/>
            <w:r>
              <w:rPr>
                <w:rFonts w:hint="eastAsia" w:ascii="宋体" w:hAnsi="宋体" w:cs="宋体"/>
                <w:color w:val="000000"/>
                <w:kern w:val="0"/>
                <w:szCs w:val="24"/>
              </w:rPr>
              <w:t>□</w:t>
            </w:r>
            <w:bookmarkEnd w:id="12"/>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rPr>
                <w:rFonts w:ascii="宋体" w:hAnsi="宋体"/>
                <w:b/>
                <w:color w:val="0000FF"/>
                <w:sz w:val="21"/>
                <w:szCs w:val="21"/>
              </w:rPr>
            </w:pPr>
            <w:r>
              <w:rPr>
                <w:rFonts w:hint="eastAsia" w:ascii="宋体" w:hAnsi="宋体" w:eastAsia="宋体" w:cs="宋体"/>
                <w:b/>
                <w:bCs/>
                <w:color w:val="0000FF"/>
                <w:sz w:val="20"/>
              </w:rPr>
              <w:t>■</w:t>
            </w:r>
            <w:r>
              <w:rPr>
                <w:rFonts w:hint="eastAsia" w:ascii="宋体" w:hAnsi="宋体"/>
                <w:b/>
                <w:bCs/>
                <w:color w:val="0000FF"/>
                <w:sz w:val="20"/>
              </w:rPr>
              <w:t>音频</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视频</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数据共享</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rPr>
                <w:rFonts w:ascii="宋体" w:hAnsi="宋体"/>
                <w:b/>
                <w:color w:val="0000FF"/>
                <w:sz w:val="21"/>
                <w:szCs w:val="21"/>
              </w:rPr>
            </w:pPr>
            <w:r>
              <w:rPr>
                <w:rFonts w:hint="eastAsia" w:ascii="宋体" w:hAnsi="宋体" w:eastAsia="宋体" w:cs="宋体"/>
                <w:b/>
                <w:bCs/>
                <w:color w:val="0000FF"/>
                <w:sz w:val="20"/>
              </w:rPr>
              <w:t>■</w:t>
            </w:r>
            <w:r>
              <w:rPr>
                <w:rFonts w:hint="eastAsia" w:ascii="宋体" w:hAnsi="宋体"/>
                <w:b/>
                <w:bCs/>
                <w:color w:val="0000FF"/>
                <w:sz w:val="20"/>
              </w:rPr>
              <w:t xml:space="preserve">网络 </w:t>
            </w:r>
            <w:r>
              <w:rPr>
                <w:rFonts w:hint="eastAsia" w:ascii="宋体" w:hAnsi="宋体" w:eastAsia="宋体" w:cs="宋体"/>
                <w:b/>
                <w:bCs/>
                <w:color w:val="0000FF"/>
                <w:sz w:val="20"/>
              </w:rPr>
              <w:t>■</w:t>
            </w:r>
            <w:r>
              <w:rPr>
                <w:rFonts w:hint="eastAsia" w:ascii="宋体" w:hAnsi="宋体"/>
                <w:b/>
                <w:bCs/>
                <w:color w:val="0000FF"/>
                <w:sz w:val="20"/>
              </w:rPr>
              <w:t xml:space="preserve">智能手机  </w:t>
            </w:r>
            <w:r>
              <w:rPr>
                <w:rFonts w:hint="eastAsia" w:ascii="宋体" w:hAnsi="宋体" w:eastAsia="宋体" w:cs="宋体"/>
                <w:b/>
                <w:bCs/>
                <w:color w:val="0000FF"/>
                <w:sz w:val="20"/>
              </w:rPr>
              <w:t>■</w:t>
            </w:r>
            <w:r>
              <w:rPr>
                <w:rFonts w:hint="eastAsia" w:ascii="宋体" w:hAnsi="宋体"/>
                <w:b/>
                <w:bCs/>
                <w:color w:val="0000FF"/>
                <w:sz w:val="20"/>
              </w:rPr>
              <w:t xml:space="preserve">台式电脑 </w:t>
            </w:r>
            <w:r>
              <w:rPr>
                <w:rFonts w:hint="eastAsia" w:ascii="宋体" w:hAnsi="宋体" w:eastAsia="宋体" w:cs="宋体"/>
                <w:b/>
                <w:bCs/>
                <w:color w:val="0000FF"/>
                <w:sz w:val="20"/>
              </w:rPr>
              <w:t>■</w:t>
            </w:r>
            <w:r>
              <w:rPr>
                <w:rFonts w:hint="eastAsia" w:ascii="宋体" w:hAnsi="宋体"/>
                <w:b/>
                <w:bCs/>
                <w:color w:val="0000FF"/>
                <w:sz w:val="20"/>
              </w:rPr>
              <w:t xml:space="preserve">笔记本电脑 □录像机 </w:t>
            </w:r>
            <w:r>
              <w:rPr>
                <w:rFonts w:hint="eastAsia" w:ascii="宋体" w:hAnsi="宋体" w:eastAsia="宋体" w:cs="宋体"/>
                <w:b/>
                <w:bCs/>
                <w:color w:val="0000FF"/>
                <w:sz w:val="20"/>
              </w:rPr>
              <w:t>■</w:t>
            </w:r>
            <w:r>
              <w:rPr>
                <w:rFonts w:hint="eastAsia" w:ascii="宋体" w:hAnsi="宋体"/>
                <w:b/>
                <w:bCs/>
                <w:color w:val="0000FF"/>
                <w:sz w:val="20"/>
              </w:rPr>
              <w:t>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96" w:type="dxa"/>
            <w:gridSpan w:val="3"/>
            <w:vAlign w:val="center"/>
          </w:tcPr>
          <w:p>
            <w:r>
              <w:rPr>
                <w:rFonts w:hint="eastAsia"/>
              </w:rPr>
              <w:t>审核范围</w:t>
            </w:r>
          </w:p>
        </w:tc>
        <w:tc>
          <w:tcPr>
            <w:tcW w:w="5498" w:type="dxa"/>
            <w:gridSpan w:val="9"/>
            <w:vAlign w:val="center"/>
          </w:tcPr>
          <w:p>
            <w:bookmarkStart w:id="13" w:name="审核范围"/>
            <w:r>
              <w:t>机关事业单位管理所涉及的能源管理活动</w:t>
            </w:r>
            <w:bookmarkEnd w:id="13"/>
          </w:p>
        </w:tc>
        <w:tc>
          <w:tcPr>
            <w:tcW w:w="1683" w:type="dxa"/>
            <w:gridSpan w:val="3"/>
            <w:vAlign w:val="center"/>
          </w:tcPr>
          <w:p>
            <w:r>
              <w:rPr>
                <w:rFonts w:hint="eastAsia"/>
              </w:rPr>
              <w:t>项目专业代码</w:t>
            </w:r>
          </w:p>
        </w:tc>
        <w:tc>
          <w:tcPr>
            <w:tcW w:w="1349" w:type="dxa"/>
            <w:gridSpan w:val="3"/>
            <w:vAlign w:val="center"/>
          </w:tcPr>
          <w:p>
            <w:bookmarkStart w:id="14" w:name="专业代码"/>
            <w:r>
              <w:t>2.9</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hint="eastAsia" w:ascii="宋体" w:hAnsi="宋体"/>
                <w:b/>
                <w:sz w:val="21"/>
                <w:szCs w:val="21"/>
              </w:rPr>
            </w:pPr>
            <w:r>
              <w:rPr>
                <w:rFonts w:hint="eastAsia" w:ascii="宋体" w:hAnsi="宋体" w:eastAsia="宋体" w:cs="宋体"/>
                <w:b/>
                <w:sz w:val="21"/>
                <w:szCs w:val="21"/>
              </w:rPr>
              <w:t>■</w:t>
            </w:r>
            <w:r>
              <w:rPr>
                <w:rFonts w:hint="eastAsia" w:ascii="宋体" w:hAnsi="宋体"/>
                <w:b/>
                <w:sz w:val="21"/>
                <w:szCs w:val="21"/>
              </w:rPr>
              <w:t>GB/T 23331-2020/ISO50001：2018标准</w:t>
            </w:r>
          </w:p>
          <w:p>
            <w:pPr>
              <w:rPr>
                <w:rFonts w:hint="eastAsia" w:ascii="宋体" w:hAnsi="宋体"/>
                <w:b/>
                <w:sz w:val="21"/>
                <w:szCs w:val="21"/>
              </w:rPr>
            </w:pPr>
            <w:r>
              <w:rPr>
                <w:rFonts w:hint="eastAsia" w:ascii="宋体" w:hAnsi="宋体" w:eastAsia="宋体" w:cs="宋体"/>
                <w:b/>
                <w:sz w:val="21"/>
                <w:szCs w:val="21"/>
              </w:rPr>
              <w:t>■</w:t>
            </w:r>
            <w:r>
              <w:rPr>
                <w:rFonts w:hint="eastAsia" w:ascii="宋体" w:hAnsi="宋体"/>
                <w:b/>
                <w:sz w:val="21"/>
                <w:szCs w:val="21"/>
              </w:rPr>
              <w:t>RB</w:t>
            </w:r>
            <w:r>
              <w:rPr>
                <w:rFonts w:hint="eastAsia" w:ascii="宋体" w:hAnsi="宋体"/>
                <w:b/>
                <w:sz w:val="21"/>
                <w:szCs w:val="21"/>
                <w:lang w:val="en-US" w:eastAsia="zh-CN"/>
              </w:rPr>
              <w:t>/</w:t>
            </w:r>
            <w:r>
              <w:rPr>
                <w:rFonts w:hint="eastAsia" w:ascii="宋体" w:hAnsi="宋体"/>
                <w:b/>
                <w:sz w:val="21"/>
                <w:szCs w:val="21"/>
              </w:rPr>
              <w:t>T 107-2013 能源管理体系 公共建筑管理组织认证要求</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适用于受审核方的法律法规及其他要求；</w:t>
            </w:r>
            <w:r>
              <w:rPr>
                <w:rFonts w:hint="eastAsia" w:ascii="宋体" w:hAnsi="宋体" w:eastAsia="宋体" w:cs="宋体"/>
                <w:b/>
                <w:sz w:val="21"/>
                <w:szCs w:val="21"/>
              </w:rPr>
              <w:t>■</w:t>
            </w:r>
            <w:r>
              <w:rPr>
                <w:rFonts w:hint="eastAsia" w:ascii="宋体" w:hAnsi="宋体"/>
                <w:b/>
                <w:sz w:val="21"/>
                <w:szCs w:val="21"/>
              </w:rPr>
              <w:t>认证合同</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rPr>
                <w:b/>
                <w:sz w:val="21"/>
                <w:szCs w:val="21"/>
                <w:lang w:val="de-DE"/>
              </w:rPr>
            </w:pPr>
            <w:r>
              <w:rPr>
                <w:rFonts w:hint="eastAsia"/>
                <w:b/>
                <w:sz w:val="21"/>
                <w:szCs w:val="21"/>
              </w:rPr>
              <w:t>远程审核于</w:t>
            </w:r>
            <w:bookmarkStart w:id="15" w:name="审核日期"/>
            <w:r>
              <w:rPr>
                <w:rFonts w:hint="eastAsia"/>
                <w:b/>
                <w:sz w:val="21"/>
                <w:szCs w:val="21"/>
              </w:rPr>
              <w:t>2023年01月16日 下午至2023年01月16日 下午</w:t>
            </w:r>
            <w:bookmarkEnd w:id="15"/>
            <w:r>
              <w:rPr>
                <w:rFonts w:hint="eastAsia"/>
                <w:b/>
                <w:sz w:val="21"/>
                <w:szCs w:val="21"/>
              </w:rPr>
              <w:t>，共</w:t>
            </w:r>
            <w:bookmarkStart w:id="16" w:name="审核天数"/>
            <w:r>
              <w:rPr>
                <w:rFonts w:hint="eastAsia"/>
                <w:b/>
                <w:sz w:val="21"/>
                <w:szCs w:val="21"/>
              </w:rPr>
              <w:t>0.5</w:t>
            </w:r>
            <w:bookmarkEnd w:id="16"/>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ascii="宋体" w:hAnsi="宋体" w:eastAsia="宋体" w:cs="宋体"/>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95" w:type="dxa"/>
            <w:gridSpan w:val="2"/>
            <w:vAlign w:val="center"/>
          </w:tcPr>
          <w:p>
            <w:pPr>
              <w:jc w:val="center"/>
              <w:rPr>
                <w:sz w:val="21"/>
                <w:szCs w:val="21"/>
              </w:rPr>
            </w:pPr>
            <w:r>
              <w:rPr>
                <w:rFonts w:hint="eastAsia"/>
                <w:sz w:val="21"/>
                <w:szCs w:val="21"/>
              </w:rPr>
              <w:t>组内身份</w:t>
            </w:r>
          </w:p>
        </w:tc>
        <w:tc>
          <w:tcPr>
            <w:tcW w:w="982" w:type="dxa"/>
            <w:gridSpan w:val="2"/>
            <w:vAlign w:val="center"/>
          </w:tcPr>
          <w:p>
            <w:pPr>
              <w:jc w:val="center"/>
              <w:rPr>
                <w:sz w:val="21"/>
                <w:szCs w:val="21"/>
              </w:rPr>
            </w:pPr>
            <w:r>
              <w:rPr>
                <w:rFonts w:hint="eastAsia"/>
                <w:sz w:val="21"/>
                <w:szCs w:val="21"/>
              </w:rPr>
              <w:t>姓名</w:t>
            </w:r>
          </w:p>
        </w:tc>
        <w:tc>
          <w:tcPr>
            <w:tcW w:w="737" w:type="dxa"/>
            <w:vAlign w:val="center"/>
          </w:tcPr>
          <w:p>
            <w:pPr>
              <w:jc w:val="center"/>
              <w:rPr>
                <w:sz w:val="21"/>
                <w:szCs w:val="21"/>
              </w:rPr>
            </w:pPr>
            <w:r>
              <w:rPr>
                <w:rFonts w:hint="eastAsia"/>
                <w:sz w:val="21"/>
                <w:szCs w:val="21"/>
              </w:rPr>
              <w:t>性别</w:t>
            </w:r>
          </w:p>
        </w:tc>
        <w:tc>
          <w:tcPr>
            <w:tcW w:w="2499" w:type="dxa"/>
            <w:gridSpan w:val="3"/>
            <w:vAlign w:val="center"/>
          </w:tcPr>
          <w:p>
            <w:pPr>
              <w:jc w:val="center"/>
              <w:rPr>
                <w:sz w:val="21"/>
                <w:szCs w:val="21"/>
              </w:rPr>
            </w:pPr>
            <w:r>
              <w:rPr>
                <w:rFonts w:hint="eastAsia"/>
                <w:sz w:val="18"/>
                <w:szCs w:val="18"/>
              </w:rPr>
              <w:t>注册证书号</w:t>
            </w:r>
          </w:p>
        </w:tc>
        <w:tc>
          <w:tcPr>
            <w:tcW w:w="1064" w:type="dxa"/>
            <w:gridSpan w:val="3"/>
            <w:vAlign w:val="center"/>
          </w:tcPr>
          <w:p>
            <w:pPr>
              <w:jc w:val="center"/>
              <w:rPr>
                <w:sz w:val="18"/>
                <w:szCs w:val="18"/>
              </w:rPr>
            </w:pPr>
            <w:r>
              <w:rPr>
                <w:rFonts w:hint="eastAsia"/>
                <w:sz w:val="18"/>
                <w:szCs w:val="18"/>
              </w:rPr>
              <w:t>审核方式</w:t>
            </w:r>
          </w:p>
        </w:tc>
        <w:tc>
          <w:tcPr>
            <w:tcW w:w="1072" w:type="dxa"/>
            <w:gridSpan w:val="2"/>
            <w:vAlign w:val="center"/>
          </w:tcPr>
          <w:p>
            <w:pPr>
              <w:jc w:val="center"/>
              <w:rPr>
                <w:sz w:val="21"/>
                <w:szCs w:val="21"/>
              </w:rPr>
            </w:pPr>
            <w:r>
              <w:rPr>
                <w:rFonts w:hint="eastAsia" w:ascii="Times New Roman" w:hAnsi="Times New Roman" w:eastAsia="宋体" w:cs="Times New Roman"/>
                <w:sz w:val="18"/>
                <w:szCs w:val="18"/>
              </w:rPr>
              <w:t>专业代码</w:t>
            </w:r>
          </w:p>
        </w:tc>
        <w:tc>
          <w:tcPr>
            <w:tcW w:w="1393" w:type="dxa"/>
            <w:gridSpan w:val="4"/>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95" w:type="dxa"/>
            <w:gridSpan w:val="2"/>
            <w:vAlign w:val="center"/>
          </w:tcPr>
          <w:p>
            <w:pPr>
              <w:jc w:val="center"/>
              <w:rPr>
                <w:rFonts w:hint="eastAsia" w:eastAsia="宋体"/>
                <w:sz w:val="21"/>
                <w:szCs w:val="21"/>
                <w:lang w:eastAsia="zh-CN"/>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982" w:type="dxa"/>
            <w:gridSpan w:val="2"/>
            <w:vAlign w:val="center"/>
          </w:tcPr>
          <w:p>
            <w:pPr>
              <w:jc w:val="center"/>
              <w:rPr>
                <w:sz w:val="21"/>
                <w:szCs w:val="21"/>
              </w:rPr>
            </w:pPr>
            <w:r>
              <w:rPr>
                <w:sz w:val="21"/>
                <w:szCs w:val="21"/>
              </w:rPr>
              <w:t>李丽英</w:t>
            </w:r>
          </w:p>
        </w:tc>
        <w:tc>
          <w:tcPr>
            <w:tcW w:w="737" w:type="dxa"/>
            <w:vAlign w:val="center"/>
          </w:tcPr>
          <w:p>
            <w:pPr>
              <w:jc w:val="center"/>
              <w:rPr>
                <w:sz w:val="21"/>
                <w:szCs w:val="21"/>
              </w:rPr>
            </w:pPr>
            <w:r>
              <w:rPr>
                <w:sz w:val="21"/>
                <w:szCs w:val="21"/>
              </w:rPr>
              <w:t>女</w:t>
            </w:r>
          </w:p>
        </w:tc>
        <w:tc>
          <w:tcPr>
            <w:tcW w:w="2499" w:type="dxa"/>
            <w:gridSpan w:val="3"/>
            <w:vAlign w:val="center"/>
          </w:tcPr>
          <w:p>
            <w:pPr>
              <w:jc w:val="center"/>
              <w:rPr>
                <w:sz w:val="21"/>
                <w:szCs w:val="21"/>
              </w:rPr>
            </w:pPr>
            <w:r>
              <w:rPr>
                <w:sz w:val="21"/>
                <w:szCs w:val="21"/>
              </w:rPr>
              <w:t>2020-N1EnMS-3021820</w:t>
            </w:r>
          </w:p>
        </w:tc>
        <w:tc>
          <w:tcPr>
            <w:tcW w:w="1064" w:type="dxa"/>
            <w:gridSpan w:val="3"/>
            <w:vAlign w:val="center"/>
          </w:tcPr>
          <w:p>
            <w:pPr>
              <w:jc w:val="center"/>
              <w:rPr>
                <w:sz w:val="18"/>
                <w:szCs w:val="18"/>
              </w:rPr>
            </w:pPr>
            <w:r>
              <w:rPr>
                <w:sz w:val="18"/>
                <w:szCs w:val="18"/>
              </w:rPr>
              <w:t>远程审核</w:t>
            </w:r>
          </w:p>
        </w:tc>
        <w:tc>
          <w:tcPr>
            <w:tcW w:w="1072" w:type="dxa"/>
            <w:gridSpan w:val="2"/>
            <w:vAlign w:val="center"/>
          </w:tcPr>
          <w:p>
            <w:pPr>
              <w:jc w:val="center"/>
              <w:rPr>
                <w:sz w:val="21"/>
                <w:szCs w:val="21"/>
              </w:rPr>
            </w:pPr>
            <w:r>
              <w:rPr>
                <w:sz w:val="21"/>
                <w:szCs w:val="21"/>
              </w:rPr>
              <w:t>2.9</w:t>
            </w:r>
          </w:p>
        </w:tc>
        <w:tc>
          <w:tcPr>
            <w:tcW w:w="1393" w:type="dxa"/>
            <w:gridSpan w:val="4"/>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95" w:type="dxa"/>
            <w:gridSpan w:val="2"/>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982" w:type="dxa"/>
            <w:gridSpan w:val="2"/>
            <w:vAlign w:val="center"/>
          </w:tcPr>
          <w:p>
            <w:pPr>
              <w:jc w:val="center"/>
              <w:rPr>
                <w:sz w:val="21"/>
                <w:szCs w:val="21"/>
              </w:rPr>
            </w:pPr>
            <w:r>
              <w:rPr>
                <w:sz w:val="21"/>
                <w:szCs w:val="21"/>
              </w:rPr>
              <w:t>王宁敏</w:t>
            </w:r>
          </w:p>
        </w:tc>
        <w:tc>
          <w:tcPr>
            <w:tcW w:w="737" w:type="dxa"/>
            <w:vAlign w:val="center"/>
          </w:tcPr>
          <w:p>
            <w:pPr>
              <w:jc w:val="center"/>
              <w:rPr>
                <w:sz w:val="21"/>
                <w:szCs w:val="21"/>
              </w:rPr>
            </w:pPr>
            <w:r>
              <w:rPr>
                <w:sz w:val="21"/>
                <w:szCs w:val="21"/>
              </w:rPr>
              <w:t>男</w:t>
            </w:r>
          </w:p>
        </w:tc>
        <w:tc>
          <w:tcPr>
            <w:tcW w:w="2499" w:type="dxa"/>
            <w:gridSpan w:val="3"/>
            <w:vAlign w:val="center"/>
          </w:tcPr>
          <w:p>
            <w:pPr>
              <w:jc w:val="center"/>
              <w:rPr>
                <w:sz w:val="21"/>
                <w:szCs w:val="21"/>
              </w:rPr>
            </w:pPr>
            <w:r>
              <w:rPr>
                <w:sz w:val="21"/>
                <w:szCs w:val="21"/>
              </w:rPr>
              <w:t>2021-N1EnMS-3061496</w:t>
            </w:r>
          </w:p>
        </w:tc>
        <w:tc>
          <w:tcPr>
            <w:tcW w:w="1064" w:type="dxa"/>
            <w:gridSpan w:val="3"/>
            <w:vAlign w:val="center"/>
          </w:tcPr>
          <w:p>
            <w:pPr>
              <w:jc w:val="center"/>
              <w:rPr>
                <w:sz w:val="18"/>
                <w:szCs w:val="18"/>
              </w:rPr>
            </w:pPr>
            <w:r>
              <w:rPr>
                <w:sz w:val="18"/>
                <w:szCs w:val="18"/>
              </w:rPr>
              <w:t>远程审核</w:t>
            </w:r>
          </w:p>
        </w:tc>
        <w:tc>
          <w:tcPr>
            <w:tcW w:w="1072" w:type="dxa"/>
            <w:gridSpan w:val="2"/>
            <w:vAlign w:val="center"/>
          </w:tcPr>
          <w:p>
            <w:pPr>
              <w:jc w:val="center"/>
              <w:rPr>
                <w:sz w:val="21"/>
                <w:szCs w:val="21"/>
              </w:rPr>
            </w:pPr>
          </w:p>
        </w:tc>
        <w:tc>
          <w:tcPr>
            <w:tcW w:w="1393" w:type="dxa"/>
            <w:gridSpan w:val="4"/>
            <w:vAlign w:val="center"/>
          </w:tcPr>
          <w:p>
            <w:pPr>
              <w:jc w:val="center"/>
              <w:rPr>
                <w:sz w:val="21"/>
                <w:szCs w:val="21"/>
              </w:rPr>
            </w:pPr>
            <w:r>
              <w:rPr>
                <w:sz w:val="21"/>
                <w:szCs w:val="21"/>
              </w:rPr>
              <w:t>13500552028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r>
              <w:drawing>
                <wp:anchor distT="0" distB="0" distL="114300" distR="114300" simplePos="0" relativeHeight="251659264" behindDoc="0" locked="0" layoutInCell="1" allowOverlap="1">
                  <wp:simplePos x="0" y="0"/>
                  <wp:positionH relativeFrom="column">
                    <wp:posOffset>150495</wp:posOffset>
                  </wp:positionH>
                  <wp:positionV relativeFrom="paragraph">
                    <wp:posOffset>68580</wp:posOffset>
                  </wp:positionV>
                  <wp:extent cx="673100" cy="274955"/>
                  <wp:effectExtent l="0" t="0" r="0" b="3810"/>
                  <wp:wrapSquare wrapText="bothSides"/>
                  <wp:docPr id="3" name="图片 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丽英电子签"/>
                          <pic:cNvPicPr>
                            <a:picLocks noChangeAspect="1"/>
                          </pic:cNvPicPr>
                        </pic:nvPicPr>
                        <pic:blipFill>
                          <a:blip r:embed="rId6"/>
                          <a:stretch>
                            <a:fillRect/>
                          </a:stretch>
                        </pic:blipFill>
                        <pic:spPr>
                          <a:xfrm>
                            <a:off x="0" y="0"/>
                            <a:ext cx="673100" cy="274955"/>
                          </a:xfrm>
                          <a:prstGeom prst="rect">
                            <a:avLst/>
                          </a:prstGeom>
                          <a:noFill/>
                          <a:ln>
                            <a:noFill/>
                          </a:ln>
                        </pic:spPr>
                      </pic:pic>
                    </a:graphicData>
                  </a:graphic>
                </wp:anchor>
              </w:drawing>
            </w:r>
          </w:p>
        </w:tc>
        <w:tc>
          <w:tcPr>
            <w:tcW w:w="2126"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9"/>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3"/>
            <w:vMerge w:val="continue"/>
            <w:vAlign w:val="center"/>
          </w:tcPr>
          <w:p>
            <w:pPr>
              <w:spacing w:line="360" w:lineRule="auto"/>
              <w:rPr>
                <w:sz w:val="21"/>
                <w:szCs w:val="21"/>
              </w:rPr>
            </w:pPr>
          </w:p>
        </w:tc>
        <w:tc>
          <w:tcPr>
            <w:tcW w:w="3922" w:type="dxa"/>
            <w:gridSpan w:val="9"/>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2023.1.14</w:t>
            </w:r>
          </w:p>
        </w:tc>
        <w:tc>
          <w:tcPr>
            <w:tcW w:w="2126" w:type="dxa"/>
            <w:gridSpan w:val="3"/>
            <w:vAlign w:val="center"/>
          </w:tcPr>
          <w:p>
            <w:pPr>
              <w:spacing w:line="360" w:lineRule="auto"/>
              <w:rPr>
                <w:sz w:val="21"/>
                <w:szCs w:val="21"/>
              </w:rPr>
            </w:pPr>
            <w:r>
              <w:rPr>
                <w:rFonts w:hint="eastAsia"/>
                <w:sz w:val="21"/>
                <w:szCs w:val="21"/>
              </w:rPr>
              <w:t>日期</w:t>
            </w:r>
          </w:p>
        </w:tc>
        <w:tc>
          <w:tcPr>
            <w:tcW w:w="3922" w:type="dxa"/>
            <w:gridSpan w:val="9"/>
            <w:vAlign w:val="center"/>
          </w:tcPr>
          <w:p>
            <w:pPr>
              <w:spacing w:line="360" w:lineRule="auto"/>
              <w:rPr>
                <w:rFonts w:hint="default" w:eastAsia="宋体"/>
                <w:lang w:val="en-US" w:eastAsia="zh-CN"/>
              </w:rPr>
            </w:pPr>
            <w:r>
              <w:rPr>
                <w:rFonts w:hint="eastAsia"/>
                <w:lang w:val="en-US" w:eastAsia="zh-CN"/>
              </w:rPr>
              <w:t>2023.1.16</w:t>
            </w:r>
          </w:p>
        </w:tc>
      </w:tr>
    </w:tbl>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471"/>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471" w:type="dxa"/>
            <w:vAlign w:val="center"/>
          </w:tcPr>
          <w:p>
            <w:pPr>
              <w:snapToGrid w:val="0"/>
              <w:spacing w:line="280" w:lineRule="exact"/>
              <w:jc w:val="center"/>
              <w:rPr>
                <w:b/>
                <w:sz w:val="22"/>
                <w:szCs w:val="22"/>
              </w:rPr>
            </w:pPr>
            <w:r>
              <w:rPr>
                <w:rFonts w:hint="eastAsia"/>
                <w:b/>
                <w:sz w:val="20"/>
              </w:rPr>
              <w:t>受审核部门、场所及审核内容</w:t>
            </w:r>
          </w:p>
        </w:tc>
        <w:tc>
          <w:tcPr>
            <w:tcW w:w="150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1-16</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13:30-14:00</w:t>
            </w:r>
          </w:p>
        </w:tc>
        <w:tc>
          <w:tcPr>
            <w:tcW w:w="6471" w:type="dxa"/>
            <w:vAlign w:val="center"/>
          </w:tcPr>
          <w:p>
            <w:pPr>
              <w:snapToGrid w:val="0"/>
              <w:spacing w:line="280" w:lineRule="exact"/>
              <w:jc w:val="center"/>
              <w:rPr>
                <w:b/>
                <w:sz w:val="20"/>
              </w:rPr>
            </w:pPr>
            <w:r>
              <w:rPr>
                <w:rFonts w:hint="eastAsia"/>
                <w:b/>
                <w:sz w:val="20"/>
              </w:rPr>
              <w:t>首次会议</w:t>
            </w:r>
          </w:p>
        </w:tc>
        <w:tc>
          <w:tcPr>
            <w:tcW w:w="1506" w:type="dxa"/>
            <w:tcBorders>
              <w:right w:val="single" w:color="auto" w:sz="8" w:space="0"/>
            </w:tcBorders>
            <w:vAlign w:val="center"/>
          </w:tcPr>
          <w:p>
            <w:pPr>
              <w:snapToGrid w:val="0"/>
              <w:spacing w:line="280" w:lineRule="exact"/>
              <w:jc w:val="center"/>
              <w:rPr>
                <w:rFonts w:hint="default" w:eastAsia="宋体"/>
                <w:b/>
                <w:sz w:val="20"/>
                <w:lang w:val="en-US" w:eastAsia="zh-CN"/>
              </w:rPr>
            </w:pPr>
            <w:r>
              <w:rPr>
                <w:rFonts w:hint="eastAsia" w:ascii="宋体" w:hAnsi="宋体"/>
                <w:b/>
                <w:bCs/>
                <w:sz w:val="21"/>
                <w:szCs w:val="21"/>
                <w:lang w:val="en-US" w:eastAsia="zh-CN"/>
              </w:rPr>
              <w:t>AB</w:t>
            </w:r>
            <w:r>
              <w:rPr>
                <w:rFonts w:hint="eastAsia" w:ascii="宋体" w:hAnsi="宋体"/>
                <w:b/>
                <w:bCs/>
                <w:sz w:val="21"/>
                <w:szCs w:val="21"/>
                <w:lang w:eastAsia="zh-CN"/>
              </w:rPr>
              <w:t>（</w:t>
            </w:r>
            <w:r>
              <w:rPr>
                <w:rFonts w:hint="eastAsia" w:ascii="宋体" w:hAnsi="宋体"/>
                <w:b/>
                <w:bCs/>
                <w:sz w:val="21"/>
                <w:szCs w:val="21"/>
                <w:lang w:val="en-US" w:eastAsia="zh-CN"/>
              </w:rPr>
              <w:t>腾讯会议</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1-16</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14:00-15:00</w:t>
            </w:r>
          </w:p>
        </w:tc>
        <w:tc>
          <w:tcPr>
            <w:tcW w:w="647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widowControl/>
              <w:jc w:val="left"/>
              <w:rPr>
                <w:rFonts w:hint="eastAsia"/>
                <w:szCs w:val="18"/>
              </w:rPr>
            </w:pPr>
            <w:r>
              <w:rPr>
                <w:rFonts w:hint="eastAsia"/>
                <w:szCs w:val="18"/>
              </w:rPr>
              <w:t>核对资质证书（营业执照、生产（安全）许可证、行业许可证、3C证书等）原件和复印件/扫描件的一致性</w:t>
            </w:r>
          </w:p>
          <w:p>
            <w:pPr>
              <w:widowControl/>
              <w:jc w:val="left"/>
              <w:rPr>
                <w:rFonts w:hint="eastAsia"/>
                <w:szCs w:val="18"/>
              </w:rPr>
            </w:pPr>
            <w:r>
              <w:rPr>
                <w:rFonts w:hint="eastAsia"/>
                <w:szCs w:val="18"/>
              </w:rPr>
              <w:t>确定审核范围的合理性（地址、产品/服务）</w:t>
            </w:r>
          </w:p>
          <w:p>
            <w:pPr>
              <w:widowControl/>
              <w:jc w:val="left"/>
              <w:rPr>
                <w:rFonts w:hint="eastAsia"/>
                <w:szCs w:val="18"/>
              </w:rPr>
            </w:pPr>
            <w:r>
              <w:rPr>
                <w:rFonts w:hint="eastAsia"/>
                <w:szCs w:val="18"/>
              </w:rPr>
              <w:t>确定多现场和临时现场的地址</w:t>
            </w:r>
          </w:p>
          <w:p>
            <w:pPr>
              <w:widowControl/>
              <w:jc w:val="left"/>
              <w:rPr>
                <w:rFonts w:hint="eastAsia"/>
                <w:szCs w:val="18"/>
              </w:rPr>
            </w:pPr>
            <w:r>
              <w:rPr>
                <w:rFonts w:hint="eastAsia"/>
                <w:szCs w:val="18"/>
              </w:rPr>
              <w:t>确定有效的员工人数</w:t>
            </w:r>
          </w:p>
          <w:p>
            <w:pPr>
              <w:widowControl/>
              <w:jc w:val="left"/>
              <w:rPr>
                <w:rFonts w:hint="eastAsia"/>
                <w:szCs w:val="18"/>
              </w:rPr>
            </w:pPr>
            <w:r>
              <w:rPr>
                <w:rFonts w:hint="eastAsia"/>
                <w:szCs w:val="18"/>
              </w:rPr>
              <w:t>生产、服务的班次</w:t>
            </w:r>
          </w:p>
          <w:p>
            <w:pPr>
              <w:widowControl/>
              <w:jc w:val="left"/>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506" w:type="dxa"/>
            <w:tcBorders>
              <w:right w:val="single" w:color="auto" w:sz="8" w:space="0"/>
            </w:tcBorders>
            <w:vAlign w:val="center"/>
          </w:tcPr>
          <w:p>
            <w:pPr>
              <w:snapToGrid w:val="0"/>
              <w:spacing w:line="280" w:lineRule="exact"/>
              <w:jc w:val="left"/>
              <w:rPr>
                <w:b/>
                <w:sz w:val="20"/>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1-16</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14:00-15:00</w:t>
            </w:r>
          </w:p>
        </w:tc>
        <w:tc>
          <w:tcPr>
            <w:tcW w:w="6471" w:type="dxa"/>
            <w:vAlign w:val="center"/>
          </w:tcPr>
          <w:p>
            <w:pPr>
              <w:rPr>
                <w:szCs w:val="18"/>
                <w:shd w:val="pct10" w:color="auto" w:fill="FFFFFF"/>
              </w:rPr>
            </w:pPr>
            <w:r>
              <w:rPr>
                <w:rFonts w:hint="eastAsia"/>
                <w:szCs w:val="18"/>
                <w:shd w:val="pct10" w:color="auto" w:fill="FFFFFF"/>
              </w:rPr>
              <w:t>了解企业基本情况：</w:t>
            </w:r>
          </w:p>
          <w:p>
            <w:pPr>
              <w:widowControl/>
              <w:jc w:val="left"/>
              <w:rPr>
                <w:rFonts w:hint="eastAsia"/>
                <w:szCs w:val="18"/>
              </w:rPr>
            </w:pPr>
            <w:r>
              <w:rPr>
                <w:rFonts w:hint="eastAsia"/>
                <w:szCs w:val="18"/>
              </w:rPr>
              <w:t>组织环境</w:t>
            </w:r>
          </w:p>
          <w:p>
            <w:pPr>
              <w:widowControl/>
              <w:jc w:val="left"/>
              <w:rPr>
                <w:rFonts w:hint="eastAsia"/>
                <w:szCs w:val="18"/>
              </w:rPr>
            </w:pPr>
            <w:r>
              <w:rPr>
                <w:rFonts w:hint="eastAsia"/>
                <w:szCs w:val="18"/>
              </w:rPr>
              <w:t>主要的相关方和期望</w:t>
            </w:r>
          </w:p>
          <w:p>
            <w:pPr>
              <w:widowControl/>
              <w:jc w:val="left"/>
              <w:rPr>
                <w:rFonts w:hint="eastAsia"/>
                <w:szCs w:val="18"/>
              </w:rPr>
            </w:pPr>
            <w:r>
              <w:rPr>
                <w:rFonts w:hint="eastAsia"/>
                <w:szCs w:val="18"/>
              </w:rPr>
              <w:t>风险的识别和评价</w:t>
            </w:r>
          </w:p>
          <w:p>
            <w:pPr>
              <w:widowControl/>
              <w:jc w:val="left"/>
              <w:rPr>
                <w:rFonts w:hint="eastAsia"/>
                <w:szCs w:val="18"/>
              </w:rPr>
            </w:pPr>
            <w:r>
              <w:rPr>
                <w:rFonts w:hint="eastAsia"/>
                <w:szCs w:val="18"/>
              </w:rPr>
              <w:t>组织机构的设置</w:t>
            </w:r>
          </w:p>
          <w:p>
            <w:pPr>
              <w:widowControl/>
              <w:jc w:val="left"/>
              <w:rPr>
                <w:rFonts w:hint="eastAsia"/>
                <w:szCs w:val="18"/>
              </w:rPr>
            </w:pPr>
            <w:r>
              <w:rPr>
                <w:rFonts w:hint="eastAsia"/>
                <w:szCs w:val="18"/>
              </w:rPr>
              <w:t>外部提供过程、产品和服务</w:t>
            </w:r>
          </w:p>
          <w:p>
            <w:pPr>
              <w:widowControl/>
              <w:jc w:val="left"/>
              <w:rPr>
                <w:rFonts w:hint="eastAsia"/>
                <w:szCs w:val="18"/>
              </w:rPr>
            </w:pPr>
            <w:r>
              <w:rPr>
                <w:rFonts w:hint="eastAsia"/>
                <w:szCs w:val="18"/>
              </w:rPr>
              <w:t>被主管部门处罚和曝光情况</w:t>
            </w:r>
          </w:p>
          <w:p>
            <w:pPr>
              <w:widowControl/>
              <w:jc w:val="left"/>
              <w:rPr>
                <w:szCs w:val="18"/>
              </w:rPr>
            </w:pPr>
            <w:r>
              <w:rPr>
                <w:rFonts w:hint="eastAsia"/>
                <w:szCs w:val="18"/>
              </w:rPr>
              <w:t>其他机构转入情况（适用时）</w:t>
            </w:r>
          </w:p>
        </w:tc>
        <w:tc>
          <w:tcPr>
            <w:tcW w:w="150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ascii="宋体" w:hAnsi="宋体"/>
                <w:b/>
                <w:bCs/>
                <w:sz w:val="21"/>
                <w:szCs w:val="21"/>
                <w:lang w:val="en-US" w:eastAsia="zh-CN"/>
              </w:rPr>
              <w:t>B</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1-16</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15:00-16:00</w:t>
            </w:r>
          </w:p>
        </w:tc>
        <w:tc>
          <w:tcPr>
            <w:tcW w:w="647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50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ascii="宋体" w:hAnsi="宋体"/>
                <w:b/>
                <w:bCs/>
                <w:sz w:val="21"/>
                <w:szCs w:val="21"/>
                <w:lang w:val="en-US" w:eastAsia="zh-CN"/>
              </w:rPr>
              <w:t>B</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1-16</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16:00-17:00</w:t>
            </w:r>
          </w:p>
        </w:tc>
        <w:tc>
          <w:tcPr>
            <w:tcW w:w="647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jc w:val="left"/>
              <w:rPr>
                <w:rFonts w:hint="eastAsia"/>
                <w:szCs w:val="18"/>
              </w:rPr>
            </w:pPr>
            <w:r>
              <w:rPr>
                <w:rFonts w:hint="eastAsia"/>
                <w:szCs w:val="18"/>
              </w:rPr>
              <w:t>管理方针制定与贯彻情况</w:t>
            </w:r>
          </w:p>
          <w:p>
            <w:pPr>
              <w:widowControl/>
              <w:jc w:val="left"/>
              <w:rPr>
                <w:rFonts w:hint="eastAsia"/>
                <w:szCs w:val="18"/>
              </w:rPr>
            </w:pPr>
            <w:r>
              <w:rPr>
                <w:rFonts w:hint="eastAsia"/>
                <w:szCs w:val="18"/>
              </w:rPr>
              <w:t>管理目标及完成统计</w:t>
            </w:r>
          </w:p>
          <w:p>
            <w:pPr>
              <w:widowControl/>
              <w:jc w:val="left"/>
              <w:rPr>
                <w:rFonts w:hint="eastAsia"/>
                <w:szCs w:val="18"/>
              </w:rPr>
            </w:pPr>
            <w:r>
              <w:rPr>
                <w:rFonts w:hint="eastAsia"/>
                <w:szCs w:val="18"/>
              </w:rPr>
              <w:t>员工对相关标准的认知和能力（贯标培训、应知应会、持证上岗等）</w:t>
            </w:r>
          </w:p>
          <w:p>
            <w:pPr>
              <w:widowControl/>
              <w:jc w:val="left"/>
              <w:rPr>
                <w:rFonts w:hint="eastAsia"/>
                <w:szCs w:val="18"/>
              </w:rPr>
            </w:pPr>
            <w:r>
              <w:rPr>
                <w:rFonts w:hint="eastAsia"/>
                <w:szCs w:val="18"/>
              </w:rPr>
              <w:t>相关方/客户的反馈</w:t>
            </w:r>
          </w:p>
          <w:p>
            <w:pPr>
              <w:widowControl/>
              <w:jc w:val="left"/>
              <w:rPr>
                <w:rFonts w:hint="eastAsia"/>
                <w:szCs w:val="18"/>
              </w:rPr>
            </w:pPr>
            <w:r>
              <w:rPr>
                <w:rFonts w:hint="eastAsia"/>
                <w:szCs w:val="18"/>
              </w:rPr>
              <w:t>内审的策划和实施</w:t>
            </w:r>
          </w:p>
          <w:p>
            <w:pPr>
              <w:widowControl/>
              <w:jc w:val="left"/>
              <w:rPr>
                <w:rFonts w:hint="eastAsia"/>
                <w:szCs w:val="18"/>
              </w:rPr>
            </w:pPr>
            <w:r>
              <w:rPr>
                <w:rFonts w:hint="eastAsia"/>
                <w:szCs w:val="18"/>
              </w:rPr>
              <w:t>管理体系的评审</w:t>
            </w:r>
          </w:p>
          <w:p>
            <w:pPr>
              <w:widowControl/>
              <w:jc w:val="left"/>
              <w:rPr>
                <w:rFonts w:hint="eastAsia"/>
                <w:szCs w:val="18"/>
              </w:rPr>
            </w:pPr>
            <w:r>
              <w:rPr>
                <w:rFonts w:hint="eastAsia"/>
                <w:szCs w:val="18"/>
              </w:rPr>
              <w:t>对多场所/临时场所建立的控制的水平（适用时）</w:t>
            </w:r>
          </w:p>
          <w:p>
            <w:pPr>
              <w:widowControl/>
              <w:jc w:val="left"/>
              <w:rPr>
                <w:szCs w:val="18"/>
              </w:rPr>
            </w:pPr>
            <w:r>
              <w:rPr>
                <w:rFonts w:hint="eastAsia"/>
                <w:szCs w:val="18"/>
              </w:rPr>
              <w:t>识别二阶段审核的资源配置情况和可行性</w:t>
            </w:r>
          </w:p>
        </w:tc>
        <w:tc>
          <w:tcPr>
            <w:tcW w:w="150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ascii="宋体" w:hAnsi="宋体"/>
                <w:b/>
                <w:bCs/>
                <w:sz w:val="21"/>
                <w:szCs w:val="21"/>
                <w:lang w:val="en-US" w:eastAsia="zh-CN"/>
              </w:rPr>
              <w:t>B</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1-16</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15:00-16:30</w:t>
            </w:r>
          </w:p>
        </w:tc>
        <w:tc>
          <w:tcPr>
            <w:tcW w:w="647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widowControl/>
              <w:jc w:val="left"/>
              <w:rPr>
                <w:rFonts w:hint="eastAsia"/>
                <w:szCs w:val="18"/>
              </w:rPr>
            </w:pPr>
            <w:r>
              <w:rPr>
                <w:rFonts w:hint="eastAsia"/>
                <w:szCs w:val="18"/>
              </w:rPr>
              <w:t>查看能源评审报告的编制</w:t>
            </w:r>
          </w:p>
          <w:p>
            <w:pPr>
              <w:widowControl/>
              <w:jc w:val="left"/>
              <w:rPr>
                <w:rFonts w:hint="eastAsia"/>
                <w:szCs w:val="18"/>
              </w:rPr>
            </w:pPr>
            <w:r>
              <w:rPr>
                <w:rFonts w:hint="eastAsia"/>
                <w:szCs w:val="18"/>
              </w:rPr>
              <w:t>了解能源使用种类</w:t>
            </w:r>
          </w:p>
          <w:p>
            <w:pPr>
              <w:widowControl/>
              <w:jc w:val="left"/>
              <w:rPr>
                <w:rFonts w:hint="eastAsia"/>
                <w:szCs w:val="18"/>
              </w:rPr>
            </w:pPr>
            <w:r>
              <w:rPr>
                <w:rFonts w:hint="eastAsia"/>
                <w:szCs w:val="18"/>
              </w:rPr>
              <w:t>查看确定主要能源使用及识别影响主要能源使用的相关变量的合理性</w:t>
            </w:r>
          </w:p>
          <w:p>
            <w:pPr>
              <w:widowControl/>
              <w:jc w:val="left"/>
              <w:rPr>
                <w:rFonts w:hint="eastAsia"/>
                <w:szCs w:val="18"/>
              </w:rPr>
            </w:pPr>
            <w:r>
              <w:rPr>
                <w:rFonts w:hint="eastAsia"/>
                <w:szCs w:val="18"/>
              </w:rPr>
              <w:t>了解能源绩效改进和控制措施的实施</w:t>
            </w:r>
          </w:p>
          <w:p>
            <w:pPr>
              <w:widowControl/>
              <w:jc w:val="left"/>
              <w:rPr>
                <w:rFonts w:hint="eastAsia"/>
                <w:szCs w:val="18"/>
              </w:rPr>
            </w:pPr>
            <w:r>
              <w:rPr>
                <w:rFonts w:hint="eastAsia"/>
                <w:szCs w:val="18"/>
              </w:rPr>
              <w:t>了解适用的环境法律和其他要求的获取、识别程序实施情况和合规性评价</w:t>
            </w:r>
          </w:p>
          <w:p>
            <w:pPr>
              <w:widowControl/>
              <w:jc w:val="left"/>
              <w:rPr>
                <w:rFonts w:hint="eastAsia"/>
                <w:szCs w:val="18"/>
              </w:rPr>
            </w:pPr>
            <w:r>
              <w:rPr>
                <w:rFonts w:hint="eastAsia"/>
                <w:szCs w:val="18"/>
              </w:rPr>
              <w:t>查看合规性证明（新扩建的节能评估、节能效果监测或后评估报告、国家限额标准符合性、地方政府下达目标指标的符合性）</w:t>
            </w:r>
          </w:p>
          <w:p>
            <w:pPr>
              <w:widowControl/>
              <w:jc w:val="left"/>
              <w:rPr>
                <w:rFonts w:hint="eastAsia"/>
                <w:szCs w:val="18"/>
              </w:rPr>
            </w:pPr>
            <w:r>
              <w:rPr>
                <w:rFonts w:hint="eastAsia"/>
                <w:szCs w:val="18"/>
              </w:rPr>
              <w:t>了解能源计量管理、计量器具配备率、准确度等</w:t>
            </w:r>
          </w:p>
          <w:p>
            <w:pPr>
              <w:widowControl/>
              <w:jc w:val="left"/>
              <w:rPr>
                <w:rFonts w:hint="eastAsia"/>
                <w:szCs w:val="18"/>
              </w:rPr>
            </w:pPr>
            <w:r>
              <w:rPr>
                <w:rFonts w:hint="eastAsia"/>
                <w:szCs w:val="18"/>
              </w:rPr>
              <w:t>了解主要耗能设备能效测试</w:t>
            </w:r>
          </w:p>
          <w:p>
            <w:pPr>
              <w:widowControl/>
              <w:jc w:val="left"/>
              <w:rPr>
                <w:szCs w:val="18"/>
              </w:rPr>
            </w:pPr>
            <w:r>
              <w:rPr>
                <w:rFonts w:hint="eastAsia"/>
                <w:szCs w:val="18"/>
              </w:rPr>
              <w:t>了解高耗能淘汰落后设备的识别和更新情况</w:t>
            </w:r>
          </w:p>
        </w:tc>
        <w:tc>
          <w:tcPr>
            <w:tcW w:w="150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1-16</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16:30-17:00</w:t>
            </w:r>
          </w:p>
        </w:tc>
        <w:tc>
          <w:tcPr>
            <w:tcW w:w="647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jc w:val="left"/>
              <w:rPr>
                <w:rFonts w:hint="eastAsia"/>
                <w:szCs w:val="18"/>
              </w:rPr>
            </w:pPr>
            <w:r>
              <w:rPr>
                <w:rFonts w:hint="eastAsia"/>
                <w:szCs w:val="18"/>
              </w:rPr>
              <w:t>巡视生产区域（厂区、车间等主要能源使用区域）</w:t>
            </w:r>
          </w:p>
          <w:p>
            <w:pPr>
              <w:widowControl/>
              <w:jc w:val="left"/>
              <w:rPr>
                <w:rFonts w:hint="eastAsia"/>
                <w:szCs w:val="18"/>
              </w:rPr>
            </w:pPr>
            <w:r>
              <w:rPr>
                <w:rFonts w:hint="eastAsia"/>
                <w:szCs w:val="18"/>
              </w:rPr>
              <w:t>巡视动力设施和辅助设施（锅炉房、高低压配电室、空压站、制冷站、改建/扩建施工现场等）</w:t>
            </w:r>
          </w:p>
          <w:p>
            <w:pPr>
              <w:widowControl/>
              <w:jc w:val="left"/>
              <w:rPr>
                <w:rFonts w:hint="eastAsia"/>
                <w:szCs w:val="18"/>
              </w:rPr>
            </w:pPr>
            <w:r>
              <w:rPr>
                <w:rFonts w:hint="eastAsia"/>
                <w:szCs w:val="18"/>
              </w:rPr>
              <w:t>现场核实能源计量的管理</w:t>
            </w:r>
          </w:p>
          <w:p>
            <w:pPr>
              <w:widowControl/>
              <w:jc w:val="left"/>
              <w:rPr>
                <w:rFonts w:hint="eastAsia"/>
                <w:szCs w:val="18"/>
              </w:rPr>
            </w:pPr>
            <w:r>
              <w:rPr>
                <w:rFonts w:hint="eastAsia"/>
                <w:szCs w:val="18"/>
              </w:rPr>
              <w:t>观察节能设施运行情况</w:t>
            </w:r>
          </w:p>
          <w:p>
            <w:pPr>
              <w:widowControl/>
              <w:jc w:val="left"/>
              <w:rPr>
                <w:rFonts w:hint="eastAsia"/>
                <w:szCs w:val="18"/>
              </w:rPr>
            </w:pPr>
            <w:r>
              <w:rPr>
                <w:rFonts w:hint="eastAsia"/>
                <w:szCs w:val="18"/>
              </w:rPr>
              <w:t>观察监视和测量设备的种类并了解检定/校准情况</w:t>
            </w:r>
          </w:p>
          <w:p>
            <w:pPr>
              <w:widowControl/>
              <w:jc w:val="left"/>
            </w:pPr>
            <w:r>
              <w:rPr>
                <w:rFonts w:hint="eastAsia"/>
                <w:szCs w:val="18"/>
              </w:rPr>
              <w:t>观察现场能源的跑冒滴漏现象</w:t>
            </w:r>
          </w:p>
        </w:tc>
        <w:tc>
          <w:tcPr>
            <w:tcW w:w="150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1-16</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17:00-17:30</w:t>
            </w:r>
          </w:p>
        </w:tc>
        <w:tc>
          <w:tcPr>
            <w:tcW w:w="6471" w:type="dxa"/>
            <w:shd w:val="clear" w:color="auto" w:fill="auto"/>
            <w:vAlign w:val="center"/>
          </w:tcPr>
          <w:p>
            <w:pPr>
              <w:widowControl/>
              <w:spacing w:before="40"/>
              <w:jc w:val="left"/>
            </w:pPr>
            <w:r>
              <w:rPr>
                <w:rFonts w:hint="eastAsia"/>
              </w:rPr>
              <w:t>末次会议</w:t>
            </w:r>
          </w:p>
        </w:tc>
        <w:tc>
          <w:tcPr>
            <w:tcW w:w="150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ascii="宋体" w:hAnsi="宋体"/>
                <w:b/>
                <w:bCs/>
                <w:sz w:val="21"/>
                <w:szCs w:val="21"/>
                <w:lang w:val="en-US" w:eastAsia="zh-CN"/>
              </w:rPr>
              <w:t>AB</w:t>
            </w:r>
            <w:r>
              <w:rPr>
                <w:rFonts w:hint="eastAsia" w:ascii="宋体" w:hAnsi="宋体"/>
                <w:b/>
                <w:bCs/>
                <w:sz w:val="21"/>
                <w:szCs w:val="21"/>
                <w:lang w:eastAsia="zh-CN"/>
              </w:rPr>
              <w:t>（</w:t>
            </w:r>
            <w:r>
              <w:rPr>
                <w:rFonts w:hint="eastAsia" w:ascii="宋体" w:hAnsi="宋体"/>
                <w:b/>
                <w:bCs/>
                <w:sz w:val="21"/>
                <w:szCs w:val="21"/>
                <w:lang w:val="en-US" w:eastAsia="zh-CN"/>
              </w:rPr>
              <w:t>腾讯会议</w:t>
            </w:r>
            <w:r>
              <w:rPr>
                <w:rFonts w:hint="eastAsia" w:ascii="宋体" w:hAnsi="宋体"/>
                <w:b/>
                <w:bCs/>
                <w:sz w:val="21"/>
                <w:szCs w:val="21"/>
                <w:lang w:eastAsia="zh-CN"/>
              </w:rPr>
              <w:t>）</w:t>
            </w:r>
          </w:p>
        </w:tc>
      </w:tr>
    </w:tbl>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A137285"/>
    <w:rsid w:val="51C048A3"/>
    <w:rsid w:val="53DA520F"/>
    <w:rsid w:val="7F0C55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49</TotalTime>
  <ScaleCrop>false</ScaleCrop>
  <LinksUpToDate>false</LinksUpToDate>
  <CharactersWithSpaces>3698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2023-01-18T14:06:06Z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