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0119-2022-E</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sz w:val="32"/>
          <w:szCs w:val="32"/>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山东</w:t>
      </w:r>
      <w:bookmarkStart w:id="34" w:name="_GoBack"/>
      <w:bookmarkEnd w:id="34"/>
      <w:r>
        <w:rPr>
          <w:sz w:val="28"/>
          <w:szCs w:val="28"/>
        </w:rPr>
        <w:t>中恒景新碳纤维科技发展有限公司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pPr>
    </w:p>
    <w:p>
      <w:pPr>
        <w:pStyle w:val="2"/>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山东中恒景新碳纤维科技发展有限公司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山东省德州市齐河县齐鲁高新技术开发区</w:t>
            </w:r>
            <w:bookmarkEnd w:id="6"/>
          </w:p>
        </w:tc>
        <w:tc>
          <w:tcPr>
            <w:tcW w:w="1242" w:type="dxa"/>
            <w:vMerge w:val="restart"/>
            <w:vAlign w:val="center"/>
          </w:tcPr>
          <w:p>
            <w:r>
              <w:rPr>
                <w:rFonts w:hint="eastAsia"/>
              </w:rPr>
              <w:t>邮编</w:t>
            </w:r>
          </w:p>
        </w:tc>
        <w:tc>
          <w:tcPr>
            <w:tcW w:w="1771" w:type="dxa"/>
          </w:tcPr>
          <w:p>
            <w:bookmarkStart w:id="7" w:name="注册邮编"/>
            <w:r>
              <w:t>251100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济南市槐荫区齐州路2566号910室</w:t>
            </w:r>
            <w:bookmarkEnd w:id="8"/>
          </w:p>
        </w:tc>
        <w:tc>
          <w:tcPr>
            <w:tcW w:w="1242" w:type="dxa"/>
            <w:vMerge w:val="continue"/>
            <w:vAlign w:val="center"/>
          </w:tcPr>
          <w:p/>
        </w:tc>
        <w:tc>
          <w:tcPr>
            <w:tcW w:w="1771" w:type="dxa"/>
          </w:tcPr>
          <w:p>
            <w:bookmarkStart w:id="9" w:name="办公邮编"/>
            <w:r>
              <w:t>251100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张乃鑫</w:t>
            </w:r>
            <w:bookmarkEnd w:id="10"/>
          </w:p>
        </w:tc>
        <w:tc>
          <w:tcPr>
            <w:tcW w:w="1313" w:type="dxa"/>
            <w:vAlign w:val="center"/>
          </w:tcPr>
          <w:p>
            <w:r>
              <w:rPr>
                <w:rFonts w:hint="eastAsia"/>
              </w:rPr>
              <w:t>电话.</w:t>
            </w:r>
          </w:p>
        </w:tc>
        <w:tc>
          <w:tcPr>
            <w:tcW w:w="2180" w:type="dxa"/>
            <w:vAlign w:val="center"/>
          </w:tcPr>
          <w:p>
            <w:bookmarkStart w:id="11" w:name="联系人电话"/>
            <w:r>
              <w:t>0534-8124966</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吕明迪</w:t>
            </w:r>
            <w:bookmarkEnd w:id="13"/>
          </w:p>
        </w:tc>
        <w:tc>
          <w:tcPr>
            <w:tcW w:w="1313" w:type="dxa"/>
            <w:vAlign w:val="center"/>
          </w:tcPr>
          <w:p>
            <w:r>
              <w:rPr>
                <w:rFonts w:hint="eastAsia"/>
              </w:rPr>
              <w:t>管理者代表</w:t>
            </w:r>
          </w:p>
        </w:tc>
        <w:tc>
          <w:tcPr>
            <w:tcW w:w="2180" w:type="dxa"/>
          </w:tcPr>
          <w:p>
            <w:bookmarkStart w:id="14" w:name="管理者代表"/>
            <w:r>
              <w:t>张乃鑫</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lang w:eastAsia="zh-CN"/>
              </w:rPr>
              <w:t>☑</w:t>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1669" w:type="dxa"/>
            <w:shd w:val="clear" w:color="auto" w:fill="auto"/>
          </w:tcPr>
          <w:p>
            <w:r>
              <w:rPr>
                <w:rFonts w:hint="eastAsia"/>
              </w:rPr>
              <w:t>生产/服务提供流程简图</w:t>
            </w:r>
          </w:p>
        </w:tc>
        <w:tc>
          <w:tcPr>
            <w:tcW w:w="8058" w:type="dxa"/>
            <w:gridSpan w:val="5"/>
            <w:shd w:val="clear" w:color="auto" w:fill="auto"/>
          </w:tcPr>
          <w:p>
            <w:pPr>
              <w:rPr>
                <w:rFonts w:hint="eastAsia" w:ascii="宋体" w:hAnsi="宋体" w:eastAsia="宋体" w:cs="宋体"/>
                <w:sz w:val="21"/>
                <w:szCs w:val="21"/>
              </w:rPr>
            </w:pPr>
          </w:p>
          <w:p>
            <w:r>
              <w:rPr>
                <w:rFonts w:hint="eastAsia" w:ascii="宋体" w:hAnsi="宋体" w:eastAsia="宋体" w:cs="宋体"/>
                <w:sz w:val="21"/>
                <w:szCs w:val="21"/>
              </w:rPr>
              <w:t>招投标/业务洽谈→合同评审→采购组织货源→检验→交付</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2023年01月31日 上午至2023年01月31日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92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eastAsia="zh-CN"/>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2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t>济南市槐荫区齐州路2566号910室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1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碳纤维复合材料产品（抽油杆、导线芯）、复合材料（复合芯、头盔、胸插板、防刺服）、智能无人飞行器（无人机壳体及旋翼组件 ）、三维编织机设备、自动铺丝机及配件的销售所涉及场所的相关的环境管理活动。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29.12.00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2022</w:t>
            </w:r>
            <w:r>
              <w:rPr>
                <w:rFonts w:hint="eastAsia"/>
              </w:rPr>
              <w:t>年</w:t>
            </w:r>
            <w:r>
              <w:rPr>
                <w:rFonts w:hint="eastAsia"/>
                <w:lang w:val="en-US" w:eastAsia="zh-CN"/>
              </w:rPr>
              <w:t>10</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2021年07月21日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1899"/>
        <w:gridCol w:w="560"/>
        <w:gridCol w:w="2700"/>
        <w:gridCol w:w="1340"/>
        <w:gridCol w:w="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1899" w:type="dxa"/>
            <w:shd w:val="clear" w:color="auto" w:fill="F3F3F3"/>
            <w:tcMar>
              <w:left w:w="57" w:type="dxa"/>
              <w:right w:w="57" w:type="dxa"/>
            </w:tcMar>
          </w:tcPr>
          <w:p>
            <w:r>
              <w:rPr>
                <w:rFonts w:hint="eastAsia"/>
              </w:rPr>
              <w:t>经营场所的地址</w:t>
            </w:r>
          </w:p>
          <w:p>
            <w:r>
              <w:rPr>
                <w:rFonts w:hint="eastAsia"/>
              </w:rPr>
              <w:t>（多现场和临时现场）</w:t>
            </w:r>
          </w:p>
        </w:tc>
        <w:tc>
          <w:tcPr>
            <w:tcW w:w="560" w:type="dxa"/>
            <w:shd w:val="clear" w:color="auto" w:fill="F3F3F3"/>
            <w:tcMar>
              <w:left w:w="57" w:type="dxa"/>
              <w:right w:w="57" w:type="dxa"/>
            </w:tcMar>
          </w:tcPr>
          <w:p>
            <w:r>
              <w:rPr>
                <w:rFonts w:hint="eastAsia"/>
              </w:rPr>
              <w:t>员工人数</w:t>
            </w:r>
          </w:p>
        </w:tc>
        <w:tc>
          <w:tcPr>
            <w:tcW w:w="2700" w:type="dxa"/>
            <w:shd w:val="clear" w:color="auto" w:fill="F3F3F3"/>
            <w:tcMar>
              <w:left w:w="57" w:type="dxa"/>
              <w:right w:w="57" w:type="dxa"/>
            </w:tcMar>
          </w:tcPr>
          <w:p>
            <w:r>
              <w:rPr>
                <w:rFonts w:hint="eastAsia"/>
              </w:rPr>
              <w:t>审核范围（产品和过程）</w:t>
            </w:r>
          </w:p>
          <w:p/>
          <w:p/>
        </w:tc>
        <w:tc>
          <w:tcPr>
            <w:tcW w:w="1340" w:type="dxa"/>
            <w:shd w:val="clear" w:color="auto" w:fill="F3F3F3"/>
            <w:tcMar>
              <w:left w:w="57" w:type="dxa"/>
              <w:right w:w="57" w:type="dxa"/>
            </w:tcMar>
          </w:tcPr>
          <w:p>
            <w:r>
              <w:rPr>
                <w:rFonts w:hint="eastAsia"/>
              </w:rPr>
              <w:t>标准</w:t>
            </w:r>
          </w:p>
        </w:tc>
        <w:tc>
          <w:tcPr>
            <w:tcW w:w="479"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r>
              <w:t>山东中恒景新碳纤维科技发展有限公司</w:t>
            </w:r>
          </w:p>
          <w:p>
            <w:pPr>
              <w:pStyle w:val="2"/>
              <w:rPr>
                <w:lang w:val="de-DE" w:eastAsia="ja-JP"/>
              </w:rPr>
            </w:pPr>
            <w:r>
              <w:t>山东省德州市齐河县齐鲁高新技术开发区</w:t>
            </w:r>
          </w:p>
        </w:tc>
        <w:tc>
          <w:tcPr>
            <w:tcW w:w="1899" w:type="dxa"/>
          </w:tcPr>
          <w:p>
            <w:pPr>
              <w:rPr>
                <w:lang w:val="de-DE" w:eastAsia="ja-JP"/>
              </w:rPr>
            </w:pPr>
            <w:r>
              <w:t>济南市槐荫区齐州路2566号910室</w:t>
            </w:r>
          </w:p>
        </w:tc>
        <w:tc>
          <w:tcPr>
            <w:tcW w:w="560" w:type="dxa"/>
            <w:vAlign w:val="center"/>
          </w:tcPr>
          <w:p>
            <w:pPr>
              <w:rPr>
                <w:rFonts w:hint="default" w:eastAsia="宋体"/>
                <w:lang w:val="en-US" w:eastAsia="zh-CN"/>
              </w:rPr>
            </w:pPr>
            <w:r>
              <w:rPr>
                <w:rFonts w:hint="eastAsia"/>
                <w:lang w:val="en-US" w:eastAsia="zh-CN"/>
              </w:rPr>
              <w:t>10</w:t>
            </w:r>
          </w:p>
        </w:tc>
        <w:tc>
          <w:tcPr>
            <w:tcW w:w="2700" w:type="dxa"/>
            <w:vAlign w:val="center"/>
          </w:tcPr>
          <w:p>
            <w:pPr>
              <w:rPr>
                <w:lang w:eastAsia="ja-JP"/>
              </w:rPr>
            </w:pPr>
            <w:r>
              <w:t>碳纤维复合材料产品（抽油杆、导线芯）、复合材料（复合芯、头盔、胸插板、防刺服）、智能无人飞行器（无人机壳体及旋翼组件 ）、三维编织机设备、自动铺丝机及配件的销售所涉及场所的相关的环境管理活动。</w:t>
            </w:r>
          </w:p>
        </w:tc>
        <w:tc>
          <w:tcPr>
            <w:tcW w:w="1340" w:type="dxa"/>
            <w:vAlign w:val="center"/>
          </w:tcPr>
          <w:p>
            <w:pPr>
              <w:rPr>
                <w:lang w:eastAsia="ja-JP"/>
              </w:rPr>
            </w:pPr>
            <w:r>
              <w:rPr>
                <w:rFonts w:hint="eastAsia" w:ascii="宋体" w:hAnsi="宋体"/>
                <w:b/>
                <w:sz w:val="21"/>
                <w:szCs w:val="21"/>
              </w:rPr>
              <w:t>GB/T24001-2016</w:t>
            </w:r>
          </w:p>
        </w:tc>
        <w:tc>
          <w:tcPr>
            <w:tcW w:w="479" w:type="dxa"/>
            <w:shd w:val="clear" w:color="auto" w:fill="FFFFFF"/>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1899" w:type="dxa"/>
            <w:vAlign w:val="center"/>
          </w:tcPr>
          <w:p>
            <w:pPr>
              <w:rPr>
                <w:lang w:eastAsia="ja-JP"/>
              </w:rPr>
            </w:pPr>
          </w:p>
        </w:tc>
        <w:tc>
          <w:tcPr>
            <w:tcW w:w="560" w:type="dxa"/>
            <w:vAlign w:val="center"/>
          </w:tcPr>
          <w:p>
            <w:pPr>
              <w:rPr>
                <w:lang w:eastAsia="ja-JP"/>
              </w:rPr>
            </w:pPr>
          </w:p>
        </w:tc>
        <w:tc>
          <w:tcPr>
            <w:tcW w:w="2700" w:type="dxa"/>
            <w:vAlign w:val="center"/>
          </w:tcPr>
          <w:p>
            <w:pPr>
              <w:rPr>
                <w:lang w:eastAsia="ja-JP"/>
              </w:rPr>
            </w:pPr>
          </w:p>
        </w:tc>
        <w:tc>
          <w:tcPr>
            <w:tcW w:w="1340" w:type="dxa"/>
            <w:vAlign w:val="center"/>
          </w:tcPr>
          <w:p>
            <w:pPr>
              <w:rPr>
                <w:lang w:eastAsia="ja-JP"/>
              </w:rPr>
            </w:pPr>
          </w:p>
        </w:tc>
        <w:tc>
          <w:tcPr>
            <w:tcW w:w="479"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1899" w:type="dxa"/>
            <w:vAlign w:val="center"/>
          </w:tcPr>
          <w:p>
            <w:pPr>
              <w:rPr>
                <w:lang w:eastAsia="ja-JP"/>
              </w:rPr>
            </w:pPr>
          </w:p>
        </w:tc>
        <w:tc>
          <w:tcPr>
            <w:tcW w:w="560" w:type="dxa"/>
            <w:vAlign w:val="center"/>
          </w:tcPr>
          <w:p>
            <w:pPr>
              <w:rPr>
                <w:lang w:eastAsia="ja-JP"/>
              </w:rPr>
            </w:pPr>
          </w:p>
        </w:tc>
        <w:tc>
          <w:tcPr>
            <w:tcW w:w="2700" w:type="dxa"/>
            <w:vAlign w:val="center"/>
          </w:tcPr>
          <w:p>
            <w:pPr>
              <w:rPr>
                <w:lang w:eastAsia="ja-JP"/>
              </w:rPr>
            </w:pPr>
          </w:p>
        </w:tc>
        <w:tc>
          <w:tcPr>
            <w:tcW w:w="1340" w:type="dxa"/>
            <w:vAlign w:val="center"/>
          </w:tcPr>
          <w:p>
            <w:pPr>
              <w:rPr>
                <w:lang w:eastAsia="ja-JP"/>
              </w:rPr>
            </w:pPr>
          </w:p>
        </w:tc>
        <w:tc>
          <w:tcPr>
            <w:tcW w:w="479"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1899" w:type="dxa"/>
            <w:vAlign w:val="center"/>
          </w:tcPr>
          <w:p>
            <w:pPr>
              <w:rPr>
                <w:lang w:eastAsia="ja-JP"/>
              </w:rPr>
            </w:pPr>
          </w:p>
        </w:tc>
        <w:tc>
          <w:tcPr>
            <w:tcW w:w="560" w:type="dxa"/>
            <w:vAlign w:val="center"/>
          </w:tcPr>
          <w:p>
            <w:pPr>
              <w:rPr>
                <w:lang w:eastAsia="ja-JP"/>
              </w:rPr>
            </w:pPr>
          </w:p>
        </w:tc>
        <w:tc>
          <w:tcPr>
            <w:tcW w:w="2700" w:type="dxa"/>
            <w:vAlign w:val="center"/>
          </w:tcPr>
          <w:p>
            <w:pPr>
              <w:rPr>
                <w:lang w:eastAsia="ja-JP"/>
              </w:rPr>
            </w:pPr>
          </w:p>
        </w:tc>
        <w:tc>
          <w:tcPr>
            <w:tcW w:w="1340" w:type="dxa"/>
            <w:vAlign w:val="center"/>
          </w:tcPr>
          <w:p>
            <w:pPr>
              <w:rPr>
                <w:lang w:eastAsia="ja-JP"/>
              </w:rPr>
            </w:pPr>
          </w:p>
        </w:tc>
        <w:tc>
          <w:tcPr>
            <w:tcW w:w="479"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1899" w:type="dxa"/>
            <w:vAlign w:val="center"/>
          </w:tcPr>
          <w:p>
            <w:pPr>
              <w:rPr>
                <w:lang w:eastAsia="ja-JP"/>
              </w:rPr>
            </w:pPr>
          </w:p>
        </w:tc>
        <w:tc>
          <w:tcPr>
            <w:tcW w:w="560" w:type="dxa"/>
            <w:vAlign w:val="center"/>
          </w:tcPr>
          <w:p>
            <w:pPr>
              <w:rPr>
                <w:lang w:eastAsia="ja-JP"/>
              </w:rPr>
            </w:pPr>
          </w:p>
        </w:tc>
        <w:tc>
          <w:tcPr>
            <w:tcW w:w="2700" w:type="dxa"/>
            <w:vAlign w:val="center"/>
          </w:tcPr>
          <w:p>
            <w:pPr>
              <w:rPr>
                <w:lang w:eastAsia="ja-JP"/>
              </w:rPr>
            </w:pPr>
          </w:p>
        </w:tc>
        <w:tc>
          <w:tcPr>
            <w:tcW w:w="1340" w:type="dxa"/>
            <w:vAlign w:val="center"/>
          </w:tcPr>
          <w:p>
            <w:pPr>
              <w:rPr>
                <w:lang w:eastAsia="ja-JP"/>
              </w:rPr>
            </w:pPr>
          </w:p>
        </w:tc>
        <w:tc>
          <w:tcPr>
            <w:tcW w:w="479" w:type="dxa"/>
            <w:shd w:val="clear" w:color="auto" w:fill="FFFFFF"/>
          </w:tcPr>
          <w:p>
            <w:r>
              <w:rPr>
                <w:rFonts w:hint="eastAsia"/>
              </w:rPr>
              <w:t>☐</w:t>
            </w:r>
          </w:p>
        </w:tc>
      </w:tr>
    </w:tbl>
    <w:p/>
    <w:p>
      <w:pPr>
        <w:pStyle w:val="2"/>
      </w:pPr>
    </w:p>
    <w:p>
      <w:pPr>
        <w:pStyle w:val="2"/>
      </w:pPr>
    </w:p>
    <w:p>
      <w:pPr>
        <w:pStyle w:val="2"/>
      </w:pPr>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李俐</w:t>
            </w:r>
          </w:p>
        </w:tc>
        <w:tc>
          <w:tcPr>
            <w:tcW w:w="1089" w:type="dxa"/>
            <w:vAlign w:val="center"/>
          </w:tcPr>
          <w:p>
            <w:r>
              <w:t>组长</w:t>
            </w:r>
          </w:p>
        </w:tc>
        <w:tc>
          <w:tcPr>
            <w:tcW w:w="711" w:type="dxa"/>
            <w:vAlign w:val="center"/>
          </w:tcPr>
          <w:p>
            <w:r>
              <w:t>女</w:t>
            </w:r>
          </w:p>
        </w:tc>
        <w:tc>
          <w:tcPr>
            <w:tcW w:w="3870" w:type="dxa"/>
            <w:vAlign w:val="center"/>
          </w:tcPr>
          <w:p>
            <w:r>
              <w:t>2021-N1EMS-2222792</w:t>
            </w:r>
          </w:p>
        </w:tc>
        <w:tc>
          <w:tcPr>
            <w:tcW w:w="2179" w:type="dxa"/>
            <w:vAlign w:val="center"/>
          </w:tcPr>
          <w:p>
            <w: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 xml:space="preserve">（见□QMS </w:t>
      </w:r>
      <w:r>
        <w:rPr>
          <w:rFonts w:hint="eastAsia"/>
          <w:lang w:eastAsia="zh-CN"/>
        </w:rPr>
        <w:t>□</w:t>
      </w:r>
      <w:r>
        <w:rPr>
          <w:rFonts w:hint="eastAsia"/>
        </w:rPr>
        <w:t>EcMS</w:t>
      </w:r>
      <w:r>
        <w:rPr>
          <w:rFonts w:hint="eastAsia"/>
          <w:lang w:eastAsia="zh-CN"/>
        </w:rPr>
        <w:t>☑</w:t>
      </w:r>
      <w:r>
        <w:rPr>
          <w:rFonts w:hint="eastAsia"/>
        </w:rPr>
        <w:t>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lang w:eastAsia="zh-CN"/>
              </w:rPr>
              <w:t>☑</w:t>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已完成整改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lang w:eastAsia="zh-CN"/>
              </w:rPr>
              <w:t>☑</w:t>
            </w:r>
            <w:r>
              <w:rPr>
                <w:rFonts w:hint="eastAsia"/>
              </w:rPr>
              <w:t>推荐认证注册(□初审</w:t>
            </w:r>
            <w:r>
              <w:rPr>
                <w:rFonts w:hint="eastAsia"/>
                <w:lang w:eastAsia="zh-CN"/>
              </w:rPr>
              <w:t>☑</w:t>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54" w:hRule="exact"/>
          <w:jc w:val="center"/>
        </w:trPr>
        <w:tc>
          <w:tcPr>
            <w:tcW w:w="1842" w:type="dxa"/>
            <w:vAlign w:val="center"/>
          </w:tcPr>
          <w:p>
            <w:pPr>
              <w:jc w:val="center"/>
            </w:pPr>
            <w:r>
              <w:rPr>
                <w:rFonts w:hint="eastAsia"/>
              </w:rPr>
              <w:t>审核组长签字</w:t>
            </w:r>
          </w:p>
        </w:tc>
        <w:tc>
          <w:tcPr>
            <w:tcW w:w="2764" w:type="dxa"/>
            <w:tcMar>
              <w:left w:w="113" w:type="dxa"/>
            </w:tcMar>
            <w:vAlign w:val="center"/>
          </w:tcPr>
          <w:p>
            <w:pPr>
              <w:jc w:val="center"/>
            </w:pPr>
            <w:r>
              <w:rPr>
                <w:rFonts w:hint="eastAsia" w:ascii="宋体" w:hAnsi="宋体" w:cs="宋体" w:eastAsiaTheme="minorEastAsia"/>
                <w:kern w:val="0"/>
                <w:szCs w:val="21"/>
                <w:lang w:eastAsia="zh-CN"/>
              </w:rPr>
              <w:drawing>
                <wp:anchor distT="0" distB="0" distL="114300" distR="114300" simplePos="0" relativeHeight="251661312" behindDoc="0" locked="0" layoutInCell="1" allowOverlap="1">
                  <wp:simplePos x="0" y="0"/>
                  <wp:positionH relativeFrom="column">
                    <wp:posOffset>393700</wp:posOffset>
                  </wp:positionH>
                  <wp:positionV relativeFrom="paragraph">
                    <wp:posOffset>160020</wp:posOffset>
                  </wp:positionV>
                  <wp:extent cx="362585" cy="278765"/>
                  <wp:effectExtent l="0" t="0" r="5715" b="635"/>
                  <wp:wrapNone/>
                  <wp:docPr id="49" name="图片 49" descr="李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李俐"/>
                          <pic:cNvPicPr>
                            <a:picLocks noChangeAspect="1"/>
                          </pic:cNvPicPr>
                        </pic:nvPicPr>
                        <pic:blipFill>
                          <a:blip r:embed="rId6"/>
                          <a:stretch>
                            <a:fillRect/>
                          </a:stretch>
                        </pic:blipFill>
                        <pic:spPr>
                          <a:xfrm>
                            <a:off x="0" y="0"/>
                            <a:ext cx="362585" cy="278765"/>
                          </a:xfrm>
                          <a:prstGeom prst="rect">
                            <a:avLst/>
                          </a:prstGeom>
                        </pic:spPr>
                      </pic:pic>
                    </a:graphicData>
                  </a:graphic>
                </wp:anchor>
              </w:drawing>
            </w:r>
          </w:p>
          <w:p>
            <w:pPr>
              <w:jc w:val="center"/>
            </w:pPr>
          </w:p>
        </w:tc>
        <w:tc>
          <w:tcPr>
            <w:tcW w:w="2764" w:type="dxa"/>
            <w:tcMar>
              <w:left w:w="113" w:type="dxa"/>
            </w:tcMar>
            <w:vAlign w:val="center"/>
          </w:tcPr>
          <w:p>
            <w:pPr>
              <w:jc w:val="center"/>
            </w:pPr>
            <w:r>
              <w:rPr>
                <w:rFonts w:hint="eastAsia"/>
              </w:rPr>
              <w:t>日期</w:t>
            </w:r>
          </w:p>
        </w:tc>
        <w:tc>
          <w:tcPr>
            <w:tcW w:w="2766" w:type="dxa"/>
            <w:tcMar>
              <w:left w:w="113" w:type="dxa"/>
            </w:tcMar>
            <w:vAlign w:val="center"/>
          </w:tcPr>
          <w:p>
            <w:pPr>
              <w:jc w:val="center"/>
              <w:rPr>
                <w:rFonts w:hint="default" w:ascii="宋体" w:eastAsia="宋体"/>
                <w:b/>
                <w:color w:val="0000FF"/>
                <w:szCs w:val="21"/>
                <w:lang w:val="en-US" w:eastAsia="zh-CN"/>
              </w:rPr>
            </w:pPr>
            <w:r>
              <w:rPr>
                <w:rFonts w:hint="eastAsia" w:ascii="Times New Roman" w:hAnsi="Times New Roman" w:eastAsia="宋体" w:cs="Times New Roman"/>
                <w:lang w:val="en-US" w:eastAsia="zh-CN"/>
              </w:rPr>
              <w:t>2023.1.31</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hd w:val="clear" w:color="auto" w:fill="EBF1DE" w:themeFill="accent3" w:themeFillTint="32"/>
      </w:pP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lang w:eastAsia="zh-CN"/>
              </w:rPr>
              <w:t>☑</w:t>
            </w: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市场□文化</w:t>
                  </w:r>
                  <w:r>
                    <w:rPr>
                      <w:rFonts w:hint="eastAsia"/>
                      <w:lang w:eastAsia="zh-CN"/>
                    </w:rPr>
                    <w:t>☑</w:t>
                  </w:r>
                  <w:r>
                    <w:rPr>
                      <w:rFonts w:hint="eastAsia"/>
                    </w:rPr>
                    <w:t>社会</w:t>
                  </w:r>
                  <w:r>
                    <w:rPr>
                      <w:rFonts w:hint="eastAsia"/>
                      <w:lang w:eastAsia="zh-CN"/>
                    </w:rPr>
                    <w:t>☑</w:t>
                  </w:r>
                  <w:r>
                    <w:rPr>
                      <w:rFonts w:hint="eastAsia"/>
                    </w:rPr>
                    <w:t>经济环境</w:t>
                  </w:r>
                </w:p>
                <w:p>
                  <w:pPr>
                    <w:shd w:val="clear" w:color="auto" w:fill="EBF1DE" w:themeFill="accent3" w:themeFillTint="32"/>
                  </w:pPr>
                  <w:r>
                    <w:rPr>
                      <w:rFonts w:hint="eastAsia"/>
                    </w:rPr>
                    <w:t>□政治</w:t>
                  </w:r>
                  <w:r>
                    <w:rPr>
                      <w:rFonts w:hint="eastAsia"/>
                      <w:lang w:eastAsia="zh-CN"/>
                    </w:rPr>
                    <w:t>☑</w:t>
                  </w:r>
                  <w:r>
                    <w:rPr>
                      <w:rFonts w:hint="eastAsia"/>
                    </w:rPr>
                    <w:t>监管□财务</w:t>
                  </w:r>
                  <w:r>
                    <w:rPr>
                      <w:rFonts w:hint="eastAsia"/>
                      <w:lang w:eastAsia="zh-CN"/>
                    </w:rPr>
                    <w:t>☑</w:t>
                  </w:r>
                  <w:r>
                    <w:rPr>
                      <w:rFonts w:hint="eastAsia"/>
                    </w:rPr>
                    <w:t>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w:t>
                  </w:r>
                </w:p>
                <w:p>
                  <w:pPr>
                    <w:shd w:val="clear" w:color="auto" w:fill="EBF1DE" w:themeFill="accent3" w:themeFillTint="32"/>
                  </w:pPr>
                  <w:r>
                    <w:rPr>
                      <w:rFonts w:hint="eastAsia"/>
                      <w:lang w:eastAsia="zh-CN"/>
                    </w:rPr>
                    <w:t>☑</w:t>
                  </w:r>
                  <w:r>
                    <w:t>活动、产品和服务</w:t>
                  </w:r>
                  <w:r>
                    <w:rPr>
                      <w:rFonts w:hint="eastAsia"/>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w:t>
            </w:r>
            <w:r>
              <w:rPr>
                <w:rFonts w:hint="eastAsia"/>
                <w:lang w:eastAsia="zh-CN"/>
              </w:rPr>
              <w:t>☑</w:t>
            </w:r>
            <w:r>
              <w:rPr>
                <w:rFonts w:hint="eastAsia"/>
              </w:rPr>
              <w:t>采购</w:t>
            </w:r>
            <w:r>
              <w:rPr>
                <w:rFonts w:hint="eastAsia"/>
                <w:lang w:eastAsia="zh-CN"/>
              </w:rPr>
              <w:t>☑</w:t>
            </w:r>
            <w:r>
              <w:rPr>
                <w:rFonts w:hint="eastAsia"/>
              </w:rPr>
              <w:t>人力资源</w:t>
            </w:r>
            <w:r>
              <w:rPr>
                <w:rFonts w:hint="eastAsia"/>
                <w:lang w:eastAsia="zh-CN"/>
              </w:rPr>
              <w:t>☑</w:t>
            </w:r>
            <w:r>
              <w:rPr>
                <w:rFonts w:hint="eastAsia"/>
              </w:rPr>
              <w:t>营销和市场□生产□检验</w:t>
            </w:r>
            <w:r>
              <w:rPr>
                <w:rFonts w:hint="eastAsia"/>
                <w:lang w:eastAsia="zh-CN"/>
              </w:rPr>
              <w:t>□</w:t>
            </w:r>
            <w:r>
              <w:rPr>
                <w:rFonts w:hint="eastAsia"/>
              </w:rPr>
              <w:t>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节约能源</w:t>
            </w:r>
            <w:r>
              <w:rPr>
                <w:rFonts w:hint="eastAsia"/>
                <w:lang w:eastAsia="zh-CN"/>
              </w:rPr>
              <w:t>☑</w:t>
            </w:r>
            <w:r>
              <w:rPr>
                <w:rFonts w:hint="eastAsia"/>
              </w:rPr>
              <w:t>节约资源□达标排放□消防控制□危化品管理□特种设备管理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□危险废物处置□消防检测□生产/服务过程□环保监测□产品运输□设备维修</w:t>
            </w:r>
          </w:p>
          <w:p>
            <w:pPr>
              <w:shd w:val="clear" w:color="auto" w:fill="EBF1DE" w:themeFill="accent3" w:themeFillTint="32"/>
              <w:spacing w:before="40" w:after="40"/>
            </w:pPr>
            <w:r>
              <w:rPr>
                <w:rFonts w:hint="eastAsia"/>
                <w:lang w:eastAsia="zh-CN"/>
              </w:rPr>
              <w:t>☑</w:t>
            </w: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p>
          <w:p>
            <w:pPr>
              <w:shd w:val="clear" w:color="auto" w:fill="EBF1DE" w:themeFill="accent3" w:themeFillTint="32"/>
              <w:ind w:firstLine="420" w:firstLineChars="200"/>
              <w:rPr>
                <w:rFonts w:hint="eastAsia"/>
              </w:rPr>
            </w:pPr>
            <w:r>
              <w:rPr>
                <w:rFonts w:hint="eastAsia"/>
              </w:rPr>
              <w:t>完善管理，过程控制，不断持续改进；</w:t>
            </w:r>
          </w:p>
          <w:p>
            <w:pPr>
              <w:shd w:val="clear" w:color="auto" w:fill="EBF1DE" w:themeFill="accent3" w:themeFillTint="32"/>
              <w:ind w:firstLine="420" w:firstLineChars="200"/>
              <w:rPr>
                <w:rFonts w:hint="eastAsia"/>
              </w:rPr>
            </w:pPr>
            <w:r>
              <w:rPr>
                <w:rFonts w:hint="eastAsia"/>
              </w:rPr>
              <w:t>保护环境，节能降耗，创建绿色生产；</w:t>
            </w:r>
          </w:p>
          <w:p>
            <w:pPr>
              <w:shd w:val="clear" w:color="auto" w:fill="EBF1DE" w:themeFill="accent3" w:themeFillTint="32"/>
              <w:ind w:firstLine="420" w:firstLineChars="200"/>
              <w:rPr>
                <w:rFonts w:hint="eastAsia"/>
              </w:rPr>
            </w:pPr>
            <w:r>
              <w:rPr>
                <w:rFonts w:hint="eastAsia"/>
              </w:rPr>
              <w:t>以人为本，遵纪守法，安全健康至上。</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val="en-US" w:eastAsia="zh-CN"/>
              </w:rPr>
            </w:pPr>
            <w:r>
              <w:rPr>
                <w:rFonts w:hint="eastAsia"/>
              </w:rPr>
              <w:t>EMS的主管部门是—</w:t>
            </w:r>
            <w:r>
              <w:rPr>
                <w:rFonts w:hint="eastAsia" w:ascii="宋体" w:hAnsi="宋体" w:eastAsia="宋体" w:cs="宋体"/>
                <w:sz w:val="21"/>
                <w:szCs w:val="21"/>
              </w:rPr>
              <w:t>行政人事部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pPr>
                  <w:r>
                    <w:rPr>
                      <w:rFonts w:hint="eastAsia"/>
                      <w:lang w:val="en-US" w:eastAsia="zh-CN"/>
                    </w:rPr>
                    <w:t>来自当地环保部门的监察</w:t>
                  </w:r>
                </w:p>
              </w:tc>
              <w:tc>
                <w:tcPr>
                  <w:tcW w:w="3965" w:type="dxa"/>
                  <w:vAlign w:val="top"/>
                </w:tcPr>
                <w:p>
                  <w:pPr>
                    <w:shd w:val="clear" w:color="auto" w:fill="EBF1DE" w:themeFill="accent3" w:themeFillTint="32"/>
                  </w:pPr>
                  <w:r>
                    <w:rPr>
                      <w:rFonts w:hint="eastAsia"/>
                      <w:lang w:val="en-US" w:eastAsia="zh-CN"/>
                    </w:rPr>
                    <w:t>合规合法经营</w:t>
                  </w:r>
                </w:p>
              </w:tc>
              <w:tc>
                <w:tcPr>
                  <w:tcW w:w="1717" w:type="dxa"/>
                  <w:vAlign w:val="top"/>
                </w:tcPr>
                <w:p>
                  <w:pPr>
                    <w:shd w:val="clear" w:color="auto" w:fill="EBF1DE" w:themeFill="accent3"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pPr>
                  <w:r>
                    <w:rPr>
                      <w:rFonts w:hint="eastAsia"/>
                      <w:lang w:val="en-US" w:eastAsia="zh-CN"/>
                    </w:rPr>
                    <w:t>潜在火灾</w:t>
                  </w:r>
                </w:p>
              </w:tc>
              <w:tc>
                <w:tcPr>
                  <w:tcW w:w="3965" w:type="dxa"/>
                  <w:vAlign w:val="top"/>
                </w:tcPr>
                <w:p>
                  <w:pPr>
                    <w:shd w:val="clear" w:color="auto" w:fill="EBF1DE" w:themeFill="accent3" w:themeFillTint="32"/>
                  </w:pPr>
                  <w:r>
                    <w:rPr>
                      <w:rFonts w:hint="eastAsia"/>
                      <w:lang w:val="en-US" w:eastAsia="zh-CN"/>
                    </w:rPr>
                    <w:t>加强安全消防意识，配备灭火器材</w:t>
                  </w:r>
                </w:p>
              </w:tc>
              <w:tc>
                <w:tcPr>
                  <w:tcW w:w="1717" w:type="dxa"/>
                  <w:vAlign w:val="top"/>
                </w:tcPr>
                <w:p>
                  <w:pPr>
                    <w:shd w:val="clear" w:color="auto" w:fill="EBF1DE" w:themeFill="accent3"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pPr>
                  <w:r>
                    <w:rPr>
                      <w:rFonts w:hint="eastAsia"/>
                      <w:lang w:val="en-US" w:eastAsia="zh-CN"/>
                    </w:rPr>
                    <w:t>废弃物未按照要求处置</w:t>
                  </w:r>
                </w:p>
              </w:tc>
              <w:tc>
                <w:tcPr>
                  <w:tcW w:w="3965" w:type="dxa"/>
                  <w:vAlign w:val="top"/>
                </w:tcPr>
                <w:p>
                  <w:pPr>
                    <w:shd w:val="clear" w:color="auto" w:fill="EBF1DE" w:themeFill="accent3" w:themeFillTint="32"/>
                  </w:pPr>
                  <w:r>
                    <w:rPr>
                      <w:rFonts w:hint="eastAsia"/>
                      <w:lang w:val="en-US" w:eastAsia="zh-CN"/>
                    </w:rPr>
                    <w:t>交由物业处理单位统一处理</w:t>
                  </w:r>
                </w:p>
              </w:tc>
              <w:tc>
                <w:tcPr>
                  <w:tcW w:w="1717" w:type="dxa"/>
                  <w:vAlign w:val="top"/>
                </w:tcPr>
                <w:p>
                  <w:pPr>
                    <w:shd w:val="clear" w:color="auto" w:fill="EBF1DE" w:themeFill="accent3"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lang w:eastAsia="zh-CN"/>
              </w:rPr>
              <w:t>☑</w:t>
            </w:r>
            <w:r>
              <w:rPr>
                <w:rFonts w:hint="eastAsia"/>
              </w:rPr>
              <w:t>能源消耗</w:t>
            </w:r>
            <w:r>
              <w:rPr>
                <w:rFonts w:hint="eastAsia"/>
                <w:lang w:eastAsia="zh-CN"/>
              </w:rPr>
              <w:t>☑</w:t>
            </w:r>
            <w:r>
              <w:rPr>
                <w:rFonts w:hint="eastAsia"/>
              </w:rPr>
              <w:t>资源消耗□废水排放□废气排放□粉尘排放□危废排放□噪声排放□危化品泄露□压力容器爆炸</w:t>
            </w:r>
            <w:r>
              <w:rPr>
                <w:rFonts w:hint="eastAsia"/>
                <w:lang w:eastAsia="zh-CN"/>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□污水处理□除尘设备□设备降噪□危废合法处置□使用节能设备□危化品控制</w:t>
            </w:r>
          </w:p>
          <w:p>
            <w:pPr>
              <w:shd w:val="clear" w:color="auto" w:fill="EBF1DE" w:themeFill="accent3" w:themeFillTint="32"/>
              <w:rPr>
                <w:highlight w:val="cyan"/>
              </w:rPr>
            </w:pPr>
            <w:r>
              <w:rPr>
                <w:rFonts w:hint="eastAsia"/>
              </w:rPr>
              <w:t>□压力容器检测□消防控制□其他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14"/>
              <w:gridCol w:w="2690"/>
              <w:gridCol w:w="1270"/>
              <w:gridCol w:w="1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2690"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27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477"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3014" w:type="dxa"/>
                  <w:shd w:val="clear" w:color="auto" w:fill="auto"/>
                  <w:vAlign w:val="center"/>
                </w:tcPr>
                <w:p>
                  <w:pPr>
                    <w:shd w:val="clear" w:color="auto" w:fill="EBF1DE" w:themeFill="accent3" w:themeFillTint="32"/>
                  </w:pPr>
                  <w:r>
                    <w:rPr>
                      <w:rFonts w:hint="eastAsia" w:ascii="宋体" w:hAnsi="宋体" w:eastAsia="宋体" w:cs="Times New Roman"/>
                      <w:lang w:val="en-US" w:eastAsia="zh-CN"/>
                    </w:rPr>
                    <w:t>固体废弃物100%分类集中处理</w:t>
                  </w:r>
                </w:p>
              </w:tc>
              <w:tc>
                <w:tcPr>
                  <w:tcW w:w="2690" w:type="dxa"/>
                  <w:shd w:val="clear" w:color="auto" w:fill="auto"/>
                  <w:vAlign w:val="center"/>
                </w:tcPr>
                <w:p>
                  <w:pPr>
                    <w:shd w:val="clear" w:color="auto" w:fill="EBF1DE" w:themeFill="accent3" w:themeFillTint="32"/>
                    <w:rPr>
                      <w:rFonts w:ascii="宋体" w:hAnsi="宋体"/>
                    </w:rPr>
                  </w:pPr>
                  <w:r>
                    <w:rPr>
                      <w:rFonts w:hint="eastAsia" w:ascii="宋体" w:hAnsi="宋体"/>
                      <w:lang w:val="en-US" w:eastAsia="zh-CN"/>
                    </w:rPr>
                    <w:t>配备垃圾分类箱</w:t>
                  </w:r>
                </w:p>
              </w:tc>
              <w:tc>
                <w:tcPr>
                  <w:tcW w:w="1270" w:type="dxa"/>
                  <w:shd w:val="clear" w:color="auto" w:fill="auto"/>
                  <w:vAlign w:val="center"/>
                </w:tcPr>
                <w:p>
                  <w:pPr>
                    <w:shd w:val="clear" w:color="auto" w:fill="EBF1DE" w:themeFill="accent3" w:themeFillTint="32"/>
                    <w:rPr>
                      <w:rFonts w:ascii="宋体" w:hAnsi="宋体"/>
                    </w:rPr>
                  </w:pPr>
                  <w:r>
                    <w:rPr>
                      <w:rFonts w:hint="eastAsia" w:ascii="宋体" w:hAnsi="宋体" w:eastAsia="宋体" w:cs="宋体"/>
                      <w:sz w:val="21"/>
                      <w:szCs w:val="21"/>
                    </w:rPr>
                    <w:t>行政人事部</w:t>
                  </w:r>
                </w:p>
              </w:tc>
              <w:tc>
                <w:tcPr>
                  <w:tcW w:w="1477" w:type="dxa"/>
                  <w:shd w:val="clear" w:color="auto" w:fill="auto"/>
                  <w:vAlign w:val="center"/>
                </w:tcPr>
                <w:p>
                  <w:pPr>
                    <w:shd w:val="clear" w:color="auto" w:fill="EBF1DE" w:themeFill="accent3" w:themeFillTint="32"/>
                    <w:jc w:val="center"/>
                    <w:rPr>
                      <w:rFonts w:ascii="宋体" w:hAnsi="宋体"/>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shd w:val="clear" w:color="auto" w:fill="auto"/>
                  <w:vAlign w:val="center"/>
                </w:tcPr>
                <w:p>
                  <w:pPr>
                    <w:shd w:val="clear" w:color="auto" w:fill="EBF1DE" w:themeFill="accent3" w:themeFillTint="32"/>
                  </w:pPr>
                  <w:r>
                    <w:rPr>
                      <w:rFonts w:hint="eastAsia"/>
                    </w:rPr>
                    <w:t>环境污染事故、火灾事故发生率为0</w:t>
                  </w:r>
                </w:p>
              </w:tc>
              <w:tc>
                <w:tcPr>
                  <w:tcW w:w="2690" w:type="dxa"/>
                  <w:shd w:val="clear" w:color="auto" w:fill="auto"/>
                  <w:vAlign w:val="center"/>
                </w:tcPr>
                <w:p>
                  <w:pPr>
                    <w:shd w:val="clear" w:color="auto" w:fill="EBF1DE" w:themeFill="accent3" w:themeFillTint="32"/>
                    <w:rPr>
                      <w:rFonts w:ascii="宋体" w:hAnsi="宋体"/>
                    </w:rPr>
                  </w:pPr>
                  <w:r>
                    <w:rPr>
                      <w:rFonts w:hint="eastAsia" w:ascii="宋体" w:hAnsi="宋体"/>
                      <w:lang w:val="en-US" w:eastAsia="zh-CN"/>
                    </w:rPr>
                    <w:t>增强员工环境保护安全意识</w:t>
                  </w:r>
                </w:p>
              </w:tc>
              <w:tc>
                <w:tcPr>
                  <w:tcW w:w="1270" w:type="dxa"/>
                  <w:shd w:val="clear" w:color="auto" w:fill="auto"/>
                  <w:vAlign w:val="center"/>
                </w:tcPr>
                <w:p>
                  <w:pPr>
                    <w:shd w:val="clear" w:color="auto" w:fill="EBF1DE" w:themeFill="accent3" w:themeFillTint="32"/>
                    <w:rPr>
                      <w:rFonts w:ascii="宋体" w:hAnsi="宋体"/>
                    </w:rPr>
                  </w:pPr>
                  <w:r>
                    <w:rPr>
                      <w:rFonts w:hint="eastAsia" w:ascii="宋体" w:hAnsi="宋体" w:eastAsia="宋体" w:cs="宋体"/>
                      <w:sz w:val="21"/>
                      <w:szCs w:val="21"/>
                    </w:rPr>
                    <w:t>行政人事部</w:t>
                  </w:r>
                </w:p>
              </w:tc>
              <w:tc>
                <w:tcPr>
                  <w:tcW w:w="1477" w:type="dxa"/>
                  <w:shd w:val="clear" w:color="auto" w:fill="auto"/>
                  <w:vAlign w:val="center"/>
                </w:tcPr>
                <w:p>
                  <w:pPr>
                    <w:shd w:val="clear" w:color="auto" w:fill="EBF1DE" w:themeFill="accent3" w:themeFillTint="32"/>
                    <w:jc w:val="center"/>
                    <w:rPr>
                      <w:rFonts w:ascii="宋体" w:hAnsi="宋体"/>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shd w:val="clear" w:color="auto" w:fill="auto"/>
                </w:tcPr>
                <w:p>
                  <w:pPr>
                    <w:shd w:val="clear" w:color="auto" w:fill="EBF1DE" w:themeFill="accent3" w:themeFillTint="32"/>
                  </w:pPr>
                </w:p>
              </w:tc>
              <w:tc>
                <w:tcPr>
                  <w:tcW w:w="2690" w:type="dxa"/>
                  <w:shd w:val="clear" w:color="auto" w:fill="auto"/>
                  <w:vAlign w:val="center"/>
                </w:tcPr>
                <w:p>
                  <w:pPr>
                    <w:shd w:val="clear" w:color="auto" w:fill="EBF1DE" w:themeFill="accent3" w:themeFillTint="32"/>
                    <w:rPr>
                      <w:rFonts w:ascii="宋体" w:hAnsi="宋体"/>
                    </w:rPr>
                  </w:pPr>
                </w:p>
              </w:tc>
              <w:tc>
                <w:tcPr>
                  <w:tcW w:w="1270" w:type="dxa"/>
                  <w:shd w:val="clear" w:color="auto" w:fill="auto"/>
                  <w:vAlign w:val="center"/>
                </w:tcPr>
                <w:p>
                  <w:pPr>
                    <w:shd w:val="clear" w:color="auto" w:fill="EBF1DE" w:themeFill="accent3" w:themeFillTint="32"/>
                    <w:rPr>
                      <w:rFonts w:ascii="宋体" w:hAnsi="宋体"/>
                    </w:rPr>
                  </w:pPr>
                </w:p>
              </w:tc>
              <w:tc>
                <w:tcPr>
                  <w:tcW w:w="1477"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shd w:val="clear" w:color="auto" w:fill="auto"/>
                </w:tcPr>
                <w:p>
                  <w:pPr>
                    <w:shd w:val="clear" w:color="auto" w:fill="EBF1DE" w:themeFill="accent3" w:themeFillTint="32"/>
                  </w:pPr>
                </w:p>
              </w:tc>
              <w:tc>
                <w:tcPr>
                  <w:tcW w:w="2690" w:type="dxa"/>
                  <w:shd w:val="clear" w:color="auto" w:fill="auto"/>
                  <w:vAlign w:val="center"/>
                </w:tcPr>
                <w:p>
                  <w:pPr>
                    <w:shd w:val="clear" w:color="auto" w:fill="EBF1DE" w:themeFill="accent3" w:themeFillTint="32"/>
                    <w:rPr>
                      <w:rFonts w:ascii="宋体" w:hAnsi="宋体"/>
                    </w:rPr>
                  </w:pPr>
                </w:p>
              </w:tc>
              <w:tc>
                <w:tcPr>
                  <w:tcW w:w="1270" w:type="dxa"/>
                  <w:shd w:val="clear" w:color="auto" w:fill="auto"/>
                  <w:vAlign w:val="center"/>
                </w:tcPr>
                <w:p>
                  <w:pPr>
                    <w:shd w:val="clear" w:color="auto" w:fill="EBF1DE" w:themeFill="accent3" w:themeFillTint="32"/>
                    <w:rPr>
                      <w:rFonts w:ascii="宋体" w:hAnsi="宋体"/>
                    </w:rPr>
                  </w:pPr>
                </w:p>
              </w:tc>
              <w:tc>
                <w:tcPr>
                  <w:tcW w:w="1477"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建筑面积平方1</w:t>
            </w:r>
            <w:r>
              <w:rPr>
                <w:rFonts w:hint="eastAsia"/>
                <w:lang w:val="en-US" w:eastAsia="zh-CN"/>
              </w:rPr>
              <w:t>00</w:t>
            </w:r>
            <w:r>
              <w:rPr>
                <w:rFonts w:hint="eastAsia"/>
              </w:rPr>
              <w:t>米；生产车间</w:t>
            </w:r>
            <w:r>
              <w:rPr>
                <w:rFonts w:hint="eastAsia"/>
                <w:lang w:val="en-US" w:eastAsia="zh-CN"/>
              </w:rPr>
              <w:t xml:space="preserve"> </w:t>
            </w:r>
            <w:r>
              <w:rPr>
                <w:rFonts w:hint="eastAsia"/>
              </w:rPr>
              <w:t>个；库房个；实验室个；</w:t>
            </w:r>
          </w:p>
          <w:p>
            <w:pPr>
              <w:shd w:val="clear" w:color="auto" w:fill="EBF1DE" w:themeFill="accent3" w:themeFillTint="32"/>
              <w:rPr>
                <w:u w:val="single"/>
              </w:rPr>
            </w:pPr>
            <w:r>
              <w:rPr>
                <w:rFonts w:hint="eastAsia"/>
              </w:rPr>
              <w:t>主要生产设备有：</w:t>
            </w:r>
            <w:r>
              <w:rPr>
                <w:rFonts w:hint="eastAsia"/>
                <w:u w:val="single"/>
              </w:rPr>
              <w:t>（</w:t>
            </w:r>
            <w:r>
              <w:rPr>
                <w:rFonts w:hint="eastAsia"/>
                <w:u w:val="single"/>
                <w:lang w:val="en-US" w:eastAsia="zh-CN"/>
              </w:rPr>
              <w:t xml:space="preserve">计算机电脑、打印机 </w:t>
            </w:r>
            <w:r>
              <w:rPr>
                <w:rFonts w:hint="eastAsia"/>
                <w:u w:val="single"/>
              </w:rPr>
              <w:t>）</w:t>
            </w:r>
          </w:p>
          <w:p>
            <w:pPr>
              <w:shd w:val="clear" w:color="auto" w:fill="EBF1DE" w:themeFill="accent3" w:themeFillTint="32"/>
              <w:rPr>
                <w:u w:val="single"/>
              </w:rPr>
            </w:pPr>
            <w:r>
              <w:rPr>
                <w:rFonts w:hint="eastAsia"/>
              </w:rPr>
              <w:t>主要环保设备有：</w:t>
            </w:r>
            <w:r>
              <w:rPr>
                <w:rFonts w:hint="eastAsia"/>
                <w:u w:val="single"/>
              </w:rPr>
              <w:t>（</w:t>
            </w:r>
            <w:r>
              <w:rPr>
                <w:rFonts w:hint="eastAsia"/>
                <w:u w:val="single"/>
                <w:lang w:val="en-US" w:eastAsia="zh-CN"/>
              </w:rPr>
              <w:t>垃圾分类箱、灭火器</w:t>
            </w:r>
            <w:r>
              <w:rPr>
                <w:rFonts w:hint="eastAsia"/>
                <w:u w:val="single"/>
              </w:rPr>
              <w:t>）</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lang w:eastAsia="zh-CN"/>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lang w:eastAsia="zh-CN"/>
              </w:rPr>
              <w:t>☑</w:t>
            </w:r>
            <w:r>
              <w:rPr>
                <w:rFonts w:hint="eastAsia"/>
              </w:rPr>
              <w:t>法律法规获取充分，</w:t>
            </w:r>
            <w:r>
              <w:rPr>
                <w:rFonts w:hint="eastAsia"/>
                <w:lang w:eastAsia="zh-CN"/>
              </w:rPr>
              <w:t>□</w:t>
            </w:r>
            <w:r>
              <w:rPr>
                <w:rFonts w:hint="eastAsia"/>
              </w:rPr>
              <w:t>法律法规获取有遗漏，缺少：</w:t>
            </w: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vAlign w:val="top"/>
                </w:tcPr>
                <w:p>
                  <w:pPr>
                    <w:shd w:val="clear" w:color="auto" w:fill="EBF1DE" w:themeFill="accent3" w:themeFillTint="32"/>
                    <w:jc w:val="left"/>
                  </w:pPr>
                  <w:r>
                    <w:rPr>
                      <w:rFonts w:hint="eastAsia"/>
                      <w:szCs w:val="22"/>
                      <w:lang w:val="en-US" w:eastAsia="zh-CN"/>
                    </w:rPr>
                    <w:t>服务</w:t>
                  </w:r>
                  <w:r>
                    <w:rPr>
                      <w:rFonts w:hint="eastAsia"/>
                      <w:szCs w:val="22"/>
                    </w:rPr>
                    <w:t>过程注意节水、节电，人走关闭设备和照明开关</w:t>
                  </w:r>
                  <w:r>
                    <w:rPr>
                      <w:rFonts w:hint="eastAsia"/>
                      <w:szCs w:val="22"/>
                      <w:lang w:eastAsia="zh-CN"/>
                    </w:rPr>
                    <w:t>。</w:t>
                  </w:r>
                </w:p>
              </w:tc>
              <w:tc>
                <w:tcPr>
                  <w:tcW w:w="3265" w:type="dxa"/>
                  <w:vAlign w:val="top"/>
                </w:tcPr>
                <w:p>
                  <w:pPr>
                    <w:shd w:val="clear" w:color="auto" w:fill="EBF1DE" w:themeFill="accent3" w:themeFillTint="32"/>
                    <w:jc w:val="left"/>
                  </w:pPr>
                  <w:r>
                    <w:rPr>
                      <w:rFonts w:hint="eastAsia"/>
                      <w:lang w:val="en-US" w:eastAsia="zh-CN"/>
                    </w:rPr>
                    <w:t>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vAlign w:val="top"/>
                </w:tcPr>
                <w:p>
                  <w:pPr>
                    <w:shd w:val="clear" w:color="auto" w:fill="EBF1DE" w:themeFill="accent3" w:themeFillTint="32"/>
                    <w:jc w:val="left"/>
                  </w:pPr>
                  <w:r>
                    <w:rPr>
                      <w:rFonts w:hint="eastAsia"/>
                      <w:lang w:val="en-US" w:eastAsia="zh-CN"/>
                    </w:rPr>
                    <w:t>办公耗材的消耗，合理使用，减少浪费。</w:t>
                  </w:r>
                </w:p>
              </w:tc>
              <w:tc>
                <w:tcPr>
                  <w:tcW w:w="3265" w:type="dxa"/>
                  <w:vAlign w:val="top"/>
                </w:tcPr>
                <w:p>
                  <w:pPr>
                    <w:shd w:val="clear" w:color="auto" w:fill="EBF1DE" w:themeFill="accent3" w:themeFillTint="32"/>
                    <w:jc w:val="left"/>
                  </w:pPr>
                  <w:r>
                    <w:rPr>
                      <w:rFonts w:hint="eastAsia"/>
                      <w:lang w:val="en-US" w:eastAsia="zh-CN"/>
                    </w:rPr>
                    <w:t>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vAlign w:val="top"/>
                </w:tcPr>
                <w:p>
                  <w:pPr>
                    <w:shd w:val="clear" w:color="auto" w:fill="EBF1DE" w:themeFill="accent3" w:themeFillTint="32"/>
                    <w:jc w:val="left"/>
                  </w:pPr>
                  <w:r>
                    <w:rPr>
                      <w:rFonts w:hint="eastAsia"/>
                      <w:lang w:val="en-US" w:eastAsia="zh-CN"/>
                    </w:rPr>
                    <w:t>生活废水排入市政官网</w:t>
                  </w:r>
                </w:p>
              </w:tc>
              <w:tc>
                <w:tcPr>
                  <w:tcW w:w="3265" w:type="dxa"/>
                  <w:vAlign w:val="top"/>
                </w:tcPr>
                <w:p>
                  <w:pPr>
                    <w:shd w:val="clear" w:color="auto" w:fill="EBF1DE" w:themeFill="accent3" w:themeFillTint="32"/>
                    <w:jc w:val="left"/>
                  </w:pPr>
                  <w:r>
                    <w:rPr>
                      <w:rFonts w:hint="eastAsia"/>
                      <w:lang w:val="en-US" w:eastAsia="zh-CN"/>
                    </w:rPr>
                    <w:t>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vAlign w:val="top"/>
                </w:tcPr>
                <w:p>
                  <w:pPr>
                    <w:shd w:val="clear" w:color="auto" w:fill="EBF1DE" w:themeFill="accent3" w:themeFillTint="32"/>
                    <w:jc w:val="left"/>
                  </w:pPr>
                </w:p>
              </w:tc>
              <w:tc>
                <w:tcPr>
                  <w:tcW w:w="3265" w:type="dxa"/>
                  <w:vAlign w:val="top"/>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vAlign w:val="top"/>
                </w:tcPr>
                <w:p>
                  <w:pPr>
                    <w:shd w:val="clear" w:color="auto" w:fill="EBF1DE" w:themeFill="accent3" w:themeFillTint="32"/>
                    <w:jc w:val="left"/>
                  </w:pPr>
                </w:p>
              </w:tc>
              <w:tc>
                <w:tcPr>
                  <w:tcW w:w="3265" w:type="dxa"/>
                  <w:vAlign w:val="top"/>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vAlign w:val="top"/>
                </w:tcPr>
                <w:p>
                  <w:pPr>
                    <w:pStyle w:val="2"/>
                  </w:pPr>
                </w:p>
              </w:tc>
              <w:tc>
                <w:tcPr>
                  <w:tcW w:w="3265" w:type="dxa"/>
                  <w:vAlign w:val="top"/>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vAlign w:val="top"/>
                </w:tcPr>
                <w:p>
                  <w:pPr>
                    <w:shd w:val="clear" w:color="auto" w:fill="EBF1DE" w:themeFill="accent3" w:themeFillTint="32"/>
                    <w:jc w:val="left"/>
                  </w:pPr>
                </w:p>
              </w:tc>
              <w:tc>
                <w:tcPr>
                  <w:tcW w:w="3265" w:type="dxa"/>
                  <w:vAlign w:val="top"/>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vAlign w:val="top"/>
                </w:tcPr>
                <w:p>
                  <w:pPr>
                    <w:shd w:val="clear" w:color="auto" w:fill="EBF1DE" w:themeFill="accent3" w:themeFillTint="32"/>
                    <w:jc w:val="left"/>
                  </w:pPr>
                  <w:r>
                    <w:rPr>
                      <w:rFonts w:hint="eastAsia"/>
                      <w:szCs w:val="22"/>
                    </w:rPr>
                    <w:t>公司办公区域配备了灭火器</w:t>
                  </w:r>
                </w:p>
              </w:tc>
              <w:tc>
                <w:tcPr>
                  <w:tcW w:w="3265" w:type="dxa"/>
                  <w:vAlign w:val="top"/>
                </w:tcPr>
                <w:p>
                  <w:pPr>
                    <w:shd w:val="clear" w:color="auto" w:fill="EBF1DE" w:themeFill="accent3" w:themeFillTint="32"/>
                    <w:jc w:val="left"/>
                  </w:pPr>
                  <w:r>
                    <w:rPr>
                      <w:rFonts w:hint="eastAsia"/>
                      <w:lang w:val="en-US" w:eastAsia="zh-CN"/>
                    </w:rPr>
                    <w:t>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w:t>
            </w:r>
            <w:r>
              <w:rPr>
                <w:rFonts w:hint="eastAsia" w:ascii="Times New Roman" w:hAnsi="Times New Roman" w:eastAsia="宋体" w:cs="Times New Roman"/>
              </w:rPr>
              <w:t>2022年</w:t>
            </w:r>
            <w:r>
              <w:rPr>
                <w:rFonts w:hint="eastAsia" w:ascii="Times New Roman" w:hAnsi="Times New Roman" w:eastAsia="宋体" w:cs="Times New Roman"/>
                <w:lang w:val="en-US" w:eastAsia="zh-CN"/>
              </w:rPr>
              <w:t>10</w:t>
            </w:r>
            <w:r>
              <w:rPr>
                <w:rFonts w:hint="eastAsia" w:ascii="Times New Roman" w:hAnsi="Times New Roman" w:eastAsia="宋体" w:cs="Times New Roman"/>
              </w:rPr>
              <w:t>月</w:t>
            </w:r>
            <w:r>
              <w:rPr>
                <w:rFonts w:hint="eastAsia" w:ascii="Times New Roman" w:hAnsi="Times New Roman" w:eastAsia="宋体" w:cs="Times New Roman"/>
                <w:lang w:val="en-US" w:eastAsia="zh-CN"/>
              </w:rPr>
              <w:t>8</w:t>
            </w:r>
            <w:r>
              <w:rPr>
                <w:rFonts w:hint="eastAsia" w:ascii="Times New Roman" w:hAnsi="Times New Roman" w:eastAsia="宋体" w:cs="Times New Roman"/>
              </w:rPr>
              <w:t>日进行了的</w:t>
            </w:r>
            <w:r>
              <w:rPr>
                <w:rFonts w:hint="eastAsia"/>
              </w:rPr>
              <w:t>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rPr>
                <w:rFonts w:hint="eastAsia" w:eastAsia="宋体"/>
                <w:lang w:val="en-US" w:eastAsia="zh-CN"/>
              </w:rPr>
            </w:pPr>
            <w:r>
              <w:rPr>
                <w:rFonts w:hint="eastAsia" w:ascii="Wingdings" w:hAnsi="Wingdings"/>
                <w:lang w:eastAsia="zh-CN"/>
              </w:rPr>
              <w:t>☑</w:t>
            </w:r>
            <w:r>
              <w:rPr>
                <w:rFonts w:hint="eastAsia"/>
              </w:rPr>
              <w:t>定期（每年</w:t>
            </w:r>
            <w:r>
              <w:rPr>
                <w:rFonts w:hint="eastAsia"/>
                <w:color w:val="000000" w:themeColor="text1"/>
              </w:rPr>
              <w:t>）：2022.</w:t>
            </w:r>
            <w:r>
              <w:rPr>
                <w:rFonts w:hint="eastAsia"/>
                <w:color w:val="000000" w:themeColor="text1"/>
                <w:lang w:val="en-US" w:eastAsia="zh-CN"/>
              </w:rPr>
              <w:t>3</w:t>
            </w:r>
            <w:r>
              <w:rPr>
                <w:rFonts w:hint="eastAsia"/>
                <w:color w:val="000000" w:themeColor="text1"/>
              </w:rPr>
              <w:t>.2</w:t>
            </w:r>
            <w:r>
              <w:rPr>
                <w:rFonts w:hint="eastAsia"/>
                <w:color w:val="000000" w:themeColor="text1"/>
                <w:lang w:val="en-US" w:eastAsia="zh-CN"/>
              </w:rPr>
              <w:t>2</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通过年度策划于2022.</w:t>
            </w:r>
            <w:r>
              <w:rPr>
                <w:rFonts w:hint="eastAsia"/>
                <w:lang w:val="en-US" w:eastAsia="zh-CN"/>
              </w:rPr>
              <w:t>12</w:t>
            </w:r>
            <w:r>
              <w:rPr>
                <w:rFonts w:hint="eastAsia"/>
              </w:rPr>
              <w:t>.</w:t>
            </w:r>
            <w:r>
              <w:rPr>
                <w:rFonts w:hint="eastAsia"/>
                <w:lang w:val="en-US" w:eastAsia="zh-CN"/>
              </w:rPr>
              <w:t xml:space="preserve">25 </w:t>
            </w:r>
            <w:r>
              <w:rPr>
                <w:rFonts w:hint="eastAsia"/>
                <w:lang w:eastAsia="zh-CN"/>
              </w:rPr>
              <w:t>—</w:t>
            </w:r>
            <w:r>
              <w:rPr>
                <w:rFonts w:hint="eastAsia"/>
                <w:lang w:val="en-US" w:eastAsia="zh-CN"/>
              </w:rPr>
              <w:t xml:space="preserve"> 12</w:t>
            </w:r>
            <w:r>
              <w:rPr>
                <w:rFonts w:hint="eastAsia"/>
              </w:rPr>
              <w:t>.</w:t>
            </w:r>
            <w:r>
              <w:rPr>
                <w:rFonts w:hint="eastAsia"/>
                <w:lang w:val="en-US" w:eastAsia="zh-CN"/>
              </w:rPr>
              <w:t>26</w:t>
            </w:r>
            <w:r>
              <w:rPr>
                <w:rFonts w:hint="eastAsia"/>
              </w:rPr>
              <w:t>实施了环境管理体系内部审核，对环境管理体系的符合性和有效性进行了审核。内审发现的项不符合在本次审核前已完成整改。在公司内完成的这些审核是可信的。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最高管理者已按策划的时间间隔，在2022.</w:t>
            </w:r>
            <w:r>
              <w:rPr>
                <w:rFonts w:hint="eastAsia"/>
                <w:lang w:val="en-US" w:eastAsia="zh-CN"/>
              </w:rPr>
              <w:t>12.30</w:t>
            </w:r>
            <w:r>
              <w:rPr>
                <w:rFonts w:hint="eastAsia"/>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自我检查的结果</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pStyle w:val="2"/>
      </w:pPr>
    </w:p>
    <w:p>
      <w:pPr>
        <w:pStyle w:val="2"/>
      </w:pPr>
    </w:p>
    <w:p>
      <w:pPr>
        <w:pStyle w:val="2"/>
      </w:pPr>
    </w:p>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rPr>
          <w:rFonts w:eastAsia="微软雅黑"/>
          <w:sz w:val="20"/>
          <w:szCs w:val="20"/>
        </w:rPr>
      </w:pPr>
      <w:r>
        <w:br w:type="page"/>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2336"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JhN2U4Y2Q5MGE2Mzc1MDlkNDVmNzZkYmRlMTYyYjcifQ=="/>
  </w:docVars>
  <w:rsids>
    <w:rsidRoot w:val="00000000"/>
    <w:rsid w:val="0AD3416C"/>
    <w:rsid w:val="21AC3BEE"/>
    <w:rsid w:val="6DBC0B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3165</Words>
  <Characters>18045</Characters>
  <Lines>150</Lines>
  <Paragraphs>42</Paragraphs>
  <TotalTime>1</TotalTime>
  <ScaleCrop>false</ScaleCrop>
  <LinksUpToDate>false</LinksUpToDate>
  <CharactersWithSpaces>21168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LIL</cp:lastModifiedBy>
  <cp:lastPrinted>2019-05-13T03:19:00Z</cp:lastPrinted>
  <dcterms:modified xsi:type="dcterms:W3CDTF">2023-02-02T23:55:41Z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2052-11.1.0.13703</vt:lpwstr>
  </property>
</Properties>
</file>