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08"/>
        <w:gridCol w:w="132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四川省衡信环保技术有限公司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Q:29.10.07,34.06.00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Q:29.10.07,34.06.00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销售流程：业务洽谈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合同签订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发货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客户签收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咨询服务流程：客户需求→协议签订→咨询服务→服务完成→满意度调查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关键过程：服务过程，通过人员培训，设备更新等措施对服务过程进行控制。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中华人名共和国宪法</w:t>
            </w:r>
            <w:r>
              <w:rPr>
                <w:rFonts w:hint="eastAsia" w:eastAsia="宋体"/>
                <w:b/>
                <w:sz w:val="20"/>
                <w:lang w:eastAsia="zh-CN"/>
              </w:rPr>
              <w:t>、</w:t>
            </w:r>
            <w:r>
              <w:rPr>
                <w:rFonts w:hint="eastAsia" w:eastAsia="宋体"/>
                <w:b/>
                <w:sz w:val="20"/>
              </w:rPr>
              <w:t>中华人民共和国产品质量法</w:t>
            </w:r>
            <w:r>
              <w:rPr>
                <w:rFonts w:hint="eastAsia" w:eastAsia="宋体"/>
                <w:b/>
                <w:sz w:val="20"/>
                <w:lang w:eastAsia="zh-CN"/>
              </w:rPr>
              <w:t>、中华人民共和国民法典、中华人民共和国消费者权益保护法、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《排污许可证申请与核发技术规范工业固体废物和危险废物 治理》（HJ 1033-2019）</w:t>
            </w:r>
            <w:r>
              <w:rPr>
                <w:rFonts w:hint="eastAsia" w:eastAsia="宋体"/>
                <w:b/>
                <w:sz w:val="20"/>
              </w:rPr>
              <w:t>水污染源在线监测系统（CODCr、NH3-N 等）运行技术规范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 HJ 355-2019</w:t>
            </w:r>
            <w:r>
              <w:rPr>
                <w:rFonts w:hint="eastAsia" w:eastAsia="宋体"/>
                <w:b/>
                <w:sz w:val="20"/>
              </w:rPr>
              <w:t>、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《中华人民共和国水土保持法》（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1991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年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6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月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29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日颁布，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2010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年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12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月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25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日修订，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2011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年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3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月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1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日起施行）、《四川省〈中华人民共和国水土保持法〉实施办法》（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1993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年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12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月发布，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1997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年修订，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2012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年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21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日修订，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2012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年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12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1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日施行）、《生产建设项目水土保持技术标准》（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GB50433-2018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）、《生产建设项目水土流失防治标准》（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GB/T 50434-2018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）、《土壤侵蚀分类分级标准》（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SL190—2007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）、《水土保持工程概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(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估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)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算编制规定和定额》（水总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[2003]67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号）、《土地利用现状分类》（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GB/T21010—2017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）、《生产建设项目水土保持监测与评价标准》（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GB/T 51240-2018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）、《水利水电工程制图标准水土保持图》（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SL73.6-2015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）、《水土保持工程设计规范》（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GB 51018-2014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）、《水土流失危险程度分级标准》（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SL718-2015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）、《中国地震动参数区划图》（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GB 18306-2015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）、《建筑地基处理技术规范》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(JGJ79-2011)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、《生产建设项目土壤流失量测算导则》（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SL773-2018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153035</wp:posOffset>
                  </wp:positionV>
                  <wp:extent cx="906780" cy="307975"/>
                  <wp:effectExtent l="0" t="0" r="7620" b="9525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2023年1月14日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176530</wp:posOffset>
                  </wp:positionV>
                  <wp:extent cx="906780" cy="307975"/>
                  <wp:effectExtent l="0" t="0" r="7620" b="9525"/>
                  <wp:wrapNone/>
                  <wp:docPr id="4" name="图片 4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2023年1月14日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08"/>
        <w:gridCol w:w="132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四川省衡信环保技术有限公司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Q:29.10.07,34.06.00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Q:29.10.07,34.06.00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销售流程：业务洽谈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合同签订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发货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客户签收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咨询服务流程：客户需求→协议签订→咨询服务→服务完成→满意度调查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pacing w:line="500" w:lineRule="exact"/>
              <w:jc w:val="center"/>
              <w:textAlignment w:val="baseline"/>
              <w:rPr>
                <w:rFonts w:hint="default" w:ascii="宋体" w:hAnsi="宋体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固体废弃物的排放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潜在火灾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sz w:val="20"/>
                <w:lang w:val="en-US" w:eastAsia="zh-CN"/>
              </w:rPr>
              <w:t>通过环境目标、指标及管理方案进行控制。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中华人名共和国宪法</w:t>
            </w:r>
            <w:r>
              <w:rPr>
                <w:rFonts w:hint="eastAsia" w:eastAsia="宋体"/>
                <w:b/>
                <w:sz w:val="20"/>
                <w:lang w:eastAsia="zh-CN"/>
              </w:rPr>
              <w:t>、</w:t>
            </w:r>
            <w:r>
              <w:rPr>
                <w:rFonts w:hint="eastAsia" w:eastAsia="宋体"/>
                <w:b/>
                <w:sz w:val="20"/>
              </w:rPr>
              <w:t>中华人民共和国产品质量法</w:t>
            </w:r>
            <w:r>
              <w:rPr>
                <w:rFonts w:hint="eastAsia" w:eastAsia="宋体"/>
                <w:b/>
                <w:sz w:val="20"/>
                <w:lang w:eastAsia="zh-CN"/>
              </w:rPr>
              <w:t>、中华人民共和国民法典、中华人民共和国消费者权益保护法、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《排污许可证申请与核发技术规范工业固体废物和危险废物 治理》（HJ 1033-2019）</w:t>
            </w:r>
            <w:r>
              <w:rPr>
                <w:rFonts w:hint="eastAsia" w:eastAsia="宋体"/>
                <w:b/>
                <w:sz w:val="20"/>
              </w:rPr>
              <w:t>水污染源在线监测系统（CODCr、NH3-N 等）运行技术规范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 HJ 355-2019</w:t>
            </w:r>
            <w:r>
              <w:rPr>
                <w:rFonts w:hint="eastAsia" w:eastAsia="宋体"/>
                <w:b/>
                <w:sz w:val="20"/>
              </w:rPr>
              <w:t>、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《中华人民共和国水土保持法》（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1991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年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6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月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29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日颁布，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2010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年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12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月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25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日修订，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2011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年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3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月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1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日起施行）、《四川省〈中华人民共和国水土保持法〉实施办法》（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1993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年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12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月发布，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1997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年修订，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2012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年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9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21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日修订，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2012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年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12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1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日施行）、《生产建设项目水土保持技术标准》（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GB50433-2018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）、《生产建设项目水土流失防治标准》（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GB/T 50434-2018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）、《土壤侵蚀分类分级标准》（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SL190—2007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）、《水土保持工程概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(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估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)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算编制规定和定额》（水总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[2003]67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号）、《土地利用现状分类》（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GB/T21010—2017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）、《生产建设项目水土保持监测与评价标准》（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GB/T 51240-2018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）、《水利水电工程制图标准水土保持图》（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SL73.6-2015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）、《水土保持工程设计规范》（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GB 51018-2014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）、《水土流失危险程度分级标准》（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SL718-2015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）、《中国地震动参数区划图》（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GB 18306-2015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）、《建筑地基处理技术规范》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(JGJ79-2011)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、《生产建设项目土壤流失量测算导则》（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SL773-2018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153035</wp:posOffset>
                  </wp:positionV>
                  <wp:extent cx="906780" cy="307975"/>
                  <wp:effectExtent l="0" t="0" r="7620" b="9525"/>
                  <wp:wrapNone/>
                  <wp:docPr id="7" name="图片 7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2023年1月14日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176530</wp:posOffset>
                  </wp:positionV>
                  <wp:extent cx="906780" cy="307975"/>
                  <wp:effectExtent l="0" t="0" r="7620" b="9525"/>
                  <wp:wrapNone/>
                  <wp:docPr id="8" name="图片 8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2023年1月14日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4"/>
        <w:rFonts w:hint="default"/>
      </w:rPr>
    </w:pPr>
    <w:r>
      <w:rPr>
        <w:rStyle w:val="14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1052651"/>
    <w:rsid w:val="5BC32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outlineLvl w:val="0"/>
    </w:pPr>
    <w:rPr>
      <w:rFonts w:ascii="宋体" w:hAnsi="宋体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891</Words>
  <Characters>1059</Characters>
  <Lines>2</Lines>
  <Paragraphs>1</Paragraphs>
  <TotalTime>1</TotalTime>
  <ScaleCrop>false</ScaleCrop>
  <LinksUpToDate>false</LinksUpToDate>
  <CharactersWithSpaces>1096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2023-02-02T14:51:04Z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