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150"/>
        <w:gridCol w:w="1017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5" w:type="dxa"/>
            <w:vMerge w:val="restart"/>
            <w:vAlign w:val="center"/>
          </w:tcPr>
          <w:p>
            <w:pPr>
              <w:spacing w:before="120"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过程与活动、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抽样计划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涉及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条款</w:t>
            </w:r>
          </w:p>
        </w:tc>
        <w:tc>
          <w:tcPr>
            <w:tcW w:w="10179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受审核部门：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 xml:space="preserve">采购部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主管领导：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 xml:space="preserve">周璐瑶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陪同人员：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宣雅倩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95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179" w:type="dxa"/>
            <w:vAlign w:val="center"/>
          </w:tcPr>
          <w:p>
            <w:pPr>
              <w:spacing w:before="120"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审核员：张磊              审核时间：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2023.1.17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95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179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  <w:lang w:val="de-D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de-DE"/>
              </w:rPr>
              <w:t xml:space="preserve">EMS-2015 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de-DE"/>
              </w:rPr>
              <w:t>ISO 45001：2018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585" w:type="dxa"/>
            <w:vMerge w:val="continue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组织的岗位、职责和权限</w:t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EO:5.3 </w:t>
            </w:r>
          </w:p>
        </w:tc>
        <w:tc>
          <w:tcPr>
            <w:tcW w:w="10179" w:type="dxa"/>
          </w:tcPr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采购部职责：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a)切实贯彻、履行公司的管理方针和管理目标，订立本部门管理目标，服从主管领导的指挥和调配。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b)按生产任务要求，协同质检部对新型或有新质量要求的产品任务做好材料、配件等咨询、接收和确认。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c)负责原辅材料及产品配件、包装物品等的采购控制，确保采购物品达到安全库存和符合环境、安全法规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d)负责易燃、易爆物资及有毒危险化学品的采购、运输，验收、入库、标识、储存和领用的管理并收集 MSDS，应预防其环境紧急情况及潜在事故发生的参照依据。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e)负责对合格供应商的选择、评定和对外购、外协物品的价格核定、询价等工作。向供应商施加环保、安全影响，并定期对合格供应商进行业绩评价。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按月度对本部门管理目标完成情况进行分析评定，改进和提高，确保年度目标达成。。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95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目标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6.2</w:t>
            </w:r>
          </w:p>
        </w:tc>
        <w:tc>
          <w:tcPr>
            <w:tcW w:w="10179" w:type="dxa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部门目标：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考核情况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各类废弃物按规定分类处置率100%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100%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火灾事故为0；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控制年工伤事故为≤3人次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季度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进行一次考核，目标基本实现。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管理方案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：加强对员工防火意识教育，严禁在禁止吸烟处吸烟；各种用电设备和线路应符合国家有关安全规定，应有可熔保险和漏电保护，绝缘性能必须良好，并有可靠的接地零保护措施等；每年按规定进行员工体检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每季度组织一次对目标、指标管理方案进行程度、完成情况的考核，提供安全目标、指标考核记录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3-4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季度的目标、指标管理方案完成情况考核，达到了阶段性的目标要求。制定的指标和管理方案基本可行。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9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环境因素辨识与评价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危险源识别与评价</w:t>
            </w:r>
          </w:p>
        </w:tc>
        <w:tc>
          <w:tcPr>
            <w:tcW w:w="1150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6.1.2</w:t>
            </w:r>
          </w:p>
        </w:tc>
        <w:tc>
          <w:tcPr>
            <w:tcW w:w="10179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组织制定了由行政部负责编制《环境因素识别与评价管理程序》，上报管理者代表审批；按照文件要求执行。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以确定重要环境因素以及对环境因素的定期更新，环境因素的识别和确定考虑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生命周期观点。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提供了《环境因素识别与评价管理程序》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和《环境因素识别评价表》：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组织根据场所、作业活动等因素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识别出环境因素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项，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内容涉及固废包括生活垃圾和工业固废、废水包括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生活污水的排放、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噪声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识别的环境因素标明时态、状态和对环境的影响，并制定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了相应的控制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措施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基本符合识别和控制要求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提供了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重要环境因素控制清单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内容汇总如下：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/>
              </w:rPr>
            </w:pPr>
          </w:p>
          <w:tbl>
            <w:tblPr>
              <w:tblStyle w:val="7"/>
              <w:tblW w:w="4753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5"/>
              <w:gridCol w:w="1288"/>
              <w:gridCol w:w="3373"/>
              <w:gridCol w:w="1301"/>
              <w:gridCol w:w="1222"/>
              <w:gridCol w:w="17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299" w:type="pc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80" w:type="pc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环境因素</w:t>
                  </w: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活动点/工序或部位</w:t>
                  </w:r>
                </w:p>
              </w:tc>
              <w:tc>
                <w:tcPr>
                  <w:tcW w:w="687" w:type="pct"/>
                  <w:noWrap w:val="0"/>
                  <w:vAlign w:val="center"/>
                </w:tcPr>
                <w:p>
                  <w:pPr>
                    <w:spacing w:line="240" w:lineRule="auto"/>
                    <w:ind w:left="-737" w:leftChars="-351" w:firstLine="645" w:firstLineChars="307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环境影响</w:t>
                  </w:r>
                </w:p>
              </w:tc>
              <w:tc>
                <w:tcPr>
                  <w:tcW w:w="645" w:type="pc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时态/状态</w:t>
                  </w:r>
                </w:p>
              </w:tc>
              <w:tc>
                <w:tcPr>
                  <w:tcW w:w="904" w:type="pc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管理控制方式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2" w:hRule="atLeast"/>
              </w:trPr>
              <w:tc>
                <w:tcPr>
                  <w:tcW w:w="299" w:type="pct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80" w:type="pct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噪声的排放</w:t>
                  </w: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车间生产设备发出的噪声</w:t>
                  </w:r>
                </w:p>
              </w:tc>
              <w:tc>
                <w:tcPr>
                  <w:tcW w:w="687" w:type="pct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影响人体健康、社区居民休息</w:t>
                  </w:r>
                </w:p>
              </w:tc>
              <w:tc>
                <w:tcPr>
                  <w:tcW w:w="645" w:type="pct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904" w:type="pct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管理方案/环境影响运行控制程序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0" w:hRule="atLeast"/>
              </w:trPr>
              <w:tc>
                <w:tcPr>
                  <w:tcW w:w="299" w:type="pct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场内的运输车、工具车等车辆运输作业时的噪声</w:t>
                  </w:r>
                </w:p>
              </w:tc>
              <w:tc>
                <w:tcPr>
                  <w:tcW w:w="687" w:type="pct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4" w:hRule="atLeast"/>
              </w:trPr>
              <w:tc>
                <w:tcPr>
                  <w:tcW w:w="299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80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废水的排放</w:t>
                  </w: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车间清洗和拖地废水的排放</w:t>
                  </w:r>
                </w:p>
              </w:tc>
              <w:tc>
                <w:tcPr>
                  <w:tcW w:w="687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水体污染</w:t>
                  </w:r>
                </w:p>
              </w:tc>
              <w:tc>
                <w:tcPr>
                  <w:tcW w:w="645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904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管理方案/环境影响运行控制程序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5" w:hRule="atLeast"/>
              </w:trPr>
              <w:tc>
                <w:tcPr>
                  <w:tcW w:w="299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生活废水的排放</w:t>
                  </w:r>
                </w:p>
              </w:tc>
              <w:tc>
                <w:tcPr>
                  <w:tcW w:w="687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5" w:hRule="atLeast"/>
              </w:trPr>
              <w:tc>
                <w:tcPr>
                  <w:tcW w:w="299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80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废气的排放</w:t>
                  </w: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 xml:space="preserve">油烟废气、焊接烟气、机械润滑有机废气的排放 </w:t>
                  </w:r>
                </w:p>
              </w:tc>
              <w:tc>
                <w:tcPr>
                  <w:tcW w:w="687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大气污染</w:t>
                  </w:r>
                </w:p>
              </w:tc>
              <w:tc>
                <w:tcPr>
                  <w:tcW w:w="645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904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管理方案/环境影响运行控制控制程序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7" w:hRule="atLeast"/>
              </w:trPr>
              <w:tc>
                <w:tcPr>
                  <w:tcW w:w="299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  <w:lang w:val="en-US" w:eastAsia="zh-CN"/>
                    </w:rPr>
                    <w:t>熔融过程产生得废气</w:t>
                  </w:r>
                  <w:r>
                    <w:rPr>
                      <w:rFonts w:hint="eastAsia" w:ascii="微软雅黑" w:hAnsi="微软雅黑" w:eastAsia="微软雅黑" w:cs="微软雅黑"/>
                      <w:color w:val="auto"/>
                      <w:sz w:val="21"/>
                      <w:szCs w:val="21"/>
                    </w:rPr>
                    <w:t>排放</w:t>
                  </w:r>
                </w:p>
              </w:tc>
              <w:tc>
                <w:tcPr>
                  <w:tcW w:w="687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5" w:hRule="atLeast"/>
              </w:trPr>
              <w:tc>
                <w:tcPr>
                  <w:tcW w:w="299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80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资源的消耗</w:t>
                  </w: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生产用电、水等的消耗</w:t>
                  </w:r>
                </w:p>
              </w:tc>
              <w:tc>
                <w:tcPr>
                  <w:tcW w:w="687" w:type="pct"/>
                  <w:vMerge w:val="restar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资源消耗</w:t>
                  </w:r>
                </w:p>
              </w:tc>
              <w:tc>
                <w:tcPr>
                  <w:tcW w:w="645" w:type="pct"/>
                  <w:vMerge w:val="restar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904" w:type="pct"/>
                  <w:vMerge w:val="restar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5" w:hRule="atLeast"/>
              </w:trPr>
              <w:tc>
                <w:tcPr>
                  <w:tcW w:w="299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办公用电、办公用品等的消耗</w:t>
                  </w:r>
                </w:p>
              </w:tc>
              <w:tc>
                <w:tcPr>
                  <w:tcW w:w="687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8" w:hRule="atLeast"/>
              </w:trPr>
              <w:tc>
                <w:tcPr>
                  <w:tcW w:w="299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680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潜在火灾事故的发生</w:t>
                  </w: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eastAsia="zh-CN"/>
                    </w:rPr>
                    <w:t>行政部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的易燃物品管理不慎，吸烟等明火引发的火灾</w:t>
                  </w:r>
                </w:p>
              </w:tc>
              <w:tc>
                <w:tcPr>
                  <w:tcW w:w="687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大气、水体等综合性污染</w:t>
                  </w:r>
                </w:p>
              </w:tc>
              <w:tc>
                <w:tcPr>
                  <w:tcW w:w="645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将来/紧急</w:t>
                  </w:r>
                </w:p>
              </w:tc>
              <w:tc>
                <w:tcPr>
                  <w:tcW w:w="904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管理方案/应急准备和响应控制程序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7" w:hRule="atLeast"/>
              </w:trPr>
              <w:tc>
                <w:tcPr>
                  <w:tcW w:w="299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车间和仓库包装材料等易燃品管理不慎引发的火灾</w:t>
                  </w:r>
                </w:p>
              </w:tc>
              <w:tc>
                <w:tcPr>
                  <w:tcW w:w="687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8" w:hRule="atLeast"/>
              </w:trPr>
              <w:tc>
                <w:tcPr>
                  <w:tcW w:w="299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电器短路火灾的发生</w:t>
                  </w:r>
                </w:p>
              </w:tc>
              <w:tc>
                <w:tcPr>
                  <w:tcW w:w="687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9" w:hRule="atLeast"/>
              </w:trPr>
              <w:tc>
                <w:tcPr>
                  <w:tcW w:w="299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680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危废弃物的</w:t>
                  </w:r>
                </w:p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排放</w:t>
                  </w: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设备维修后含油棉纱布、含油配件的处置，废旧灯管、电池废弃</w:t>
                  </w:r>
                </w:p>
              </w:tc>
              <w:tc>
                <w:tcPr>
                  <w:tcW w:w="687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危险废弃物的综合性污染</w:t>
                  </w:r>
                </w:p>
              </w:tc>
              <w:tc>
                <w:tcPr>
                  <w:tcW w:w="645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将来/正常</w:t>
                  </w:r>
                </w:p>
              </w:tc>
              <w:tc>
                <w:tcPr>
                  <w:tcW w:w="904" w:type="pct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管理方案/环境影响运行控制程序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3" w:hRule="atLeast"/>
              </w:trPr>
              <w:tc>
                <w:tcPr>
                  <w:tcW w:w="299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危险废物：废润滑油、废包装桶</w:t>
                  </w:r>
                </w:p>
              </w:tc>
              <w:tc>
                <w:tcPr>
                  <w:tcW w:w="687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3" w:hRule="atLeast"/>
              </w:trPr>
              <w:tc>
                <w:tcPr>
                  <w:tcW w:w="299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80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781" w:type="pct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一般废物：车间和仓库包装物的排放、边角料的排放、生活垃圾的排放</w:t>
                  </w:r>
                </w:p>
              </w:tc>
              <w:tc>
                <w:tcPr>
                  <w:tcW w:w="687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645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904" w:type="pct"/>
                  <w:vMerge w:val="continue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确保公司在所有管理活动或服务过程中能最大限度、充分地进行危险源辨识与风险性评价，确定不可接受风险并及时更新，实现对危险源与不可接受风险的有效控制。提供了《危险源风险辨识和评价表》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内容包括区域/活动、危险源内容、可能导致的后果、风险等级评价等内容。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提供了《重要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风险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危险源清单》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内容如下：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  <w:tbl>
            <w:tblPr>
              <w:tblStyle w:val="7"/>
              <w:tblpPr w:leftFromText="180" w:rightFromText="180" w:vertAnchor="page" w:horzAnchor="page" w:tblpX="185" w:tblpY="482"/>
              <w:tblOverlap w:val="never"/>
              <w:tblW w:w="0" w:type="auto"/>
              <w:jc w:val="center"/>
              <w:tblBorders>
                <w:top w:val="double" w:color="000000" w:sz="6" w:space="0"/>
                <w:left w:val="double" w:color="000000" w:sz="6" w:space="0"/>
                <w:bottom w:val="double" w:color="000000" w:sz="6" w:space="0"/>
                <w:right w:val="double" w:color="000000" w:sz="6" w:space="0"/>
                <w:insideH w:val="single" w:color="000000" w:sz="6" w:space="0"/>
                <w:insideV w:val="single" w:color="000000" w:sz="6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"/>
              <w:gridCol w:w="2671"/>
              <w:gridCol w:w="2558"/>
              <w:gridCol w:w="1540"/>
              <w:gridCol w:w="2671"/>
            </w:tblGrid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pacing w:val="-2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pacing w:val="-2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活动点/工序/部位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潜在的危险因素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caps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aps/>
                      <w:sz w:val="21"/>
                      <w:szCs w:val="21"/>
                    </w:rPr>
                    <w:t>可能导致的结果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21"/>
                      <w:szCs w:val="21"/>
                    </w:rPr>
                    <w:t>控制措施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办公场所、车间、仓库等区域的易燃品的堆放</w:t>
                  </w:r>
                </w:p>
              </w:tc>
              <w:tc>
                <w:tcPr>
                  <w:tcW w:w="0" w:type="auto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出现明火引起的火灾</w:t>
                  </w:r>
                </w:p>
              </w:tc>
              <w:tc>
                <w:tcPr>
                  <w:tcW w:w="0" w:type="auto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人员伤亡</w:t>
                  </w:r>
                </w:p>
              </w:tc>
              <w:tc>
                <w:tcPr>
                  <w:tcW w:w="0" w:type="auto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应急准备和响应控制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  <w:jc w:val="center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车间生产、物资装卸及运输等作业不当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引起人员机械伤害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人员的人身伤害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规范操作，加强现场管理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生产和办公用电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设备损坏，线路老化，电路设置不符合要求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人员触电，火灾事故等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规范操作，坚持线路检查，做好应急响应工作</w:t>
                  </w:r>
                </w:p>
              </w:tc>
            </w:tr>
            <w:tr>
              <w:tblPrEx>
                <w:tblBorders>
                  <w:top w:val="double" w:color="000000" w:sz="6" w:space="0"/>
                  <w:left w:val="double" w:color="000000" w:sz="6" w:space="0"/>
                  <w:bottom w:val="double" w:color="000000" w:sz="6" w:space="0"/>
                  <w:right w:val="doub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生产车间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（噪声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lang w:val="en-US" w:eastAsia="zh-CN"/>
                    </w:rPr>
                    <w:t>废气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）职业病伤害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人员的人身伤害</w:t>
                  </w:r>
                </w:p>
              </w:tc>
              <w:tc>
                <w:tcPr>
                  <w:tcW w:w="0" w:type="auto"/>
                  <w:noWrap w:val="0"/>
                  <w:vAlign w:val="center"/>
                </w:tcPr>
                <w:p>
                  <w:pPr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规范操作，加强现场管理</w:t>
                  </w:r>
                </w:p>
              </w:tc>
            </w:tr>
          </w:tbl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经查阅已辨识出上下班路上、出差交通事故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、挤伤、摔伤，办公室火灾、烫伤、触电，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食物中毒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查《重大危险源清单》，对识别的危险源进行了评价，评价出重大危险源，包括：职业病、触电事故、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火灾、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机械伤害、人身伤亡等。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经评价本部门重大危险源：触电、火灾事故的发生。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危险源控制执行管理方案、配备消防器材、个体防护、日常检查、日常培训教育等运行控制措施等</w:t>
            </w:r>
          </w:p>
        </w:tc>
        <w:tc>
          <w:tcPr>
            <w:tcW w:w="1585" w:type="dxa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9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EO8.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79" w:type="dxa"/>
            <w:vAlign w:val="center"/>
          </w:tcPr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组织编制了与环境、安全管理体系运行控制有关的文件包括《环境与职业健康安全管理方案控制程序》等，基本满足策划的要求。另行政部统筹管理的环境和职业健康安全运行控制情况基本如下：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1.固废管控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组织的固废分为一般固废和危险固废。一般固废包括一般生活垃圾和车间搜集粉尘；危险固废包括废活性炭，由有资质单位进行处置。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提供《危险废物收集转运合同》（巢湖辉昂废旧物资回收有限公司）；现场查看情况见生产部EO8.1记录。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搜集粉尘和危废处置见生产部EO记录。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2.废水管控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主要生活废水排入政府污水管网统一处理。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3.废气管控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办公现场基本无废气排放，工艺废气处理见生产部EO8.1记录。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4.噪声管控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办公噪声主要是复印机运行，噪声较低，采取措施按时清洁保养。车间噪声见生产部EO8.1记录。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5.职业健康安全防护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组织办公环境优良，工位配套设施齐全，每年安排员工进行体检；办公区域电器不允许私拉乱扔；疫情期间按照当地防疫政策要求亮码，同时做好疫苗接种等工作；组织定期给员工发放口罩、手套等劳保用品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6、办公情况的环境和安全检查同办公室。</w:t>
            </w:r>
          </w:p>
          <w:p>
            <w:pPr>
              <w:pStyle w:val="3"/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7、采购人员外出交通及疫情健康安全要求：遵守交通法规、配合外出地疫情防控要求、加强人员自身防护等。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79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应急准备和响应</w:t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8.2 </w:t>
            </w:r>
          </w:p>
        </w:tc>
        <w:tc>
          <w:tcPr>
            <w:tcW w:w="10179" w:type="dxa"/>
            <w:vAlign w:val="center"/>
          </w:tcPr>
          <w:p>
            <w:pPr>
              <w:pStyle w:val="16"/>
              <w:spacing w:line="240" w:lineRule="auto"/>
              <w:ind w:firstLineChars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执行《</w:t>
            </w:r>
            <w:bookmarkStart w:id="0" w:name="_Hlk7299624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应急响应管理程序</w:t>
            </w:r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》。采购部2022年10月26日参加了公司组织消防演练，相关记录详见行政部的记录。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eastAsia="zh-CN"/>
        </w:rPr>
        <w:t>符合标注</w:t>
      </w:r>
      <w:r>
        <w:rPr>
          <w:rFonts w:hint="eastAsia"/>
          <w:lang w:val="en-US" w:eastAsia="zh-CN"/>
        </w:rPr>
        <w:t>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33020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WJiZGY2YjU2MmRhNjg4NDA1NWJhMzhhZTVmYzcifQ=="/>
  </w:docVars>
  <w:rsids>
    <w:rsidRoot w:val="00F22611"/>
    <w:rsid w:val="000F2CEF"/>
    <w:rsid w:val="00162691"/>
    <w:rsid w:val="00263638"/>
    <w:rsid w:val="00295CDC"/>
    <w:rsid w:val="002F484C"/>
    <w:rsid w:val="00315297"/>
    <w:rsid w:val="00321960"/>
    <w:rsid w:val="00344AA3"/>
    <w:rsid w:val="00347B79"/>
    <w:rsid w:val="00355ECC"/>
    <w:rsid w:val="0036229B"/>
    <w:rsid w:val="003D7B7D"/>
    <w:rsid w:val="003F33A8"/>
    <w:rsid w:val="00401666"/>
    <w:rsid w:val="0049604C"/>
    <w:rsid w:val="004D0690"/>
    <w:rsid w:val="00507E92"/>
    <w:rsid w:val="005B20B0"/>
    <w:rsid w:val="00605D58"/>
    <w:rsid w:val="00655A1D"/>
    <w:rsid w:val="006704CA"/>
    <w:rsid w:val="0069320B"/>
    <w:rsid w:val="006B7275"/>
    <w:rsid w:val="007A72C4"/>
    <w:rsid w:val="00870586"/>
    <w:rsid w:val="008A6625"/>
    <w:rsid w:val="008E5568"/>
    <w:rsid w:val="00925A92"/>
    <w:rsid w:val="00987D09"/>
    <w:rsid w:val="00A615E8"/>
    <w:rsid w:val="00A92D54"/>
    <w:rsid w:val="00AF5445"/>
    <w:rsid w:val="00AF7A8A"/>
    <w:rsid w:val="00B97A59"/>
    <w:rsid w:val="00BC5955"/>
    <w:rsid w:val="00C26588"/>
    <w:rsid w:val="00C44524"/>
    <w:rsid w:val="00C717A2"/>
    <w:rsid w:val="00D37EF8"/>
    <w:rsid w:val="00D97452"/>
    <w:rsid w:val="00DD1FE4"/>
    <w:rsid w:val="00DF12DC"/>
    <w:rsid w:val="00E84661"/>
    <w:rsid w:val="00EC20CB"/>
    <w:rsid w:val="00ED01B8"/>
    <w:rsid w:val="00F22611"/>
    <w:rsid w:val="00F47546"/>
    <w:rsid w:val="00F5368E"/>
    <w:rsid w:val="00F90642"/>
    <w:rsid w:val="00FC294A"/>
    <w:rsid w:val="01977CB2"/>
    <w:rsid w:val="01DB4C3C"/>
    <w:rsid w:val="02F37519"/>
    <w:rsid w:val="05410E4E"/>
    <w:rsid w:val="08D70F32"/>
    <w:rsid w:val="0A92134D"/>
    <w:rsid w:val="0B157D11"/>
    <w:rsid w:val="0BCD3EC2"/>
    <w:rsid w:val="0CDB4648"/>
    <w:rsid w:val="0F0B10CC"/>
    <w:rsid w:val="0FAF36AD"/>
    <w:rsid w:val="12A304A1"/>
    <w:rsid w:val="14D83306"/>
    <w:rsid w:val="15040A7A"/>
    <w:rsid w:val="1554209B"/>
    <w:rsid w:val="16CF046C"/>
    <w:rsid w:val="16E4675B"/>
    <w:rsid w:val="19802A5D"/>
    <w:rsid w:val="1CBE258A"/>
    <w:rsid w:val="217725F9"/>
    <w:rsid w:val="23386A1B"/>
    <w:rsid w:val="25FE6775"/>
    <w:rsid w:val="26F92DA0"/>
    <w:rsid w:val="29042DBD"/>
    <w:rsid w:val="2C9437C1"/>
    <w:rsid w:val="2DE2679C"/>
    <w:rsid w:val="318E5CBC"/>
    <w:rsid w:val="374E7E93"/>
    <w:rsid w:val="39C20A18"/>
    <w:rsid w:val="3AD23791"/>
    <w:rsid w:val="3C772C94"/>
    <w:rsid w:val="3FB21661"/>
    <w:rsid w:val="42084C46"/>
    <w:rsid w:val="42255769"/>
    <w:rsid w:val="45D773CD"/>
    <w:rsid w:val="470571F6"/>
    <w:rsid w:val="4CED6E97"/>
    <w:rsid w:val="4F18777B"/>
    <w:rsid w:val="4FC46432"/>
    <w:rsid w:val="55EE515A"/>
    <w:rsid w:val="592710C0"/>
    <w:rsid w:val="5B363514"/>
    <w:rsid w:val="61E20F91"/>
    <w:rsid w:val="626718FB"/>
    <w:rsid w:val="633B3E42"/>
    <w:rsid w:val="6A475D96"/>
    <w:rsid w:val="72B25C8E"/>
    <w:rsid w:val="73750D9E"/>
    <w:rsid w:val="757D3731"/>
    <w:rsid w:val="79FB1A48"/>
    <w:rsid w:val="7BB75966"/>
    <w:rsid w:val="7E280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  <w:style w:type="paragraph" w:customStyle="1" w:styleId="10">
    <w:name w:val="二级条标题"/>
    <w:basedOn w:val="9"/>
    <w:next w:val="1"/>
    <w:qFormat/>
    <w:uiPriority w:val="0"/>
    <w:pPr>
      <w:ind w:left="0" w:firstLine="0"/>
      <w:outlineLvl w:val="3"/>
    </w:pPr>
    <w:rPr>
      <w:rFonts w:hint="default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2576</Words>
  <Characters>2697</Characters>
  <Lines>43</Lines>
  <Paragraphs>12</Paragraphs>
  <TotalTime>0</TotalTime>
  <ScaleCrop>false</ScaleCrop>
  <LinksUpToDate>false</LinksUpToDate>
  <CharactersWithSpaces>2794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春华秋实</cp:lastModifiedBy>
  <dcterms:modified xsi:type="dcterms:W3CDTF">2023-01-17T06:48:18Z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22469BB99E7D48C087BF29197B65F680</vt:lpwstr>
  </property>
  <property fmtid="{D5CDD505-2E9C-101B-9397-08002B2CF9AE}" pid="4" name="commondata">
    <vt:lpwstr>eyJoZGlkIjoiMDc4ZWJiZGY2YjU2MmRhNjg4NDA1NWJhMzhhZTVmYzcifQ==</vt:lpwstr>
  </property>
</Properties>
</file>