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80"/>
        <w:gridCol w:w="12314"/>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30" w:type="dxa"/>
            <w:vMerge w:val="restart"/>
            <w:vAlign w:val="center"/>
          </w:tcPr>
          <w:p>
            <w:pPr>
              <w:bidi w:val="0"/>
              <w:rPr>
                <w:rFonts w:hint="eastAsia"/>
              </w:rPr>
            </w:pPr>
            <w:r>
              <w:rPr>
                <w:rFonts w:hint="eastAsia"/>
              </w:rPr>
              <w:t>过程与活动、</w:t>
            </w:r>
          </w:p>
          <w:p>
            <w:pPr>
              <w:bidi w:val="0"/>
              <w:rPr>
                <w:rFonts w:hint="eastAsia"/>
              </w:rPr>
            </w:pPr>
            <w:r>
              <w:rPr>
                <w:rFonts w:hint="eastAsia"/>
              </w:rPr>
              <w:t>抽样计划</w:t>
            </w:r>
          </w:p>
        </w:tc>
        <w:tc>
          <w:tcPr>
            <w:tcW w:w="1068" w:type="dxa"/>
            <w:vMerge w:val="restart"/>
            <w:vAlign w:val="center"/>
          </w:tcPr>
          <w:p>
            <w:pPr>
              <w:bidi w:val="0"/>
              <w:rPr>
                <w:rFonts w:hint="eastAsia"/>
              </w:rPr>
            </w:pPr>
            <w:r>
              <w:rPr>
                <w:rFonts w:hint="eastAsia"/>
              </w:rPr>
              <w:t>涉及</w:t>
            </w:r>
          </w:p>
          <w:p>
            <w:pPr>
              <w:bidi w:val="0"/>
              <w:rPr>
                <w:rFonts w:hint="eastAsia"/>
              </w:rPr>
            </w:pPr>
            <w:r>
              <w:rPr>
                <w:rFonts w:hint="eastAsia"/>
              </w:rPr>
              <w:t>条款</w:t>
            </w:r>
          </w:p>
        </w:tc>
        <w:tc>
          <w:tcPr>
            <w:tcW w:w="12151" w:type="dxa"/>
            <w:vAlign w:val="center"/>
          </w:tcPr>
          <w:p>
            <w:pPr>
              <w:bidi w:val="0"/>
              <w:rPr>
                <w:rFonts w:hint="eastAsia"/>
                <w:lang w:eastAsia="zh-CN"/>
              </w:rPr>
            </w:pPr>
            <w:r>
              <w:rPr>
                <w:rFonts w:hint="eastAsia"/>
              </w:rPr>
              <w:t>受审核部门：</w:t>
            </w:r>
            <w:r>
              <w:rPr>
                <w:rFonts w:hint="eastAsia"/>
                <w:lang w:val="en-US" w:eastAsia="zh-CN"/>
              </w:rPr>
              <w:t>行政部</w:t>
            </w:r>
            <w:r>
              <w:rPr>
                <w:rFonts w:hint="eastAsia"/>
              </w:rPr>
              <w:t xml:space="preserve">  主管领导：</w:t>
            </w:r>
            <w:r>
              <w:rPr>
                <w:rFonts w:hint="eastAsia"/>
                <w:lang w:val="en-US" w:eastAsia="zh-CN"/>
              </w:rPr>
              <w:t>潘冰青</w:t>
            </w:r>
            <w:r>
              <w:rPr>
                <w:rFonts w:hint="eastAsia"/>
              </w:rPr>
              <w:t xml:space="preserve">   陪同人员：</w:t>
            </w:r>
            <w:bookmarkStart w:id="0" w:name="联系人"/>
            <w:r>
              <w:rPr>
                <w:sz w:val="21"/>
                <w:szCs w:val="21"/>
              </w:rPr>
              <w:t>宣雅倩</w:t>
            </w:r>
            <w:bookmarkEnd w:id="0"/>
          </w:p>
        </w:tc>
        <w:tc>
          <w:tcPr>
            <w:tcW w:w="104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0" w:type="dxa"/>
            <w:vMerge w:val="continue"/>
            <w:vAlign w:val="center"/>
          </w:tcPr>
          <w:p>
            <w:pPr>
              <w:bidi w:val="0"/>
              <w:rPr>
                <w:rFonts w:hint="eastAsia"/>
              </w:rPr>
            </w:pPr>
          </w:p>
        </w:tc>
        <w:tc>
          <w:tcPr>
            <w:tcW w:w="1068" w:type="dxa"/>
            <w:vMerge w:val="continue"/>
            <w:vAlign w:val="center"/>
          </w:tcPr>
          <w:p>
            <w:pPr>
              <w:bidi w:val="0"/>
              <w:rPr>
                <w:rFonts w:hint="eastAsia"/>
              </w:rPr>
            </w:pPr>
          </w:p>
        </w:tc>
        <w:tc>
          <w:tcPr>
            <w:tcW w:w="12151" w:type="dxa"/>
            <w:vAlign w:val="center"/>
          </w:tcPr>
          <w:p>
            <w:pPr>
              <w:bidi w:val="0"/>
              <w:rPr>
                <w:rFonts w:hint="default" w:eastAsia="华文细黑"/>
                <w:lang w:val="en-US" w:eastAsia="zh-CN"/>
              </w:rPr>
            </w:pPr>
            <w:r>
              <w:rPr>
                <w:rFonts w:hint="eastAsia"/>
              </w:rPr>
              <w:t>审核员：</w:t>
            </w:r>
            <w:r>
              <w:rPr>
                <w:rFonts w:hint="eastAsia"/>
                <w:lang w:val="en-US" w:eastAsia="zh-CN"/>
              </w:rPr>
              <w:t xml:space="preserve">张磊     </w:t>
            </w:r>
            <w:bookmarkStart w:id="2" w:name="_GoBack"/>
            <w:bookmarkEnd w:id="2"/>
            <w:r>
              <w:rPr>
                <w:rFonts w:hint="eastAsia"/>
              </w:rPr>
              <w:t>审核时间：</w:t>
            </w:r>
            <w:r>
              <w:rPr>
                <w:rFonts w:hint="eastAsia"/>
                <w:lang w:val="en-US" w:eastAsia="zh-CN"/>
              </w:rPr>
              <w:t xml:space="preserve">2023.1.16   </w:t>
            </w:r>
          </w:p>
        </w:tc>
        <w:tc>
          <w:tcPr>
            <w:tcW w:w="104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30" w:type="dxa"/>
            <w:vMerge w:val="continue"/>
            <w:vAlign w:val="center"/>
          </w:tcPr>
          <w:p>
            <w:pPr>
              <w:bidi w:val="0"/>
              <w:rPr>
                <w:rFonts w:hint="eastAsia"/>
              </w:rPr>
            </w:pPr>
          </w:p>
        </w:tc>
        <w:tc>
          <w:tcPr>
            <w:tcW w:w="1068" w:type="dxa"/>
            <w:vMerge w:val="continue"/>
            <w:vAlign w:val="center"/>
          </w:tcPr>
          <w:p>
            <w:pPr>
              <w:bidi w:val="0"/>
              <w:rPr>
                <w:rFonts w:hint="eastAsia"/>
              </w:rPr>
            </w:pPr>
          </w:p>
        </w:tc>
        <w:tc>
          <w:tcPr>
            <w:tcW w:w="12151" w:type="dxa"/>
            <w:vAlign w:val="center"/>
          </w:tcPr>
          <w:p>
            <w:pPr>
              <w:bidi w:val="0"/>
              <w:rPr>
                <w:rFonts w:hint="eastAsia"/>
                <w:lang w:val="en-US" w:eastAsia="zh-CN"/>
              </w:rPr>
            </w:pPr>
            <w:r>
              <w:rPr>
                <w:rFonts w:hint="eastAsia"/>
                <w:lang w:val="en-US" w:eastAsia="zh-CN"/>
              </w:rPr>
              <w:t>审核条款：</w:t>
            </w:r>
          </w:p>
          <w:p>
            <w:pPr>
              <w:bidi w:val="0"/>
              <w:rPr>
                <w:rFonts w:hint="default"/>
                <w:lang w:val="en-US" w:eastAsia="zh-CN"/>
              </w:rPr>
            </w:pPr>
            <w:r>
              <w:rPr>
                <w:rFonts w:hint="default"/>
                <w:lang w:val="en-US" w:eastAsia="zh-CN"/>
              </w:rPr>
              <w:t>QEO：5.3岗位/职责 /权限；6.2质量目标及其实现的策划；</w:t>
            </w:r>
          </w:p>
          <w:p>
            <w:pPr>
              <w:bidi w:val="0"/>
              <w:rPr>
                <w:rFonts w:hint="default"/>
                <w:lang w:val="en-US" w:eastAsia="zh-CN"/>
              </w:rPr>
            </w:pPr>
            <w:r>
              <w:rPr>
                <w:rFonts w:hint="default"/>
                <w:lang w:val="en-US" w:eastAsia="zh-CN"/>
              </w:rPr>
              <w:t xml:space="preserve">EMS-2015 </w:t>
            </w:r>
          </w:p>
          <w:p>
            <w:pPr>
              <w:bidi w:val="0"/>
              <w:rPr>
                <w:rFonts w:hint="default"/>
                <w:lang w:val="en-US" w:eastAsia="zh-CN"/>
              </w:rPr>
            </w:pPr>
            <w:r>
              <w:rPr>
                <w:rFonts w:hint="default"/>
                <w:lang w:val="en-US" w:eastAsia="zh-CN"/>
              </w:rPr>
              <w:t xml:space="preserve"> 6.1.2环境因素； 6.1.3合规义务；7.2能力；7.3意识；7.4沟通；7.5文件化信息； 8.1运行策划和控制；8.2应急准备和响应；9.1.2符合性评估；9.2内部审核；10.2不符合和纠正措施；</w:t>
            </w:r>
          </w:p>
          <w:p>
            <w:pPr>
              <w:bidi w:val="0"/>
              <w:rPr>
                <w:rFonts w:hint="default"/>
                <w:lang w:val="en-US" w:eastAsia="zh-CN"/>
              </w:rPr>
            </w:pPr>
            <w:r>
              <w:rPr>
                <w:rFonts w:hint="default"/>
                <w:lang w:val="en-US" w:eastAsia="zh-CN"/>
              </w:rPr>
              <w:t>ISO 45001：2018</w:t>
            </w:r>
          </w:p>
          <w:p>
            <w:pPr>
              <w:bidi w:val="0"/>
              <w:rPr>
                <w:rFonts w:hint="default"/>
                <w:lang w:val="en-US" w:eastAsia="zh-CN"/>
              </w:rPr>
            </w:pPr>
            <w:r>
              <w:rPr>
                <w:rFonts w:hint="default"/>
                <w:lang w:val="en-US" w:eastAsia="zh-CN"/>
              </w:rPr>
              <w:t>5.4员工参与和协商；6.1.3法律法规要求和其他要求；6.1.2危险源辨识和职业安全风险评价；7.2能力；7.3意识；7.4信息和沟通；7.5文件化信息；8.1运行策划和控制；8.2应急准备和响应； 9.1.2法律法规要求和其他要求的合规性评价；9.2内部审核；10.2纠正措施</w:t>
            </w:r>
          </w:p>
        </w:tc>
        <w:tc>
          <w:tcPr>
            <w:tcW w:w="104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bidi w:val="0"/>
              <w:rPr>
                <w:rFonts w:hint="eastAsia"/>
              </w:rPr>
            </w:pPr>
            <w:r>
              <w:rPr>
                <w:rFonts w:hint="eastAsia"/>
              </w:rPr>
              <w:t>组织的岗位、职责和权限</w:t>
            </w:r>
          </w:p>
          <w:p>
            <w:pPr>
              <w:bidi w:val="0"/>
              <w:rPr>
                <w:rFonts w:hint="eastAsia"/>
              </w:rPr>
            </w:pPr>
          </w:p>
        </w:tc>
        <w:tc>
          <w:tcPr>
            <w:tcW w:w="1068" w:type="dxa"/>
          </w:tcPr>
          <w:p>
            <w:pPr>
              <w:bidi w:val="0"/>
              <w:rPr>
                <w:rFonts w:hint="eastAsia"/>
              </w:rPr>
            </w:pPr>
            <w:r>
              <w:rPr>
                <w:rFonts w:hint="eastAsia"/>
                <w:lang w:val="en-US" w:eastAsia="zh-CN"/>
              </w:rPr>
              <w:t>Q</w:t>
            </w:r>
            <w:r>
              <w:rPr>
                <w:rFonts w:hint="eastAsia"/>
                <w:lang w:eastAsia="zh-CN"/>
              </w:rPr>
              <w:t>EO</w:t>
            </w:r>
            <w:r>
              <w:rPr>
                <w:rFonts w:hint="eastAsia"/>
              </w:rPr>
              <w:t>5.3</w:t>
            </w:r>
          </w:p>
        </w:tc>
        <w:tc>
          <w:tcPr>
            <w:tcW w:w="12151"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查组织手册，</w:t>
            </w:r>
            <w:r>
              <w:rPr>
                <w:rFonts w:hint="eastAsia" w:ascii="宋体" w:hAnsi="宋体" w:cs="宋体"/>
                <w:szCs w:val="21"/>
                <w:lang w:eastAsia="zh-CN"/>
              </w:rPr>
              <w:t>行政部</w:t>
            </w:r>
            <w:r>
              <w:rPr>
                <w:rFonts w:hint="eastAsia" w:ascii="宋体" w:hAnsi="宋体" w:cs="宋体"/>
                <w:szCs w:val="21"/>
              </w:rPr>
              <w:t>职责</w:t>
            </w:r>
            <w:r>
              <w:rPr>
                <w:rFonts w:hint="eastAsia" w:ascii="宋体" w:hAnsi="宋体" w:cs="宋体"/>
                <w:szCs w:val="21"/>
                <w:lang w:val="en-US" w:eastAsia="zh-CN"/>
              </w:rPr>
              <w:t>职责如下</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n)贯彻公司质量环境和职业健康安全方针，完成质量环境和职业健康安全目标；</w:t>
            </w:r>
          </w:p>
          <w:p>
            <w:pPr>
              <w:spacing w:line="280" w:lineRule="exact"/>
              <w:ind w:firstLine="420" w:firstLineChars="200"/>
              <w:rPr>
                <w:rFonts w:hint="eastAsia" w:ascii="宋体" w:hAnsi="宋体" w:cs="宋体"/>
                <w:szCs w:val="21"/>
              </w:rPr>
            </w:pPr>
            <w:r>
              <w:rPr>
                <w:rFonts w:hint="eastAsia" w:ascii="宋体" w:hAnsi="宋体" w:cs="宋体"/>
                <w:szCs w:val="21"/>
              </w:rPr>
              <w:t>o)组织有关部门起草、修订质量环境职业健康安全体系文件，负责文件管理，包括发放、回收、归档、更改、保存、销毁并做好相关记录；</w:t>
            </w:r>
          </w:p>
          <w:p>
            <w:pPr>
              <w:spacing w:line="280" w:lineRule="exact"/>
              <w:ind w:firstLine="420" w:firstLineChars="200"/>
              <w:rPr>
                <w:rFonts w:hint="eastAsia" w:ascii="宋体" w:hAnsi="宋体" w:cs="宋体"/>
                <w:szCs w:val="21"/>
              </w:rPr>
            </w:pPr>
            <w:r>
              <w:rPr>
                <w:rFonts w:hint="eastAsia" w:ascii="宋体" w:hAnsi="宋体" w:cs="宋体"/>
                <w:szCs w:val="21"/>
              </w:rPr>
              <w:t>p)负责记录的管理并规定记录保存期限，并保存所有体系文件和记录表单电子档备份，组织对现有体系文件定期评审，必要时进行更新；</w:t>
            </w:r>
          </w:p>
          <w:p>
            <w:pPr>
              <w:spacing w:line="280" w:lineRule="exact"/>
              <w:ind w:firstLine="420" w:firstLineChars="200"/>
              <w:rPr>
                <w:rFonts w:hint="eastAsia" w:ascii="宋体" w:hAnsi="宋体" w:cs="宋体"/>
                <w:szCs w:val="21"/>
              </w:rPr>
            </w:pPr>
            <w:r>
              <w:rPr>
                <w:rFonts w:hint="eastAsia" w:ascii="宋体" w:hAnsi="宋体" w:cs="宋体"/>
                <w:szCs w:val="21"/>
              </w:rPr>
              <w:t>q)规范和督促生产部门的现场管理工作，并落实有关防火、防雨、防灾、防盗、防毒等环境因素的控制、生产安全措施，并向相关员工进行安全生产、环境意识、质量意识等方面的培训教育，提高员工的环境保护意识和安全生产意识；</w:t>
            </w:r>
          </w:p>
          <w:p>
            <w:pPr>
              <w:spacing w:line="280" w:lineRule="exact"/>
              <w:ind w:firstLine="420" w:firstLineChars="200"/>
              <w:rPr>
                <w:rFonts w:hint="eastAsia" w:ascii="宋体" w:hAnsi="宋体" w:cs="宋体"/>
                <w:szCs w:val="21"/>
              </w:rPr>
            </w:pPr>
            <w:r>
              <w:rPr>
                <w:rFonts w:hint="eastAsia" w:ascii="宋体" w:hAnsi="宋体" w:cs="宋体"/>
                <w:szCs w:val="21"/>
              </w:rPr>
              <w:t>r)组织制订公司各职能部门及岗位的《职责要求》和《任职资格要求》，明确各岗位职能，</w:t>
            </w:r>
          </w:p>
          <w:p>
            <w:pPr>
              <w:spacing w:line="280" w:lineRule="exact"/>
              <w:ind w:firstLine="420" w:firstLineChars="200"/>
              <w:rPr>
                <w:rFonts w:hint="eastAsia" w:ascii="宋体" w:hAnsi="宋体" w:cs="宋体"/>
                <w:szCs w:val="21"/>
              </w:rPr>
            </w:pPr>
            <w:r>
              <w:rPr>
                <w:rFonts w:hint="eastAsia" w:ascii="宋体" w:hAnsi="宋体" w:cs="宋体"/>
                <w:szCs w:val="21"/>
              </w:rPr>
              <w:t>s)建立员工人事档案，并提出合理配置、相关资源的方案；</w:t>
            </w:r>
          </w:p>
          <w:p>
            <w:pPr>
              <w:spacing w:line="280" w:lineRule="exact"/>
              <w:ind w:firstLine="420" w:firstLineChars="200"/>
              <w:rPr>
                <w:rFonts w:hint="eastAsia" w:ascii="宋体" w:hAnsi="宋体" w:cs="宋体"/>
                <w:szCs w:val="21"/>
              </w:rPr>
            </w:pPr>
            <w:r>
              <w:rPr>
                <w:rFonts w:hint="eastAsia" w:ascii="宋体" w:hAnsi="宋体" w:cs="宋体"/>
                <w:szCs w:val="21"/>
              </w:rPr>
              <w:t>t)负责质量、环境和职业健康安全法律、法规的获取和评价、跟踪和更新，应用于相应的环境因素和危险源和适用部门的识别；并进行评价、跟踪和更新；</w:t>
            </w:r>
          </w:p>
          <w:p>
            <w:pPr>
              <w:spacing w:line="280" w:lineRule="exact"/>
              <w:ind w:firstLine="420" w:firstLineChars="200"/>
              <w:rPr>
                <w:rFonts w:hint="eastAsia" w:ascii="宋体" w:hAnsi="宋体" w:cs="宋体"/>
                <w:szCs w:val="21"/>
              </w:rPr>
            </w:pPr>
            <w:r>
              <w:rPr>
                <w:rFonts w:hint="eastAsia" w:ascii="宋体" w:hAnsi="宋体" w:cs="宋体"/>
                <w:szCs w:val="21"/>
              </w:rPr>
              <w:t>u)负责人力资源工作，做好人员招聘、岗位培训、资格认证等的年度计划，并督促落实；</w:t>
            </w:r>
          </w:p>
          <w:p>
            <w:pPr>
              <w:spacing w:line="280" w:lineRule="exact"/>
              <w:ind w:firstLine="420" w:firstLineChars="200"/>
              <w:rPr>
                <w:rFonts w:hint="eastAsia" w:ascii="宋体" w:hAnsi="宋体" w:cs="宋体"/>
                <w:szCs w:val="21"/>
              </w:rPr>
            </w:pPr>
            <w:r>
              <w:rPr>
                <w:rFonts w:hint="eastAsia" w:ascii="宋体" w:hAnsi="宋体" w:cs="宋体"/>
                <w:szCs w:val="21"/>
              </w:rPr>
              <w:t>v)负责员工招聘、组织培训、考核、调职、升迁、离职的管理工作；做好人员调配，确保体系运行人力资源充足；</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szCs w:val="21"/>
              </w:rPr>
            </w:pPr>
            <w:r>
              <w:rPr>
                <w:rFonts w:hint="eastAsia" w:ascii="宋体" w:hAnsi="宋体" w:cs="宋体"/>
                <w:szCs w:val="21"/>
              </w:rPr>
              <w:t>f) 负责管理评审、内部审核的组织落实，并保存管理评审和内部审核资料；</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szCs w:val="21"/>
              </w:rPr>
            </w:pPr>
            <w:r>
              <w:rPr>
                <w:rFonts w:hint="eastAsia" w:ascii="宋体" w:hAnsi="宋体" w:cs="宋体"/>
                <w:szCs w:val="21"/>
              </w:rPr>
              <w:t>c) 负责年度招聘、培训计划的实施、督促及培训的考核、评价、人员入岗资格的认定及特殊工种的技术培训和相关岗位资格评审与确认；</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szCs w:val="21"/>
              </w:rPr>
            </w:pPr>
            <w:r>
              <w:rPr>
                <w:rFonts w:hint="eastAsia" w:ascii="宋体" w:hAnsi="宋体" w:cs="宋体"/>
                <w:szCs w:val="21"/>
              </w:rPr>
              <w:t>g)制订公司各级员工劳保、后勤卫生等方面的实施方案；</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h）</w:t>
            </w:r>
            <w:r>
              <w:rPr>
                <w:rFonts w:hint="eastAsia" w:ascii="宋体" w:hAnsi="宋体" w:cs="宋体"/>
                <w:szCs w:val="21"/>
              </w:rPr>
              <w:t>负责公司应急准备和响应的策划、定期演练，协助管代对紧急情况的统一指挥；</w:t>
            </w:r>
          </w:p>
          <w:p>
            <w:pPr>
              <w:pStyle w:val="2"/>
              <w:keepNext w:val="0"/>
              <w:keepLines w:val="0"/>
              <w:pageBreakBefore w:val="0"/>
              <w:widowControl w:val="0"/>
              <w:kinsoku/>
              <w:wordWrap/>
              <w:overflowPunct/>
              <w:topLinePunct w:val="0"/>
              <w:autoSpaceDE/>
              <w:autoSpaceDN/>
              <w:bidi w:val="0"/>
              <w:adjustRightInd/>
              <w:snapToGrid/>
              <w:spacing w:before="0" w:after="0" w:line="280" w:lineRule="exact"/>
              <w:ind w:firstLine="460" w:firstLineChars="200"/>
              <w:textAlignment w:val="auto"/>
              <w:rPr>
                <w:rFonts w:hint="eastAsia"/>
              </w:rPr>
            </w:pPr>
            <w:r>
              <w:rPr>
                <w:rFonts w:hint="eastAsia"/>
                <w:lang w:val="en-US" w:eastAsia="zh-CN"/>
              </w:rPr>
              <w:t>i)</w:t>
            </w:r>
            <w:r>
              <w:rPr>
                <w:rFonts w:hint="eastAsia"/>
              </w:rPr>
              <w:t>负责消防设施的保养维护管理,维持作业现场的清洁卫生，对作业人员的职业卫生和安全进行管理；</w:t>
            </w:r>
          </w:p>
          <w:p>
            <w:pPr>
              <w:pStyle w:val="2"/>
              <w:keepNext w:val="0"/>
              <w:keepLines w:val="0"/>
              <w:pageBreakBefore w:val="0"/>
              <w:widowControl w:val="0"/>
              <w:kinsoku/>
              <w:wordWrap/>
              <w:overflowPunct/>
              <w:topLinePunct w:val="0"/>
              <w:autoSpaceDE/>
              <w:autoSpaceDN/>
              <w:bidi w:val="0"/>
              <w:adjustRightInd/>
              <w:snapToGrid/>
              <w:spacing w:before="0" w:after="0" w:line="280" w:lineRule="exact"/>
              <w:ind w:firstLine="460" w:firstLineChars="200"/>
              <w:textAlignment w:val="auto"/>
              <w:rPr>
                <w:rFonts w:hint="eastAsia"/>
              </w:rPr>
            </w:pPr>
            <w:r>
              <w:rPr>
                <w:rFonts w:hint="eastAsia"/>
                <w:lang w:val="en-US" w:eastAsia="zh-CN"/>
              </w:rPr>
              <w:t>j)</w:t>
            </w:r>
            <w:r>
              <w:rPr>
                <w:rFonts w:hint="eastAsia"/>
              </w:rPr>
              <w:t>代表员工参与职业健康安全的有关管理工作，汇集报告员工的意见和建议，并与相关部门协商解决或上报，确保充分发挥员工在环境保护、安全生产中的作用；</w:t>
            </w:r>
          </w:p>
          <w:p>
            <w:pPr>
              <w:pStyle w:val="2"/>
              <w:keepNext w:val="0"/>
              <w:keepLines w:val="0"/>
              <w:pageBreakBefore w:val="0"/>
              <w:widowControl w:val="0"/>
              <w:kinsoku/>
              <w:wordWrap/>
              <w:overflowPunct/>
              <w:topLinePunct w:val="0"/>
              <w:autoSpaceDE/>
              <w:autoSpaceDN/>
              <w:bidi w:val="0"/>
              <w:adjustRightInd/>
              <w:snapToGrid/>
              <w:spacing w:before="0" w:after="0" w:line="280" w:lineRule="exact"/>
              <w:ind w:firstLine="460" w:firstLineChars="200"/>
              <w:textAlignment w:val="auto"/>
              <w:rPr>
                <w:rFonts w:hint="eastAsia"/>
              </w:rPr>
            </w:pPr>
            <w:r>
              <w:rPr>
                <w:rFonts w:hint="eastAsia"/>
                <w:lang w:val="en-US" w:eastAsia="zh-CN"/>
              </w:rPr>
              <w:t>k)</w:t>
            </w:r>
            <w:r>
              <w:rPr>
                <w:rFonts w:hint="eastAsia"/>
              </w:rPr>
              <w:t>负责组织员工开展遵章守纪和预防事故的群众性活动。关心员工职业健康安全条件的改善，加强女职工的保护；</w:t>
            </w:r>
          </w:p>
          <w:p>
            <w:pPr>
              <w:pStyle w:val="2"/>
              <w:keepNext w:val="0"/>
              <w:keepLines w:val="0"/>
              <w:pageBreakBefore w:val="0"/>
              <w:widowControl w:val="0"/>
              <w:kinsoku/>
              <w:wordWrap/>
              <w:overflowPunct/>
              <w:topLinePunct w:val="0"/>
              <w:autoSpaceDE/>
              <w:autoSpaceDN/>
              <w:bidi w:val="0"/>
              <w:adjustRightInd/>
              <w:snapToGrid/>
              <w:spacing w:before="0" w:after="0" w:line="280" w:lineRule="exact"/>
              <w:ind w:firstLine="460" w:firstLineChars="200"/>
              <w:textAlignment w:val="auto"/>
              <w:rPr>
                <w:rFonts w:hint="eastAsia"/>
              </w:rPr>
            </w:pPr>
            <w:r>
              <w:rPr>
                <w:rFonts w:hint="eastAsia"/>
                <w:lang w:val="en-US" w:eastAsia="zh-CN"/>
              </w:rPr>
              <w:t>l)</w:t>
            </w:r>
            <w:r>
              <w:rPr>
                <w:rFonts w:hint="eastAsia"/>
              </w:rPr>
              <w:t>负责公司环境相关的废气、噪声、废水的年度监测的组织，收集相关报告；监督检查公司内部的如废水检测和结果；监督检查公司危险固废处置和管理工作；负责工作场所职业健康检测与评价工作的实施；负责收集公司内、外部关于环境事件的投诉、意见和建议，提交管理者代表评审处置；</w:t>
            </w:r>
          </w:p>
          <w:p>
            <w:pPr>
              <w:pStyle w:val="2"/>
              <w:keepNext w:val="0"/>
              <w:keepLines w:val="0"/>
              <w:pageBreakBefore w:val="0"/>
              <w:widowControl w:val="0"/>
              <w:kinsoku/>
              <w:wordWrap/>
              <w:overflowPunct/>
              <w:topLinePunct w:val="0"/>
              <w:autoSpaceDE/>
              <w:autoSpaceDN/>
              <w:bidi w:val="0"/>
              <w:adjustRightInd/>
              <w:snapToGrid/>
              <w:spacing w:before="0" w:after="0" w:line="280" w:lineRule="exact"/>
              <w:ind w:firstLine="460" w:firstLineChars="200"/>
              <w:textAlignment w:val="auto"/>
              <w:rPr>
                <w:rFonts w:hint="eastAsia"/>
              </w:rPr>
            </w:pPr>
            <w:r>
              <w:rPr>
                <w:rFonts w:hint="eastAsia"/>
                <w:lang w:val="en-US" w:eastAsia="zh-CN"/>
              </w:rPr>
              <w:t>m)</w:t>
            </w:r>
            <w:r>
              <w:rPr>
                <w:rFonts w:hint="eastAsia"/>
              </w:rPr>
              <w:t>负责环境事故、职业健康安全、工伤事故等事件的调查；负责环境、职业健康的不符合评定，参与产品不合格的判定，组织相应部门制订相应的纠正预防和预防措施，并进行跟踪和验证</w:t>
            </w:r>
            <w:r>
              <w:rPr>
                <w:rFonts w:hint="eastAsia"/>
                <w:lang w:eastAsia="zh-CN"/>
              </w:rPr>
              <w:t>。</w:t>
            </w:r>
          </w:p>
          <w:p>
            <w:pPr>
              <w:spacing w:line="280" w:lineRule="exact"/>
              <w:ind w:firstLine="420" w:firstLineChars="200"/>
              <w:rPr>
                <w:rFonts w:hint="eastAsia" w:ascii="宋体" w:hAnsi="宋体" w:cs="宋体"/>
                <w:szCs w:val="21"/>
              </w:rPr>
            </w:pPr>
            <w:r>
              <w:rPr>
                <w:rFonts w:hint="eastAsia" w:ascii="宋体" w:hAnsi="宋体" w:cs="宋体"/>
                <w:szCs w:val="21"/>
              </w:rPr>
              <w:t xml:space="preserve"> </w:t>
            </w:r>
          </w:p>
          <w:p>
            <w:pPr>
              <w:spacing w:line="280" w:lineRule="exact"/>
              <w:ind w:firstLine="420" w:firstLineChars="200"/>
              <w:rPr>
                <w:rFonts w:hint="default" w:ascii="宋体" w:hAnsi="宋体" w:eastAsia="华文细黑" w:cs="宋体"/>
                <w:szCs w:val="21"/>
                <w:lang w:val="en-US" w:eastAsia="zh-CN"/>
              </w:rPr>
            </w:pPr>
            <w:r>
              <w:rPr>
                <w:rFonts w:hint="eastAsia" w:ascii="宋体" w:hAnsi="宋体" w:cs="宋体"/>
                <w:szCs w:val="21"/>
                <w:lang w:val="en-US" w:eastAsia="zh-CN"/>
              </w:rPr>
              <w:t>询问行政部主任潘冰青，熟悉其职责与权限，符合要求。</w:t>
            </w:r>
          </w:p>
        </w:tc>
        <w:tc>
          <w:tcPr>
            <w:tcW w:w="104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0" w:type="dxa"/>
          </w:tcPr>
          <w:p>
            <w:pPr>
              <w:spacing w:line="280" w:lineRule="exact"/>
              <w:rPr>
                <w:rFonts w:hint="default" w:ascii="华文细黑" w:hAnsi="华文细黑" w:eastAsia="华文细黑" w:cs="华文细黑"/>
                <w:szCs w:val="21"/>
                <w:lang w:val="en-US" w:eastAsia="zh-CN"/>
              </w:rPr>
            </w:pPr>
            <w:r>
              <w:rPr>
                <w:rFonts w:hint="eastAsia" w:ascii="华文细黑" w:hAnsi="华文细黑" w:eastAsia="华文细黑" w:cs="华文细黑"/>
                <w:szCs w:val="21"/>
              </w:rPr>
              <w:t>环境因素</w:t>
            </w:r>
            <w:r>
              <w:rPr>
                <w:rFonts w:hint="eastAsia" w:ascii="华文细黑" w:hAnsi="华文细黑" w:cs="华文细黑"/>
                <w:szCs w:val="21"/>
                <w:lang w:eastAsia="zh-CN"/>
              </w:rPr>
              <w:t>、</w:t>
            </w:r>
            <w:r>
              <w:rPr>
                <w:rFonts w:hint="eastAsia" w:ascii="华文细黑" w:hAnsi="华文细黑" w:cs="华文细黑"/>
                <w:szCs w:val="21"/>
                <w:lang w:val="en-US" w:eastAsia="zh-CN"/>
              </w:rPr>
              <w:t>危险源</w:t>
            </w:r>
            <w:r>
              <w:rPr>
                <w:rFonts w:hint="eastAsia" w:ascii="华文细黑" w:hAnsi="华文细黑" w:eastAsia="华文细黑" w:cs="华文细黑"/>
                <w:szCs w:val="21"/>
              </w:rPr>
              <w:t>识别</w:t>
            </w:r>
            <w:r>
              <w:rPr>
                <w:rFonts w:hint="eastAsia" w:ascii="华文细黑" w:hAnsi="华文细黑" w:cs="华文细黑"/>
                <w:szCs w:val="21"/>
                <w:lang w:val="en-US" w:eastAsia="zh-CN"/>
              </w:rPr>
              <w:t>与控制</w:t>
            </w:r>
          </w:p>
        </w:tc>
        <w:tc>
          <w:tcPr>
            <w:tcW w:w="1068" w:type="dxa"/>
          </w:tcPr>
          <w:p>
            <w:pPr>
              <w:spacing w:line="280" w:lineRule="exact"/>
              <w:rPr>
                <w:rFonts w:hint="eastAsia" w:ascii="华文细黑" w:hAnsi="华文细黑" w:eastAsia="华文细黑" w:cs="华文细黑"/>
                <w:szCs w:val="21"/>
              </w:rPr>
            </w:pPr>
            <w:r>
              <w:rPr>
                <w:rFonts w:hint="eastAsia" w:ascii="华文细黑" w:hAnsi="华文细黑" w:cs="华文细黑"/>
                <w:szCs w:val="21"/>
                <w:lang w:eastAsia="zh-CN"/>
              </w:rPr>
              <w:t>EO</w:t>
            </w:r>
            <w:r>
              <w:rPr>
                <w:rFonts w:hint="eastAsia" w:ascii="华文细黑" w:hAnsi="华文细黑" w:eastAsia="华文细黑" w:cs="华文细黑"/>
                <w:szCs w:val="21"/>
              </w:rPr>
              <w:t>6.1.2</w:t>
            </w:r>
          </w:p>
        </w:tc>
        <w:tc>
          <w:tcPr>
            <w:tcW w:w="12151" w:type="dxa"/>
            <w:vAlign w:val="center"/>
          </w:tcPr>
          <w:p>
            <w:pPr>
              <w:spacing w:line="280" w:lineRule="exact"/>
              <w:ind w:firstLine="420" w:firstLineChars="200"/>
              <w:rPr>
                <w:color w:val="auto"/>
                <w:szCs w:val="21"/>
              </w:rPr>
            </w:pPr>
            <w:r>
              <w:rPr>
                <w:rFonts w:hint="eastAsia"/>
                <w:color w:val="auto"/>
                <w:szCs w:val="21"/>
                <w:lang w:val="en-US" w:eastAsia="zh-CN"/>
              </w:rPr>
              <w:t>组织制定了由行政部负责编制《环境因素识别与评价管理程序》，上报管理者代表审批；按照文件要求执行。</w:t>
            </w:r>
            <w:r>
              <w:rPr>
                <w:rFonts w:hint="eastAsia"/>
                <w:color w:val="auto"/>
                <w:szCs w:val="21"/>
              </w:rPr>
              <w:t>以确定重要环境因素以及对环境因素的定期更新，环境因素的识别和确定考虑</w:t>
            </w:r>
            <w:r>
              <w:rPr>
                <w:rFonts w:hint="eastAsia"/>
                <w:color w:val="auto"/>
                <w:szCs w:val="21"/>
                <w:lang w:val="en-US" w:eastAsia="zh-CN"/>
              </w:rPr>
              <w:t>了</w:t>
            </w:r>
            <w:r>
              <w:rPr>
                <w:rFonts w:hint="eastAsia"/>
                <w:color w:val="auto"/>
                <w:szCs w:val="21"/>
              </w:rPr>
              <w:t>生命周期观点。</w:t>
            </w:r>
          </w:p>
          <w:p>
            <w:pPr>
              <w:spacing w:line="280" w:lineRule="exact"/>
              <w:ind w:firstLine="420" w:firstLineChars="200"/>
              <w:rPr>
                <w:color w:val="FF0000"/>
                <w:szCs w:val="21"/>
              </w:rPr>
            </w:pPr>
            <w:r>
              <w:rPr>
                <w:rFonts w:hint="eastAsia"/>
                <w:color w:val="auto"/>
                <w:szCs w:val="21"/>
              </w:rPr>
              <w:t>提供了《环境因素识别与评价管理程序》</w:t>
            </w:r>
            <w:r>
              <w:rPr>
                <w:rFonts w:hint="eastAsia"/>
                <w:color w:val="auto"/>
                <w:szCs w:val="21"/>
                <w:lang w:eastAsia="zh-CN"/>
              </w:rPr>
              <w:t>和《环境因素识别评价表》：</w:t>
            </w:r>
            <w:r>
              <w:rPr>
                <w:rFonts w:hint="eastAsia"/>
                <w:color w:val="auto"/>
                <w:szCs w:val="21"/>
                <w:lang w:val="en-US" w:eastAsia="zh-CN"/>
              </w:rPr>
              <w:t>组织根据场所、作业活动等因素</w:t>
            </w:r>
            <w:r>
              <w:rPr>
                <w:rFonts w:hint="eastAsia"/>
                <w:color w:val="auto"/>
                <w:szCs w:val="21"/>
              </w:rPr>
              <w:t>识别出环境因素</w:t>
            </w:r>
            <w:r>
              <w:rPr>
                <w:rFonts w:hint="eastAsia"/>
                <w:color w:val="auto"/>
                <w:szCs w:val="21"/>
                <w:lang w:val="en-US" w:eastAsia="zh-CN"/>
              </w:rPr>
              <w:t>20</w:t>
            </w:r>
            <w:r>
              <w:rPr>
                <w:rFonts w:hint="eastAsia"/>
                <w:color w:val="auto"/>
                <w:szCs w:val="21"/>
              </w:rPr>
              <w:t>项，</w:t>
            </w:r>
            <w:r>
              <w:rPr>
                <w:rFonts w:hint="eastAsia"/>
                <w:color w:val="auto"/>
                <w:szCs w:val="21"/>
                <w:lang w:val="en-US" w:eastAsia="zh-CN"/>
              </w:rPr>
              <w:t>内容涉及固废包括生活垃圾和工业固废、废水包括</w:t>
            </w:r>
            <w:r>
              <w:rPr>
                <w:rFonts w:hint="eastAsia"/>
                <w:color w:val="auto"/>
                <w:szCs w:val="21"/>
              </w:rPr>
              <w:t>生活污水的排放、</w:t>
            </w:r>
            <w:r>
              <w:rPr>
                <w:rFonts w:hint="eastAsia"/>
                <w:color w:val="auto"/>
                <w:szCs w:val="21"/>
                <w:lang w:val="en-US" w:eastAsia="zh-CN"/>
              </w:rPr>
              <w:t>噪声</w:t>
            </w:r>
            <w:r>
              <w:rPr>
                <w:rFonts w:hint="eastAsia"/>
                <w:color w:val="auto"/>
                <w:szCs w:val="21"/>
              </w:rPr>
              <w:t>等</w:t>
            </w:r>
            <w:r>
              <w:rPr>
                <w:rFonts w:hint="eastAsia"/>
                <w:color w:val="auto"/>
                <w:szCs w:val="21"/>
                <w:lang w:eastAsia="zh-CN"/>
              </w:rPr>
              <w:t>，</w:t>
            </w:r>
            <w:r>
              <w:rPr>
                <w:rFonts w:hint="eastAsia"/>
                <w:color w:val="auto"/>
                <w:szCs w:val="21"/>
              </w:rPr>
              <w:t>识别的环境因素标明时态、状态和对环境的影响，并制定</w:t>
            </w:r>
            <w:r>
              <w:rPr>
                <w:rFonts w:hint="eastAsia"/>
                <w:color w:val="auto"/>
                <w:szCs w:val="21"/>
                <w:lang w:val="en-US" w:eastAsia="zh-CN"/>
              </w:rPr>
              <w:t>了相应的控制</w:t>
            </w:r>
            <w:r>
              <w:rPr>
                <w:rFonts w:hint="eastAsia"/>
                <w:color w:val="auto"/>
                <w:szCs w:val="21"/>
              </w:rPr>
              <w:t>措施</w:t>
            </w:r>
            <w:r>
              <w:rPr>
                <w:rFonts w:hint="eastAsia"/>
                <w:color w:val="auto"/>
                <w:szCs w:val="21"/>
                <w:lang w:eastAsia="zh-CN"/>
              </w:rPr>
              <w:t>，</w:t>
            </w:r>
            <w:r>
              <w:rPr>
                <w:rFonts w:hint="eastAsia"/>
                <w:color w:val="auto"/>
                <w:szCs w:val="21"/>
                <w:lang w:val="en-US" w:eastAsia="zh-CN"/>
              </w:rPr>
              <w:t>基本符合识别和控制要求</w:t>
            </w:r>
            <w:r>
              <w:rPr>
                <w:rFonts w:hint="eastAsia"/>
                <w:color w:val="auto"/>
                <w:szCs w:val="21"/>
              </w:rPr>
              <w:t>。</w:t>
            </w:r>
          </w:p>
          <w:p>
            <w:pPr>
              <w:spacing w:line="280" w:lineRule="exact"/>
              <w:ind w:firstLine="420" w:firstLineChars="200"/>
              <w:rPr>
                <w:rFonts w:hint="default"/>
                <w:color w:val="FF0000"/>
                <w:szCs w:val="21"/>
                <w:lang w:val="en-US"/>
              </w:rPr>
            </w:pPr>
            <w:r>
              <w:rPr>
                <w:rFonts w:hint="eastAsia"/>
                <w:color w:val="auto"/>
                <w:szCs w:val="21"/>
              </w:rPr>
              <w:t>提供了</w:t>
            </w:r>
            <w:r>
              <w:rPr>
                <w:rFonts w:hint="eastAsia"/>
                <w:color w:val="auto"/>
                <w:szCs w:val="21"/>
                <w:lang w:eastAsia="zh-CN"/>
              </w:rPr>
              <w:t>《</w:t>
            </w:r>
            <w:r>
              <w:rPr>
                <w:rFonts w:hint="eastAsia"/>
                <w:color w:val="auto"/>
                <w:szCs w:val="21"/>
              </w:rPr>
              <w:t>重要环境因素控制清单</w:t>
            </w:r>
            <w:r>
              <w:rPr>
                <w:rFonts w:hint="eastAsia"/>
                <w:color w:val="auto"/>
                <w:szCs w:val="21"/>
                <w:lang w:eastAsia="zh-CN"/>
              </w:rPr>
              <w:t>》，</w:t>
            </w:r>
            <w:r>
              <w:rPr>
                <w:rFonts w:hint="eastAsia"/>
                <w:color w:val="auto"/>
                <w:szCs w:val="21"/>
                <w:lang w:val="en-US" w:eastAsia="zh-CN"/>
              </w:rPr>
              <w:t>内容汇总如下：</w:t>
            </w:r>
          </w:p>
          <w:tbl>
            <w:tblPr>
              <w:tblStyle w:val="8"/>
              <w:tblW w:w="120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5190"/>
              <w:gridCol w:w="1990"/>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25" w:type="dxa"/>
                  <w:noWrap w:val="0"/>
                  <w:vAlign w:val="center"/>
                </w:tcPr>
                <w:p>
                  <w:pPr>
                    <w:jc w:val="center"/>
                    <w:rPr>
                      <w:rFonts w:hint="eastAsia" w:ascii="黑体" w:hAnsi="黑体" w:eastAsia="黑体" w:cs="黑体"/>
                      <w:b/>
                      <w:sz w:val="16"/>
                      <w:szCs w:val="11"/>
                    </w:rPr>
                  </w:pPr>
                  <w:r>
                    <w:rPr>
                      <w:rFonts w:hint="eastAsia" w:ascii="黑体" w:hAnsi="黑体" w:eastAsia="黑体" w:cs="黑体"/>
                      <w:b/>
                      <w:sz w:val="16"/>
                      <w:szCs w:val="11"/>
                    </w:rPr>
                    <w:t>环境因素</w:t>
                  </w:r>
                </w:p>
              </w:tc>
              <w:tc>
                <w:tcPr>
                  <w:tcW w:w="5190" w:type="dxa"/>
                  <w:noWrap w:val="0"/>
                  <w:vAlign w:val="center"/>
                </w:tcPr>
                <w:p>
                  <w:pPr>
                    <w:jc w:val="center"/>
                    <w:rPr>
                      <w:rFonts w:hint="eastAsia" w:ascii="黑体" w:hAnsi="黑体" w:eastAsia="黑体" w:cs="黑体"/>
                      <w:b/>
                      <w:sz w:val="16"/>
                      <w:szCs w:val="11"/>
                    </w:rPr>
                  </w:pPr>
                  <w:r>
                    <w:rPr>
                      <w:rFonts w:hint="eastAsia" w:ascii="黑体" w:hAnsi="黑体" w:eastAsia="黑体" w:cs="黑体"/>
                      <w:b/>
                      <w:sz w:val="16"/>
                      <w:szCs w:val="11"/>
                    </w:rPr>
                    <w:t>活动点/工序或部位</w:t>
                  </w:r>
                </w:p>
              </w:tc>
              <w:tc>
                <w:tcPr>
                  <w:tcW w:w="1990" w:type="dxa"/>
                  <w:noWrap w:val="0"/>
                  <w:vAlign w:val="center"/>
                </w:tcPr>
                <w:p>
                  <w:pPr>
                    <w:ind w:left="-737" w:leftChars="-351" w:firstLine="493" w:firstLineChars="307"/>
                    <w:jc w:val="center"/>
                    <w:rPr>
                      <w:rFonts w:hint="eastAsia" w:ascii="黑体" w:hAnsi="黑体" w:eastAsia="黑体" w:cs="黑体"/>
                      <w:b/>
                      <w:sz w:val="16"/>
                      <w:szCs w:val="11"/>
                    </w:rPr>
                  </w:pPr>
                  <w:r>
                    <w:rPr>
                      <w:rFonts w:hint="eastAsia" w:ascii="黑体" w:hAnsi="黑体" w:eastAsia="黑体" w:cs="黑体"/>
                      <w:b/>
                      <w:sz w:val="16"/>
                      <w:szCs w:val="11"/>
                    </w:rPr>
                    <w:t>环境影响</w:t>
                  </w:r>
                </w:p>
              </w:tc>
              <w:tc>
                <w:tcPr>
                  <w:tcW w:w="3483" w:type="dxa"/>
                  <w:noWrap w:val="0"/>
                  <w:vAlign w:val="center"/>
                </w:tcPr>
                <w:p>
                  <w:pPr>
                    <w:jc w:val="center"/>
                    <w:rPr>
                      <w:rFonts w:hint="eastAsia" w:ascii="黑体" w:hAnsi="黑体" w:eastAsia="黑体" w:cs="黑体"/>
                      <w:b/>
                      <w:sz w:val="16"/>
                      <w:szCs w:val="11"/>
                    </w:rPr>
                  </w:pPr>
                  <w:r>
                    <w:rPr>
                      <w:rFonts w:hint="eastAsia" w:ascii="黑体" w:hAnsi="黑体" w:eastAsia="黑体" w:cs="黑体"/>
                      <w:b/>
                      <w:sz w:val="16"/>
                      <w:szCs w:val="11"/>
                    </w:rPr>
                    <w:t>管理控制方式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425" w:type="dxa"/>
                  <w:vMerge w:val="restart"/>
                  <w:tcBorders>
                    <w:bottom w:val="single" w:color="auto" w:sz="4" w:space="0"/>
                  </w:tcBorders>
                  <w:noWrap w:val="0"/>
                  <w:vAlign w:val="center"/>
                </w:tcPr>
                <w:p>
                  <w:pPr>
                    <w:jc w:val="center"/>
                    <w:rPr>
                      <w:rFonts w:hint="eastAsia" w:ascii="黑体" w:hAnsi="黑体" w:eastAsia="黑体" w:cs="黑体"/>
                      <w:sz w:val="16"/>
                      <w:szCs w:val="16"/>
                    </w:rPr>
                  </w:pPr>
                  <w:r>
                    <w:rPr>
                      <w:rFonts w:hint="eastAsia" w:ascii="黑体" w:hAnsi="黑体" w:eastAsia="黑体" w:cs="黑体"/>
                      <w:sz w:val="16"/>
                      <w:szCs w:val="16"/>
                    </w:rPr>
                    <w:t>噪声的排放</w:t>
                  </w:r>
                </w:p>
              </w:tc>
              <w:tc>
                <w:tcPr>
                  <w:tcW w:w="5190" w:type="dxa"/>
                  <w:noWrap w:val="0"/>
                  <w:vAlign w:val="center"/>
                </w:tcPr>
                <w:p>
                  <w:pPr>
                    <w:rPr>
                      <w:rFonts w:hint="eastAsia" w:ascii="黑体" w:hAnsi="黑体" w:eastAsia="黑体" w:cs="黑体"/>
                      <w:sz w:val="16"/>
                      <w:szCs w:val="16"/>
                    </w:rPr>
                  </w:pPr>
                  <w:r>
                    <w:rPr>
                      <w:rFonts w:hint="eastAsia" w:ascii="黑体" w:hAnsi="黑体" w:eastAsia="黑体" w:cs="黑体"/>
                      <w:sz w:val="16"/>
                      <w:szCs w:val="16"/>
                    </w:rPr>
                    <w:t>车间生产设备发出的噪声</w:t>
                  </w:r>
                </w:p>
              </w:tc>
              <w:tc>
                <w:tcPr>
                  <w:tcW w:w="1990" w:type="dxa"/>
                  <w:vMerge w:val="restart"/>
                  <w:tcBorders>
                    <w:bottom w:val="single" w:color="auto" w:sz="4" w:space="0"/>
                  </w:tcBorders>
                  <w:noWrap w:val="0"/>
                  <w:vAlign w:val="center"/>
                </w:tcPr>
                <w:p>
                  <w:pPr>
                    <w:rPr>
                      <w:rFonts w:hint="eastAsia" w:ascii="黑体" w:hAnsi="黑体" w:eastAsia="黑体" w:cs="黑体"/>
                      <w:sz w:val="16"/>
                      <w:szCs w:val="16"/>
                    </w:rPr>
                  </w:pPr>
                  <w:r>
                    <w:rPr>
                      <w:rFonts w:hint="eastAsia" w:ascii="黑体" w:hAnsi="黑体" w:eastAsia="黑体" w:cs="黑体"/>
                      <w:sz w:val="16"/>
                      <w:szCs w:val="16"/>
                    </w:rPr>
                    <w:t>影响人体健康</w:t>
                  </w:r>
                </w:p>
              </w:tc>
              <w:tc>
                <w:tcPr>
                  <w:tcW w:w="3483" w:type="dxa"/>
                  <w:vMerge w:val="restart"/>
                  <w:tcBorders>
                    <w:bottom w:val="single" w:color="auto" w:sz="4" w:space="0"/>
                  </w:tcBorders>
                  <w:noWrap w:val="0"/>
                  <w:vAlign w:val="center"/>
                </w:tcPr>
                <w:p>
                  <w:pPr>
                    <w:rPr>
                      <w:rFonts w:hint="eastAsia" w:ascii="黑体" w:hAnsi="黑体" w:eastAsia="黑体" w:cs="黑体"/>
                      <w:sz w:val="16"/>
                      <w:szCs w:val="16"/>
                    </w:rPr>
                  </w:pPr>
                  <w:r>
                    <w:rPr>
                      <w:rFonts w:hint="eastAsia" w:ascii="黑体" w:hAnsi="黑体" w:eastAsia="黑体" w:cs="黑体"/>
                      <w:sz w:val="16"/>
                      <w:szCs w:val="16"/>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425" w:type="dxa"/>
                  <w:vMerge w:val="continue"/>
                  <w:tcBorders>
                    <w:bottom w:val="single" w:color="auto" w:sz="4" w:space="0"/>
                  </w:tcBorders>
                  <w:noWrap w:val="0"/>
                  <w:vAlign w:val="center"/>
                </w:tcPr>
                <w:p>
                  <w:pPr>
                    <w:jc w:val="center"/>
                    <w:rPr>
                      <w:rFonts w:hint="eastAsia" w:ascii="黑体" w:hAnsi="黑体" w:eastAsia="黑体" w:cs="黑体"/>
                      <w:sz w:val="16"/>
                      <w:szCs w:val="16"/>
                    </w:rPr>
                  </w:pPr>
                </w:p>
              </w:tc>
              <w:tc>
                <w:tcPr>
                  <w:tcW w:w="5190" w:type="dxa"/>
                  <w:noWrap w:val="0"/>
                  <w:vAlign w:val="center"/>
                </w:tcPr>
                <w:p>
                  <w:pPr>
                    <w:rPr>
                      <w:rFonts w:hint="eastAsia" w:ascii="黑体" w:hAnsi="黑体" w:eastAsia="黑体" w:cs="黑体"/>
                      <w:sz w:val="16"/>
                      <w:szCs w:val="16"/>
                    </w:rPr>
                  </w:pPr>
                  <w:r>
                    <w:rPr>
                      <w:rFonts w:hint="eastAsia" w:ascii="黑体" w:hAnsi="黑体" w:eastAsia="黑体" w:cs="黑体"/>
                      <w:sz w:val="16"/>
                      <w:szCs w:val="16"/>
                    </w:rPr>
                    <w:t>场内的运输车、工具车等车辆运输作业时的噪声</w:t>
                  </w:r>
                </w:p>
              </w:tc>
              <w:tc>
                <w:tcPr>
                  <w:tcW w:w="1990" w:type="dxa"/>
                  <w:vMerge w:val="continue"/>
                  <w:tcBorders>
                    <w:bottom w:val="single" w:color="auto" w:sz="4" w:space="0"/>
                  </w:tcBorders>
                  <w:noWrap w:val="0"/>
                  <w:vAlign w:val="center"/>
                </w:tcPr>
                <w:p>
                  <w:pPr>
                    <w:rPr>
                      <w:rFonts w:hint="eastAsia" w:ascii="黑体" w:hAnsi="黑体" w:eastAsia="黑体" w:cs="黑体"/>
                      <w:sz w:val="16"/>
                      <w:szCs w:val="16"/>
                    </w:rPr>
                  </w:pPr>
                </w:p>
              </w:tc>
              <w:tc>
                <w:tcPr>
                  <w:tcW w:w="3483" w:type="dxa"/>
                  <w:vMerge w:val="continue"/>
                  <w:tcBorders>
                    <w:bottom w:val="single" w:color="auto" w:sz="4" w:space="0"/>
                  </w:tcBorders>
                  <w:noWrap w:val="0"/>
                  <w:vAlign w:val="center"/>
                </w:tcPr>
                <w:p>
                  <w:pPr>
                    <w:rPr>
                      <w:rFonts w:hint="eastAsia" w:ascii="黑体" w:hAnsi="黑体" w:eastAsia="黑体" w:cs="黑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trPr>
              <w:tc>
                <w:tcPr>
                  <w:tcW w:w="1425" w:type="dxa"/>
                  <w:vMerge w:val="restart"/>
                  <w:noWrap w:val="0"/>
                  <w:vAlign w:val="center"/>
                </w:tcPr>
                <w:p>
                  <w:pPr>
                    <w:jc w:val="center"/>
                    <w:rPr>
                      <w:rFonts w:hint="eastAsia" w:ascii="黑体" w:hAnsi="黑体" w:eastAsia="黑体" w:cs="黑体"/>
                      <w:sz w:val="16"/>
                      <w:szCs w:val="16"/>
                    </w:rPr>
                  </w:pPr>
                  <w:r>
                    <w:rPr>
                      <w:rFonts w:hint="eastAsia" w:ascii="黑体" w:hAnsi="黑体" w:eastAsia="黑体" w:cs="黑体"/>
                      <w:sz w:val="16"/>
                      <w:szCs w:val="16"/>
                    </w:rPr>
                    <w:t>废水的排放</w:t>
                  </w:r>
                </w:p>
              </w:tc>
              <w:tc>
                <w:tcPr>
                  <w:tcW w:w="5190" w:type="dxa"/>
                  <w:noWrap w:val="0"/>
                  <w:vAlign w:val="center"/>
                </w:tcPr>
                <w:p>
                  <w:pPr>
                    <w:rPr>
                      <w:rFonts w:hint="eastAsia" w:ascii="黑体" w:hAnsi="黑体" w:eastAsia="黑体" w:cs="黑体"/>
                      <w:sz w:val="16"/>
                      <w:szCs w:val="16"/>
                    </w:rPr>
                  </w:pPr>
                  <w:r>
                    <w:rPr>
                      <w:rFonts w:hint="eastAsia" w:ascii="黑体" w:hAnsi="黑体" w:eastAsia="黑体" w:cs="黑体"/>
                      <w:sz w:val="16"/>
                      <w:szCs w:val="16"/>
                    </w:rPr>
                    <w:t>车间清洗</w:t>
                  </w:r>
                  <w:r>
                    <w:rPr>
                      <w:rFonts w:hint="eastAsia" w:ascii="黑体" w:hAnsi="黑体" w:eastAsia="黑体" w:cs="黑体"/>
                      <w:sz w:val="16"/>
                      <w:szCs w:val="16"/>
                      <w:lang w:eastAsia="zh-CN"/>
                    </w:rPr>
                    <w:t>、</w:t>
                  </w:r>
                  <w:r>
                    <w:rPr>
                      <w:rFonts w:hint="eastAsia" w:ascii="黑体" w:hAnsi="黑体" w:eastAsia="黑体" w:cs="黑体"/>
                      <w:sz w:val="16"/>
                      <w:szCs w:val="16"/>
                      <w:lang w:val="en-US" w:eastAsia="zh-CN"/>
                    </w:rPr>
                    <w:t>冷却</w:t>
                  </w:r>
                  <w:r>
                    <w:rPr>
                      <w:rFonts w:hint="eastAsia" w:ascii="黑体" w:hAnsi="黑体" w:eastAsia="黑体" w:cs="黑体"/>
                      <w:sz w:val="16"/>
                      <w:szCs w:val="16"/>
                    </w:rPr>
                    <w:t>和拖地废水的排放</w:t>
                  </w:r>
                </w:p>
              </w:tc>
              <w:tc>
                <w:tcPr>
                  <w:tcW w:w="1990" w:type="dxa"/>
                  <w:vMerge w:val="restart"/>
                  <w:noWrap w:val="0"/>
                  <w:vAlign w:val="center"/>
                </w:tcPr>
                <w:p>
                  <w:pPr>
                    <w:rPr>
                      <w:rFonts w:hint="eastAsia" w:ascii="黑体" w:hAnsi="黑体" w:eastAsia="黑体" w:cs="黑体"/>
                      <w:sz w:val="16"/>
                      <w:szCs w:val="16"/>
                    </w:rPr>
                  </w:pPr>
                  <w:r>
                    <w:rPr>
                      <w:rFonts w:hint="eastAsia" w:ascii="黑体" w:hAnsi="黑体" w:eastAsia="黑体" w:cs="黑体"/>
                      <w:sz w:val="16"/>
                      <w:szCs w:val="16"/>
                    </w:rPr>
                    <w:t>水体污染</w:t>
                  </w:r>
                </w:p>
              </w:tc>
              <w:tc>
                <w:tcPr>
                  <w:tcW w:w="3483" w:type="dxa"/>
                  <w:vMerge w:val="restart"/>
                  <w:noWrap w:val="0"/>
                  <w:vAlign w:val="center"/>
                </w:tcPr>
                <w:p>
                  <w:pPr>
                    <w:rPr>
                      <w:rFonts w:hint="eastAsia" w:ascii="黑体" w:hAnsi="黑体" w:eastAsia="黑体" w:cs="黑体"/>
                      <w:sz w:val="16"/>
                      <w:szCs w:val="16"/>
                    </w:rPr>
                  </w:pPr>
                  <w:r>
                    <w:rPr>
                      <w:rFonts w:hint="eastAsia" w:ascii="黑体" w:hAnsi="黑体" w:eastAsia="黑体" w:cs="黑体"/>
                      <w:sz w:val="16"/>
                      <w:szCs w:val="16"/>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1425" w:type="dxa"/>
                  <w:vMerge w:val="continue"/>
                  <w:noWrap w:val="0"/>
                  <w:vAlign w:val="center"/>
                </w:tcPr>
                <w:p>
                  <w:pPr>
                    <w:jc w:val="center"/>
                    <w:rPr>
                      <w:rFonts w:hint="eastAsia" w:ascii="黑体" w:hAnsi="黑体" w:eastAsia="黑体" w:cs="黑体"/>
                      <w:sz w:val="16"/>
                      <w:szCs w:val="16"/>
                    </w:rPr>
                  </w:pPr>
                </w:p>
              </w:tc>
              <w:tc>
                <w:tcPr>
                  <w:tcW w:w="5190" w:type="dxa"/>
                  <w:noWrap w:val="0"/>
                  <w:vAlign w:val="center"/>
                </w:tcPr>
                <w:p>
                  <w:pPr>
                    <w:rPr>
                      <w:rFonts w:hint="eastAsia" w:ascii="黑体" w:hAnsi="黑体" w:eastAsia="黑体" w:cs="黑体"/>
                      <w:sz w:val="16"/>
                      <w:szCs w:val="16"/>
                    </w:rPr>
                  </w:pPr>
                  <w:r>
                    <w:rPr>
                      <w:rFonts w:hint="eastAsia" w:ascii="黑体" w:hAnsi="黑体" w:eastAsia="黑体" w:cs="黑体"/>
                      <w:sz w:val="16"/>
                      <w:szCs w:val="16"/>
                    </w:rPr>
                    <w:t>生活废水的排放</w:t>
                  </w:r>
                </w:p>
              </w:tc>
              <w:tc>
                <w:tcPr>
                  <w:tcW w:w="1990" w:type="dxa"/>
                  <w:vMerge w:val="continue"/>
                  <w:noWrap w:val="0"/>
                  <w:vAlign w:val="top"/>
                </w:tcPr>
                <w:p>
                  <w:pPr>
                    <w:rPr>
                      <w:rFonts w:hint="eastAsia" w:ascii="黑体" w:hAnsi="黑体" w:eastAsia="黑体" w:cs="黑体"/>
                      <w:sz w:val="16"/>
                      <w:szCs w:val="16"/>
                    </w:rPr>
                  </w:pPr>
                </w:p>
              </w:tc>
              <w:tc>
                <w:tcPr>
                  <w:tcW w:w="3483" w:type="dxa"/>
                  <w:vMerge w:val="continue"/>
                  <w:noWrap w:val="0"/>
                  <w:vAlign w:val="top"/>
                </w:tcPr>
                <w:p>
                  <w:pPr>
                    <w:rPr>
                      <w:rFonts w:hint="eastAsia" w:ascii="黑体" w:hAnsi="黑体" w:eastAsia="黑体" w:cs="黑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425" w:type="dxa"/>
                  <w:noWrap w:val="0"/>
                  <w:vAlign w:val="center"/>
                </w:tcPr>
                <w:p>
                  <w:pPr>
                    <w:jc w:val="center"/>
                    <w:rPr>
                      <w:rFonts w:hint="eastAsia" w:ascii="黑体" w:hAnsi="黑体" w:eastAsia="黑体" w:cs="黑体"/>
                      <w:color w:val="auto"/>
                      <w:sz w:val="16"/>
                      <w:szCs w:val="16"/>
                    </w:rPr>
                  </w:pPr>
                  <w:r>
                    <w:rPr>
                      <w:rFonts w:hint="eastAsia" w:ascii="黑体" w:hAnsi="黑体" w:eastAsia="黑体" w:cs="黑体"/>
                      <w:color w:val="auto"/>
                      <w:sz w:val="16"/>
                      <w:szCs w:val="16"/>
                    </w:rPr>
                    <w:t>废气的排放</w:t>
                  </w:r>
                </w:p>
              </w:tc>
              <w:tc>
                <w:tcPr>
                  <w:tcW w:w="5190" w:type="dxa"/>
                  <w:noWrap w:val="0"/>
                  <w:vAlign w:val="center"/>
                </w:tcPr>
                <w:p>
                  <w:pPr>
                    <w:rPr>
                      <w:rFonts w:hint="eastAsia" w:ascii="黑体" w:hAnsi="黑体" w:eastAsia="黑体" w:cs="黑体"/>
                      <w:color w:val="auto"/>
                      <w:sz w:val="16"/>
                      <w:szCs w:val="16"/>
                    </w:rPr>
                  </w:pPr>
                  <w:r>
                    <w:rPr>
                      <w:rFonts w:hint="eastAsia" w:ascii="黑体" w:hAnsi="黑体" w:eastAsia="黑体" w:cs="黑体"/>
                      <w:color w:val="auto"/>
                      <w:sz w:val="16"/>
                      <w:szCs w:val="16"/>
                      <w:lang w:val="en-US" w:eastAsia="zh-CN"/>
                    </w:rPr>
                    <w:t>熔融过程产生得废气</w:t>
                  </w:r>
                  <w:r>
                    <w:rPr>
                      <w:rFonts w:hint="eastAsia" w:ascii="黑体" w:hAnsi="黑体" w:eastAsia="黑体" w:cs="黑体"/>
                      <w:color w:val="auto"/>
                      <w:sz w:val="16"/>
                      <w:szCs w:val="16"/>
                    </w:rPr>
                    <w:t>排放</w:t>
                  </w:r>
                </w:p>
              </w:tc>
              <w:tc>
                <w:tcPr>
                  <w:tcW w:w="1990" w:type="dxa"/>
                  <w:noWrap w:val="0"/>
                  <w:vAlign w:val="center"/>
                </w:tcPr>
                <w:p>
                  <w:pPr>
                    <w:rPr>
                      <w:rFonts w:hint="eastAsia" w:ascii="黑体" w:hAnsi="黑体" w:eastAsia="黑体" w:cs="黑体"/>
                      <w:sz w:val="16"/>
                      <w:szCs w:val="16"/>
                    </w:rPr>
                  </w:pPr>
                  <w:r>
                    <w:rPr>
                      <w:rFonts w:hint="eastAsia" w:ascii="黑体" w:hAnsi="黑体" w:eastAsia="黑体" w:cs="黑体"/>
                      <w:sz w:val="16"/>
                      <w:szCs w:val="16"/>
                    </w:rPr>
                    <w:t>大气污染</w:t>
                  </w:r>
                </w:p>
              </w:tc>
              <w:tc>
                <w:tcPr>
                  <w:tcW w:w="3483" w:type="dxa"/>
                  <w:noWrap w:val="0"/>
                  <w:vAlign w:val="center"/>
                </w:tcPr>
                <w:p>
                  <w:pPr>
                    <w:rPr>
                      <w:rFonts w:hint="eastAsia" w:ascii="黑体" w:hAnsi="黑体" w:eastAsia="黑体" w:cs="黑体"/>
                      <w:sz w:val="16"/>
                      <w:szCs w:val="16"/>
                    </w:rPr>
                  </w:pPr>
                  <w:r>
                    <w:rPr>
                      <w:rFonts w:hint="eastAsia" w:ascii="黑体" w:hAnsi="黑体" w:eastAsia="黑体" w:cs="黑体"/>
                      <w:sz w:val="16"/>
                      <w:szCs w:val="16"/>
                    </w:rPr>
                    <w:t>管理方案/环境影响运行控制控制程序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1425" w:type="dxa"/>
                  <w:vMerge w:val="restart"/>
                  <w:noWrap w:val="0"/>
                  <w:vAlign w:val="center"/>
                </w:tcPr>
                <w:p>
                  <w:pPr>
                    <w:jc w:val="center"/>
                    <w:rPr>
                      <w:rFonts w:hint="eastAsia" w:ascii="黑体" w:hAnsi="黑体" w:eastAsia="黑体" w:cs="黑体"/>
                      <w:sz w:val="16"/>
                      <w:szCs w:val="16"/>
                    </w:rPr>
                  </w:pPr>
                  <w:r>
                    <w:rPr>
                      <w:rFonts w:hint="eastAsia" w:ascii="黑体" w:hAnsi="黑体" w:eastAsia="黑体" w:cs="黑体"/>
                      <w:sz w:val="16"/>
                      <w:szCs w:val="16"/>
                    </w:rPr>
                    <w:t>资源的消耗</w:t>
                  </w:r>
                </w:p>
              </w:tc>
              <w:tc>
                <w:tcPr>
                  <w:tcW w:w="5190" w:type="dxa"/>
                  <w:noWrap w:val="0"/>
                  <w:vAlign w:val="center"/>
                </w:tcPr>
                <w:p>
                  <w:pPr>
                    <w:rPr>
                      <w:rFonts w:hint="eastAsia" w:ascii="黑体" w:hAnsi="黑体" w:eastAsia="黑体" w:cs="黑体"/>
                      <w:sz w:val="16"/>
                      <w:szCs w:val="16"/>
                    </w:rPr>
                  </w:pPr>
                  <w:r>
                    <w:rPr>
                      <w:rFonts w:hint="eastAsia" w:ascii="黑体" w:hAnsi="黑体" w:eastAsia="黑体" w:cs="黑体"/>
                      <w:sz w:val="16"/>
                      <w:szCs w:val="16"/>
                    </w:rPr>
                    <w:t>生产用电、水等的消耗</w:t>
                  </w:r>
                </w:p>
              </w:tc>
              <w:tc>
                <w:tcPr>
                  <w:tcW w:w="1990" w:type="dxa"/>
                  <w:vMerge w:val="restart"/>
                  <w:noWrap w:val="0"/>
                  <w:vAlign w:val="top"/>
                </w:tcPr>
                <w:p>
                  <w:pPr>
                    <w:rPr>
                      <w:rFonts w:hint="eastAsia" w:ascii="黑体" w:hAnsi="黑体" w:eastAsia="黑体" w:cs="黑体"/>
                      <w:sz w:val="16"/>
                      <w:szCs w:val="16"/>
                    </w:rPr>
                  </w:pPr>
                  <w:r>
                    <w:rPr>
                      <w:rFonts w:hint="eastAsia" w:ascii="黑体" w:hAnsi="黑体" w:eastAsia="黑体" w:cs="黑体"/>
                      <w:sz w:val="16"/>
                      <w:szCs w:val="16"/>
                    </w:rPr>
                    <w:t>资源消耗</w:t>
                  </w:r>
                </w:p>
              </w:tc>
              <w:tc>
                <w:tcPr>
                  <w:tcW w:w="3483" w:type="dxa"/>
                  <w:vMerge w:val="restart"/>
                  <w:noWrap w:val="0"/>
                  <w:vAlign w:val="top"/>
                </w:tcPr>
                <w:p>
                  <w:pPr>
                    <w:rPr>
                      <w:rFonts w:hint="eastAsia" w:ascii="黑体" w:hAnsi="黑体" w:eastAsia="黑体" w:cs="黑体"/>
                      <w:sz w:val="16"/>
                      <w:szCs w:val="16"/>
                    </w:rPr>
                  </w:pPr>
                  <w:r>
                    <w:rPr>
                      <w:rFonts w:hint="eastAsia" w:ascii="黑体" w:hAnsi="黑体" w:eastAsia="黑体" w:cs="黑体"/>
                      <w:sz w:val="16"/>
                      <w:szCs w:val="16"/>
                    </w:rPr>
                    <w:t>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1425" w:type="dxa"/>
                  <w:vMerge w:val="continue"/>
                  <w:noWrap w:val="0"/>
                  <w:vAlign w:val="center"/>
                </w:tcPr>
                <w:p>
                  <w:pPr>
                    <w:jc w:val="center"/>
                    <w:rPr>
                      <w:rFonts w:hint="eastAsia" w:ascii="黑体" w:hAnsi="黑体" w:eastAsia="黑体" w:cs="黑体"/>
                      <w:sz w:val="16"/>
                      <w:szCs w:val="16"/>
                    </w:rPr>
                  </w:pPr>
                </w:p>
              </w:tc>
              <w:tc>
                <w:tcPr>
                  <w:tcW w:w="5190" w:type="dxa"/>
                  <w:noWrap w:val="0"/>
                  <w:vAlign w:val="center"/>
                </w:tcPr>
                <w:p>
                  <w:pPr>
                    <w:rPr>
                      <w:rFonts w:hint="eastAsia" w:ascii="黑体" w:hAnsi="黑体" w:eastAsia="黑体" w:cs="黑体"/>
                      <w:sz w:val="16"/>
                      <w:szCs w:val="16"/>
                    </w:rPr>
                  </w:pPr>
                  <w:r>
                    <w:rPr>
                      <w:rFonts w:hint="eastAsia" w:ascii="黑体" w:hAnsi="黑体" w:eastAsia="黑体" w:cs="黑体"/>
                      <w:sz w:val="16"/>
                      <w:szCs w:val="16"/>
                    </w:rPr>
                    <w:t>办公用电、办公用品等的消耗</w:t>
                  </w:r>
                </w:p>
              </w:tc>
              <w:tc>
                <w:tcPr>
                  <w:tcW w:w="1990" w:type="dxa"/>
                  <w:vMerge w:val="continue"/>
                  <w:noWrap w:val="0"/>
                  <w:vAlign w:val="top"/>
                </w:tcPr>
                <w:p>
                  <w:pPr>
                    <w:rPr>
                      <w:rFonts w:hint="eastAsia" w:ascii="黑体" w:hAnsi="黑体" w:eastAsia="黑体" w:cs="黑体"/>
                      <w:sz w:val="16"/>
                      <w:szCs w:val="16"/>
                    </w:rPr>
                  </w:pPr>
                </w:p>
              </w:tc>
              <w:tc>
                <w:tcPr>
                  <w:tcW w:w="3483" w:type="dxa"/>
                  <w:vMerge w:val="continue"/>
                  <w:noWrap w:val="0"/>
                  <w:vAlign w:val="top"/>
                </w:tcPr>
                <w:p>
                  <w:pPr>
                    <w:rPr>
                      <w:rFonts w:hint="eastAsia" w:ascii="黑体" w:hAnsi="黑体" w:eastAsia="黑体" w:cs="黑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425" w:type="dxa"/>
                  <w:vMerge w:val="restart"/>
                  <w:noWrap w:val="0"/>
                  <w:vAlign w:val="center"/>
                </w:tcPr>
                <w:p>
                  <w:pPr>
                    <w:jc w:val="center"/>
                    <w:rPr>
                      <w:rFonts w:hint="eastAsia" w:ascii="黑体" w:hAnsi="黑体" w:eastAsia="黑体" w:cs="黑体"/>
                      <w:sz w:val="16"/>
                      <w:szCs w:val="16"/>
                    </w:rPr>
                  </w:pPr>
                  <w:r>
                    <w:rPr>
                      <w:rFonts w:hint="eastAsia" w:ascii="黑体" w:hAnsi="黑体" w:eastAsia="黑体" w:cs="黑体"/>
                      <w:sz w:val="16"/>
                      <w:szCs w:val="16"/>
                    </w:rPr>
                    <w:t>潜在火灾事故的发生</w:t>
                  </w:r>
                </w:p>
              </w:tc>
              <w:tc>
                <w:tcPr>
                  <w:tcW w:w="5190" w:type="dxa"/>
                  <w:noWrap w:val="0"/>
                  <w:vAlign w:val="center"/>
                </w:tcPr>
                <w:p>
                  <w:pPr>
                    <w:rPr>
                      <w:rFonts w:hint="eastAsia" w:ascii="黑体" w:hAnsi="黑体" w:eastAsia="黑体" w:cs="黑体"/>
                      <w:sz w:val="16"/>
                      <w:szCs w:val="16"/>
                    </w:rPr>
                  </w:pPr>
                  <w:r>
                    <w:rPr>
                      <w:rFonts w:hint="eastAsia" w:ascii="黑体" w:hAnsi="黑体" w:eastAsia="黑体" w:cs="黑体"/>
                      <w:sz w:val="16"/>
                      <w:szCs w:val="16"/>
                    </w:rPr>
                    <w:t>办公室的易燃物品管理不慎，吸烟等明火引发的火灾</w:t>
                  </w:r>
                </w:p>
              </w:tc>
              <w:tc>
                <w:tcPr>
                  <w:tcW w:w="1990" w:type="dxa"/>
                  <w:vMerge w:val="restart"/>
                  <w:noWrap w:val="0"/>
                  <w:vAlign w:val="center"/>
                </w:tcPr>
                <w:p>
                  <w:pPr>
                    <w:rPr>
                      <w:rFonts w:hint="eastAsia" w:ascii="黑体" w:hAnsi="黑体" w:eastAsia="黑体" w:cs="黑体"/>
                      <w:sz w:val="16"/>
                      <w:szCs w:val="16"/>
                    </w:rPr>
                  </w:pPr>
                  <w:r>
                    <w:rPr>
                      <w:rFonts w:hint="eastAsia" w:ascii="黑体" w:hAnsi="黑体" w:eastAsia="黑体" w:cs="黑体"/>
                      <w:sz w:val="16"/>
                      <w:szCs w:val="16"/>
                    </w:rPr>
                    <w:t>大气、水体等综合性污染</w:t>
                  </w:r>
                </w:p>
              </w:tc>
              <w:tc>
                <w:tcPr>
                  <w:tcW w:w="3483" w:type="dxa"/>
                  <w:vMerge w:val="restart"/>
                  <w:noWrap w:val="0"/>
                  <w:vAlign w:val="center"/>
                </w:tcPr>
                <w:p>
                  <w:pPr>
                    <w:rPr>
                      <w:rFonts w:hint="eastAsia" w:ascii="黑体" w:hAnsi="黑体" w:eastAsia="黑体" w:cs="黑体"/>
                      <w:sz w:val="16"/>
                      <w:szCs w:val="16"/>
                    </w:rPr>
                  </w:pPr>
                  <w:r>
                    <w:rPr>
                      <w:rFonts w:hint="eastAsia" w:ascii="黑体" w:hAnsi="黑体" w:eastAsia="黑体" w:cs="黑体"/>
                      <w:sz w:val="16"/>
                      <w:szCs w:val="16"/>
                    </w:rPr>
                    <w:t>管理方案/应急准备和响应控制程序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1425" w:type="dxa"/>
                  <w:vMerge w:val="continue"/>
                  <w:noWrap w:val="0"/>
                  <w:vAlign w:val="center"/>
                </w:tcPr>
                <w:p>
                  <w:pPr>
                    <w:jc w:val="center"/>
                    <w:rPr>
                      <w:rFonts w:hint="eastAsia" w:ascii="黑体" w:hAnsi="黑体" w:eastAsia="黑体" w:cs="黑体"/>
                      <w:sz w:val="16"/>
                      <w:szCs w:val="16"/>
                    </w:rPr>
                  </w:pPr>
                </w:p>
              </w:tc>
              <w:tc>
                <w:tcPr>
                  <w:tcW w:w="5190" w:type="dxa"/>
                  <w:tcBorders>
                    <w:bottom w:val="single" w:color="auto" w:sz="4" w:space="0"/>
                  </w:tcBorders>
                  <w:noWrap w:val="0"/>
                  <w:vAlign w:val="center"/>
                </w:tcPr>
                <w:p>
                  <w:pPr>
                    <w:rPr>
                      <w:rFonts w:hint="eastAsia" w:ascii="黑体" w:hAnsi="黑体" w:eastAsia="黑体" w:cs="黑体"/>
                      <w:sz w:val="16"/>
                      <w:szCs w:val="16"/>
                    </w:rPr>
                  </w:pPr>
                  <w:r>
                    <w:rPr>
                      <w:rFonts w:hint="eastAsia" w:ascii="黑体" w:hAnsi="黑体" w:eastAsia="黑体" w:cs="黑体"/>
                      <w:sz w:val="16"/>
                      <w:szCs w:val="16"/>
                    </w:rPr>
                    <w:t>车间和仓库包装材料等易燃品管理不慎引发的火灾</w:t>
                  </w:r>
                </w:p>
              </w:tc>
              <w:tc>
                <w:tcPr>
                  <w:tcW w:w="1990" w:type="dxa"/>
                  <w:vMerge w:val="continue"/>
                  <w:noWrap w:val="0"/>
                  <w:vAlign w:val="top"/>
                </w:tcPr>
                <w:p>
                  <w:pPr>
                    <w:rPr>
                      <w:rFonts w:hint="eastAsia" w:ascii="黑体" w:hAnsi="黑体" w:eastAsia="黑体" w:cs="黑体"/>
                      <w:sz w:val="16"/>
                      <w:szCs w:val="16"/>
                    </w:rPr>
                  </w:pPr>
                </w:p>
              </w:tc>
              <w:tc>
                <w:tcPr>
                  <w:tcW w:w="3483" w:type="dxa"/>
                  <w:vMerge w:val="continue"/>
                  <w:noWrap w:val="0"/>
                  <w:vAlign w:val="top"/>
                </w:tcPr>
                <w:p>
                  <w:pPr>
                    <w:rPr>
                      <w:rFonts w:hint="eastAsia" w:ascii="黑体" w:hAnsi="黑体" w:eastAsia="黑体" w:cs="黑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1425" w:type="dxa"/>
                  <w:vMerge w:val="continue"/>
                  <w:noWrap w:val="0"/>
                  <w:vAlign w:val="center"/>
                </w:tcPr>
                <w:p>
                  <w:pPr>
                    <w:jc w:val="center"/>
                    <w:rPr>
                      <w:rFonts w:hint="eastAsia" w:ascii="黑体" w:hAnsi="黑体" w:eastAsia="黑体" w:cs="黑体"/>
                      <w:sz w:val="16"/>
                      <w:szCs w:val="16"/>
                    </w:rPr>
                  </w:pPr>
                </w:p>
              </w:tc>
              <w:tc>
                <w:tcPr>
                  <w:tcW w:w="5190" w:type="dxa"/>
                  <w:tcBorders>
                    <w:bottom w:val="single" w:color="auto" w:sz="4" w:space="0"/>
                  </w:tcBorders>
                  <w:noWrap w:val="0"/>
                  <w:vAlign w:val="center"/>
                </w:tcPr>
                <w:p>
                  <w:pPr>
                    <w:rPr>
                      <w:rFonts w:hint="eastAsia" w:ascii="黑体" w:hAnsi="黑体" w:eastAsia="黑体" w:cs="黑体"/>
                      <w:sz w:val="16"/>
                      <w:szCs w:val="16"/>
                    </w:rPr>
                  </w:pPr>
                  <w:r>
                    <w:rPr>
                      <w:rFonts w:hint="eastAsia" w:ascii="黑体" w:hAnsi="黑体" w:eastAsia="黑体" w:cs="黑体"/>
                      <w:sz w:val="16"/>
                      <w:szCs w:val="16"/>
                    </w:rPr>
                    <w:t>电器短路火灾的发生</w:t>
                  </w:r>
                </w:p>
              </w:tc>
              <w:tc>
                <w:tcPr>
                  <w:tcW w:w="1990" w:type="dxa"/>
                  <w:vMerge w:val="continue"/>
                  <w:noWrap w:val="0"/>
                  <w:vAlign w:val="top"/>
                </w:tcPr>
                <w:p>
                  <w:pPr>
                    <w:rPr>
                      <w:rFonts w:hint="eastAsia" w:ascii="黑体" w:hAnsi="黑体" w:eastAsia="黑体" w:cs="黑体"/>
                      <w:sz w:val="16"/>
                      <w:szCs w:val="16"/>
                    </w:rPr>
                  </w:pPr>
                </w:p>
              </w:tc>
              <w:tc>
                <w:tcPr>
                  <w:tcW w:w="3483" w:type="dxa"/>
                  <w:vMerge w:val="continue"/>
                  <w:noWrap w:val="0"/>
                  <w:vAlign w:val="top"/>
                </w:tcPr>
                <w:p>
                  <w:pPr>
                    <w:rPr>
                      <w:rFonts w:hint="eastAsia" w:ascii="黑体" w:hAnsi="黑体" w:eastAsia="黑体" w:cs="黑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425" w:type="dxa"/>
                  <w:vMerge w:val="restart"/>
                  <w:noWrap w:val="0"/>
                  <w:vAlign w:val="center"/>
                </w:tcPr>
                <w:p>
                  <w:pPr>
                    <w:jc w:val="center"/>
                    <w:rPr>
                      <w:rFonts w:hint="eastAsia" w:ascii="黑体" w:hAnsi="黑体" w:eastAsia="黑体" w:cs="黑体"/>
                      <w:sz w:val="16"/>
                      <w:szCs w:val="16"/>
                    </w:rPr>
                  </w:pPr>
                  <w:r>
                    <w:rPr>
                      <w:rFonts w:hint="eastAsia" w:ascii="黑体" w:hAnsi="黑体" w:eastAsia="黑体" w:cs="黑体"/>
                      <w:sz w:val="16"/>
                      <w:szCs w:val="16"/>
                      <w:lang w:val="en-US" w:eastAsia="zh-CN"/>
                    </w:rPr>
                    <w:t>固体</w:t>
                  </w:r>
                  <w:r>
                    <w:rPr>
                      <w:rFonts w:hint="eastAsia" w:ascii="黑体" w:hAnsi="黑体" w:eastAsia="黑体" w:cs="黑体"/>
                      <w:sz w:val="16"/>
                      <w:szCs w:val="16"/>
                    </w:rPr>
                    <w:t>废弃物的</w:t>
                  </w:r>
                </w:p>
                <w:p>
                  <w:pPr>
                    <w:jc w:val="center"/>
                    <w:rPr>
                      <w:rFonts w:hint="eastAsia" w:ascii="黑体" w:hAnsi="黑体" w:eastAsia="黑体" w:cs="黑体"/>
                      <w:sz w:val="16"/>
                      <w:szCs w:val="16"/>
                    </w:rPr>
                  </w:pPr>
                  <w:r>
                    <w:rPr>
                      <w:rFonts w:hint="eastAsia" w:ascii="黑体" w:hAnsi="黑体" w:eastAsia="黑体" w:cs="黑体"/>
                      <w:sz w:val="16"/>
                      <w:szCs w:val="16"/>
                    </w:rPr>
                    <w:t>排放</w:t>
                  </w:r>
                </w:p>
              </w:tc>
              <w:tc>
                <w:tcPr>
                  <w:tcW w:w="5190" w:type="dxa"/>
                  <w:noWrap w:val="0"/>
                  <w:vAlign w:val="center"/>
                </w:tcPr>
                <w:p>
                  <w:pPr>
                    <w:rPr>
                      <w:rFonts w:hint="eastAsia" w:ascii="黑体" w:hAnsi="黑体" w:eastAsia="黑体" w:cs="黑体"/>
                      <w:sz w:val="16"/>
                      <w:szCs w:val="16"/>
                    </w:rPr>
                  </w:pPr>
                  <w:r>
                    <w:rPr>
                      <w:rFonts w:hint="eastAsia" w:ascii="黑体" w:hAnsi="黑体" w:eastAsia="黑体" w:cs="黑体"/>
                      <w:sz w:val="16"/>
                      <w:szCs w:val="16"/>
                    </w:rPr>
                    <w:t>设备维修后含油棉纱布、含油配件的处置，废旧灯管、电池废弃</w:t>
                  </w:r>
                </w:p>
              </w:tc>
              <w:tc>
                <w:tcPr>
                  <w:tcW w:w="1990" w:type="dxa"/>
                  <w:vMerge w:val="restart"/>
                  <w:noWrap w:val="0"/>
                  <w:vAlign w:val="center"/>
                </w:tcPr>
                <w:p>
                  <w:pPr>
                    <w:rPr>
                      <w:rFonts w:hint="eastAsia" w:ascii="黑体" w:hAnsi="黑体" w:eastAsia="黑体" w:cs="黑体"/>
                      <w:sz w:val="16"/>
                      <w:szCs w:val="16"/>
                    </w:rPr>
                  </w:pPr>
                  <w:r>
                    <w:rPr>
                      <w:rFonts w:hint="eastAsia" w:ascii="黑体" w:hAnsi="黑体" w:eastAsia="黑体" w:cs="黑体"/>
                      <w:sz w:val="16"/>
                      <w:szCs w:val="16"/>
                    </w:rPr>
                    <w:t>废弃物的综合性污染</w:t>
                  </w:r>
                </w:p>
              </w:tc>
              <w:tc>
                <w:tcPr>
                  <w:tcW w:w="3483" w:type="dxa"/>
                  <w:vMerge w:val="restart"/>
                  <w:noWrap w:val="0"/>
                  <w:vAlign w:val="center"/>
                </w:tcPr>
                <w:p>
                  <w:pPr>
                    <w:rPr>
                      <w:rFonts w:hint="eastAsia" w:ascii="黑体" w:hAnsi="黑体" w:eastAsia="黑体" w:cs="黑体"/>
                      <w:sz w:val="16"/>
                      <w:szCs w:val="16"/>
                    </w:rPr>
                  </w:pPr>
                  <w:r>
                    <w:rPr>
                      <w:rFonts w:hint="eastAsia" w:ascii="黑体" w:hAnsi="黑体" w:eastAsia="黑体" w:cs="黑体"/>
                      <w:sz w:val="16"/>
                      <w:szCs w:val="16"/>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1425" w:type="dxa"/>
                  <w:vMerge w:val="continue"/>
                  <w:noWrap w:val="0"/>
                  <w:vAlign w:val="center"/>
                </w:tcPr>
                <w:p>
                  <w:pPr>
                    <w:jc w:val="center"/>
                    <w:rPr>
                      <w:rFonts w:hint="eastAsia" w:ascii="黑体" w:hAnsi="黑体" w:eastAsia="黑体" w:cs="黑体"/>
                      <w:sz w:val="16"/>
                      <w:szCs w:val="16"/>
                    </w:rPr>
                  </w:pPr>
                </w:p>
              </w:tc>
              <w:tc>
                <w:tcPr>
                  <w:tcW w:w="5190" w:type="dxa"/>
                  <w:noWrap w:val="0"/>
                  <w:vAlign w:val="center"/>
                </w:tcPr>
                <w:p>
                  <w:pPr>
                    <w:rPr>
                      <w:rFonts w:hint="default" w:ascii="黑体" w:hAnsi="黑体" w:eastAsia="黑体" w:cs="黑体"/>
                      <w:sz w:val="16"/>
                      <w:szCs w:val="16"/>
                      <w:lang w:val="en-US" w:eastAsia="zh-CN"/>
                    </w:rPr>
                  </w:pPr>
                  <w:r>
                    <w:rPr>
                      <w:rFonts w:hint="eastAsia" w:ascii="黑体" w:hAnsi="黑体" w:eastAsia="黑体"/>
                      <w:sz w:val="16"/>
                      <w:szCs w:val="11"/>
                    </w:rPr>
                    <w:t>危险废物：废润滑油、废包装桶</w:t>
                  </w:r>
                  <w:r>
                    <w:rPr>
                      <w:rFonts w:hint="eastAsia" w:ascii="黑体" w:hAnsi="黑体" w:eastAsia="黑体"/>
                      <w:sz w:val="16"/>
                      <w:szCs w:val="11"/>
                      <w:lang w:eastAsia="zh-CN"/>
                    </w:rPr>
                    <w:t>、</w:t>
                  </w:r>
                  <w:r>
                    <w:rPr>
                      <w:rFonts w:hint="eastAsia" w:ascii="黑体" w:hAnsi="黑体" w:eastAsia="黑体"/>
                      <w:sz w:val="16"/>
                      <w:szCs w:val="11"/>
                      <w:lang w:val="en-US" w:eastAsia="zh-CN"/>
                    </w:rPr>
                    <w:t>废活性炭</w:t>
                  </w:r>
                </w:p>
              </w:tc>
              <w:tc>
                <w:tcPr>
                  <w:tcW w:w="1990" w:type="dxa"/>
                  <w:vMerge w:val="continue"/>
                  <w:noWrap w:val="0"/>
                  <w:vAlign w:val="center"/>
                </w:tcPr>
                <w:p>
                  <w:pPr>
                    <w:rPr>
                      <w:rFonts w:hint="eastAsia" w:ascii="黑体" w:hAnsi="黑体" w:eastAsia="黑体" w:cs="黑体"/>
                      <w:sz w:val="16"/>
                      <w:szCs w:val="16"/>
                    </w:rPr>
                  </w:pPr>
                </w:p>
              </w:tc>
              <w:tc>
                <w:tcPr>
                  <w:tcW w:w="3483" w:type="dxa"/>
                  <w:vMerge w:val="continue"/>
                  <w:noWrap w:val="0"/>
                  <w:vAlign w:val="center"/>
                </w:tcPr>
                <w:p>
                  <w:pPr>
                    <w:rPr>
                      <w:rFonts w:hint="eastAsia" w:ascii="黑体" w:hAnsi="黑体" w:eastAsia="黑体" w:cs="黑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 w:hRule="atLeast"/>
              </w:trPr>
              <w:tc>
                <w:tcPr>
                  <w:tcW w:w="1425" w:type="dxa"/>
                  <w:vMerge w:val="continue"/>
                  <w:noWrap w:val="0"/>
                  <w:vAlign w:val="center"/>
                </w:tcPr>
                <w:p>
                  <w:pPr>
                    <w:jc w:val="center"/>
                    <w:rPr>
                      <w:rFonts w:hint="eastAsia" w:ascii="黑体" w:hAnsi="黑体" w:eastAsia="黑体" w:cs="黑体"/>
                      <w:sz w:val="16"/>
                      <w:szCs w:val="16"/>
                    </w:rPr>
                  </w:pPr>
                </w:p>
              </w:tc>
              <w:tc>
                <w:tcPr>
                  <w:tcW w:w="5190" w:type="dxa"/>
                  <w:noWrap w:val="0"/>
                  <w:vAlign w:val="center"/>
                </w:tcPr>
                <w:p>
                  <w:pPr>
                    <w:rPr>
                      <w:rFonts w:hint="eastAsia" w:ascii="黑体" w:hAnsi="黑体" w:eastAsia="黑体" w:cs="黑体"/>
                      <w:sz w:val="16"/>
                      <w:szCs w:val="16"/>
                    </w:rPr>
                  </w:pPr>
                  <w:r>
                    <w:rPr>
                      <w:rFonts w:hint="eastAsia" w:ascii="黑体" w:hAnsi="黑体" w:eastAsia="黑体" w:cs="黑体"/>
                      <w:sz w:val="16"/>
                      <w:szCs w:val="16"/>
                    </w:rPr>
                    <w:t>一般废物：车间和仓库包装物的排放、</w:t>
                  </w:r>
                  <w:r>
                    <w:rPr>
                      <w:rFonts w:hint="eastAsia" w:ascii="黑体" w:hAnsi="黑体" w:eastAsia="黑体"/>
                      <w:sz w:val="16"/>
                      <w:szCs w:val="11"/>
                    </w:rPr>
                    <w:t>边角料的排放、生活垃圾的排放</w:t>
                  </w:r>
                </w:p>
              </w:tc>
              <w:tc>
                <w:tcPr>
                  <w:tcW w:w="1990" w:type="dxa"/>
                  <w:vMerge w:val="continue"/>
                  <w:noWrap w:val="0"/>
                  <w:vAlign w:val="center"/>
                </w:tcPr>
                <w:p>
                  <w:pPr>
                    <w:rPr>
                      <w:rFonts w:hint="eastAsia" w:ascii="黑体" w:hAnsi="黑体" w:eastAsia="黑体" w:cs="黑体"/>
                      <w:sz w:val="16"/>
                      <w:szCs w:val="16"/>
                    </w:rPr>
                  </w:pPr>
                </w:p>
              </w:tc>
              <w:tc>
                <w:tcPr>
                  <w:tcW w:w="3483" w:type="dxa"/>
                  <w:vMerge w:val="continue"/>
                  <w:noWrap w:val="0"/>
                  <w:vAlign w:val="center"/>
                </w:tcPr>
                <w:p>
                  <w:pPr>
                    <w:rPr>
                      <w:rFonts w:hint="eastAsia" w:ascii="黑体" w:hAnsi="黑体" w:eastAsia="黑体" w:cs="黑体"/>
                      <w:sz w:val="16"/>
                      <w:szCs w:val="16"/>
                    </w:rPr>
                  </w:pPr>
                </w:p>
              </w:tc>
            </w:tr>
          </w:tbl>
          <w:p>
            <w:pPr>
              <w:spacing w:line="280" w:lineRule="exact"/>
              <w:ind w:firstLine="420" w:firstLineChars="200"/>
              <w:rPr>
                <w:rFonts w:hint="default"/>
                <w:color w:val="auto"/>
                <w:szCs w:val="21"/>
                <w:lang w:val="en-US" w:eastAsia="zh-CN"/>
              </w:rPr>
            </w:pPr>
            <w:r>
              <w:rPr>
                <w:rFonts w:hint="eastAsia"/>
                <w:color w:val="auto"/>
                <w:szCs w:val="21"/>
                <w:lang w:val="en-US" w:eastAsia="zh-CN"/>
              </w:rPr>
              <w:t xml:space="preserve"> 行政部涉及到重要环境因素为：固废、火灾</w:t>
            </w:r>
          </w:p>
          <w:p>
            <w:pPr>
              <w:spacing w:line="280" w:lineRule="exact"/>
              <w:rPr>
                <w:rFonts w:hint="default"/>
                <w:color w:val="auto"/>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280" w:lineRule="exact"/>
              <w:ind w:firstLine="460" w:firstLineChars="200"/>
              <w:textAlignment w:val="auto"/>
              <w:rPr>
                <w:rFonts w:hint="eastAsia" w:eastAsia="华文细黑"/>
                <w:lang w:eastAsia="zh-CN"/>
              </w:rPr>
            </w:pPr>
            <w:r>
              <w:rPr>
                <w:rFonts w:hint="eastAsia" w:ascii="宋体" w:hAnsi="宋体" w:cs="宋体"/>
                <w:szCs w:val="21"/>
                <w:lang w:val="en-US" w:eastAsia="zh-CN"/>
              </w:rPr>
              <w:t>行政部负责汇总危险源的辨识、登记并组织风险评价和控制措施的确定，以确认重大危险源和不可接受的风险。</w:t>
            </w:r>
            <w:r>
              <w:rPr>
                <w:rFonts w:hint="eastAsia"/>
                <w:color w:val="auto"/>
                <w:szCs w:val="21"/>
                <w:lang w:val="en-US" w:eastAsia="zh-CN"/>
              </w:rPr>
              <w:t>组织制定了</w:t>
            </w:r>
            <w:r>
              <w:rPr>
                <w:rFonts w:hint="eastAsia"/>
                <w:color w:val="auto"/>
                <w:szCs w:val="21"/>
              </w:rPr>
              <w:t>《</w:t>
            </w:r>
            <w:r>
              <w:rPr>
                <w:rFonts w:hint="eastAsia"/>
                <w:color w:val="auto"/>
                <w:szCs w:val="21"/>
                <w:lang w:eastAsia="zh-CN"/>
              </w:rPr>
              <w:t>危险源辨识及风险评价控制程序</w:t>
            </w:r>
            <w:r>
              <w:rPr>
                <w:rFonts w:hint="eastAsia"/>
                <w:color w:val="auto"/>
                <w:szCs w:val="21"/>
              </w:rPr>
              <w:t>》</w:t>
            </w:r>
            <w:r>
              <w:rPr>
                <w:rFonts w:hint="eastAsia"/>
                <w:color w:val="auto"/>
                <w:szCs w:val="21"/>
                <w:lang w:eastAsia="zh-CN"/>
              </w:rPr>
              <w:t>，</w:t>
            </w:r>
            <w:r>
              <w:rPr>
                <w:rFonts w:hint="eastAsia"/>
              </w:rPr>
              <w:t>上报管理者代表审批；按照文件要求执行</w:t>
            </w:r>
            <w:r>
              <w:rPr>
                <w:rFonts w:hint="eastAsia"/>
                <w:lang w:eastAsia="zh-CN"/>
              </w:rPr>
              <w:t>。</w:t>
            </w:r>
          </w:p>
          <w:p>
            <w:pPr>
              <w:spacing w:line="280" w:lineRule="exact"/>
              <w:ind w:firstLine="420" w:firstLineChars="200"/>
              <w:rPr>
                <w:color w:val="auto"/>
                <w:szCs w:val="21"/>
              </w:rPr>
            </w:pPr>
            <w:r>
              <w:rPr>
                <w:rFonts w:hint="eastAsia"/>
                <w:color w:val="auto"/>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color w:val="auto"/>
                <w:szCs w:val="21"/>
                <w:lang w:val="en-US" w:eastAsia="zh-CN"/>
              </w:rPr>
            </w:pPr>
            <w:r>
              <w:rPr>
                <w:rFonts w:hint="eastAsia"/>
                <w:color w:val="auto"/>
                <w:szCs w:val="21"/>
              </w:rPr>
              <w:t>提供了《危险源风险辨识和评价表》</w:t>
            </w:r>
            <w:r>
              <w:rPr>
                <w:rFonts w:hint="eastAsia"/>
                <w:color w:val="auto"/>
                <w:szCs w:val="21"/>
                <w:lang w:eastAsia="zh-CN"/>
              </w:rPr>
              <w:t>：</w:t>
            </w:r>
            <w:r>
              <w:rPr>
                <w:rFonts w:hint="eastAsia"/>
                <w:color w:val="auto"/>
                <w:szCs w:val="21"/>
                <w:lang w:val="en-US" w:eastAsia="zh-CN"/>
              </w:rPr>
              <w:t>内容包括区域/活动、危险源内容、可能导致的后果、风险等级评价等内容。</w:t>
            </w:r>
          </w:p>
          <w:p>
            <w:pPr>
              <w:spacing w:line="280" w:lineRule="exact"/>
              <w:ind w:firstLine="420" w:firstLineChars="200"/>
              <w:rPr>
                <w:rFonts w:hint="eastAsia"/>
                <w:color w:val="auto"/>
                <w:szCs w:val="21"/>
                <w:lang w:val="en-US" w:eastAsia="zh-CN"/>
              </w:rPr>
            </w:pPr>
            <w:r>
              <w:rPr>
                <w:rFonts w:hint="eastAsia"/>
                <w:color w:val="auto"/>
                <w:szCs w:val="21"/>
              </w:rPr>
              <w:t>提供了《不可接受风险清单》</w:t>
            </w:r>
            <w:r>
              <w:rPr>
                <w:rFonts w:hint="eastAsia"/>
                <w:color w:val="auto"/>
                <w:szCs w:val="21"/>
                <w:lang w:eastAsia="zh-CN"/>
              </w:rPr>
              <w:t>，</w:t>
            </w:r>
            <w:r>
              <w:rPr>
                <w:rFonts w:hint="eastAsia"/>
                <w:color w:val="auto"/>
                <w:szCs w:val="21"/>
                <w:lang w:val="en-US" w:eastAsia="zh-CN"/>
              </w:rPr>
              <w:t>内容如下：</w:t>
            </w:r>
          </w:p>
          <w:tbl>
            <w:tblPr>
              <w:tblStyle w:val="8"/>
              <w:tblW w:w="0" w:type="auto"/>
              <w:tblInd w:w="-7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16"/>
              <w:gridCol w:w="3256"/>
              <w:gridCol w:w="1816"/>
              <w:gridCol w:w="341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0" w:type="auto"/>
                  <w:noWrap w:val="0"/>
                  <w:vAlign w:val="center"/>
                </w:tcPr>
                <w:p>
                  <w:pPr>
                    <w:rPr>
                      <w:rFonts w:hint="eastAsia" w:ascii="黑体" w:hAnsi="黑体" w:eastAsia="黑体"/>
                      <w:sz w:val="16"/>
                      <w:szCs w:val="11"/>
                    </w:rPr>
                  </w:pPr>
                  <w:r>
                    <w:rPr>
                      <w:rFonts w:hint="eastAsia" w:ascii="黑体" w:hAnsi="黑体" w:eastAsia="黑体"/>
                      <w:sz w:val="16"/>
                      <w:szCs w:val="11"/>
                    </w:rPr>
                    <w:t>活动点/工序/部位</w:t>
                  </w:r>
                </w:p>
              </w:tc>
              <w:tc>
                <w:tcPr>
                  <w:tcW w:w="0" w:type="auto"/>
                  <w:noWrap w:val="0"/>
                  <w:vAlign w:val="center"/>
                </w:tcPr>
                <w:p>
                  <w:pPr>
                    <w:rPr>
                      <w:rFonts w:hint="eastAsia" w:ascii="黑体" w:hAnsi="黑体" w:eastAsia="黑体"/>
                      <w:sz w:val="16"/>
                      <w:szCs w:val="11"/>
                    </w:rPr>
                  </w:pPr>
                  <w:r>
                    <w:rPr>
                      <w:rFonts w:hint="eastAsia" w:ascii="黑体" w:hAnsi="黑体" w:eastAsia="黑体"/>
                      <w:sz w:val="16"/>
                      <w:szCs w:val="11"/>
                    </w:rPr>
                    <w:t>潜在的危险因素</w:t>
                  </w:r>
                </w:p>
              </w:tc>
              <w:tc>
                <w:tcPr>
                  <w:tcW w:w="0" w:type="auto"/>
                  <w:noWrap w:val="0"/>
                  <w:vAlign w:val="center"/>
                </w:tcPr>
                <w:p>
                  <w:pPr>
                    <w:rPr>
                      <w:rFonts w:hint="eastAsia" w:ascii="黑体" w:hAnsi="黑体" w:eastAsia="黑体"/>
                      <w:sz w:val="16"/>
                      <w:szCs w:val="11"/>
                    </w:rPr>
                  </w:pPr>
                  <w:r>
                    <w:rPr>
                      <w:rFonts w:hint="eastAsia" w:ascii="黑体" w:hAnsi="黑体" w:eastAsia="黑体"/>
                      <w:sz w:val="16"/>
                      <w:szCs w:val="11"/>
                    </w:rPr>
                    <w:t>可能导致的结果</w:t>
                  </w:r>
                </w:p>
              </w:tc>
              <w:tc>
                <w:tcPr>
                  <w:tcW w:w="0" w:type="auto"/>
                  <w:noWrap w:val="0"/>
                  <w:vAlign w:val="center"/>
                </w:tcPr>
                <w:p>
                  <w:pPr>
                    <w:rPr>
                      <w:rFonts w:hint="eastAsia" w:ascii="黑体" w:hAnsi="黑体" w:eastAsia="黑体"/>
                      <w:sz w:val="16"/>
                      <w:szCs w:val="11"/>
                    </w:rPr>
                  </w:pPr>
                  <w:r>
                    <w:rPr>
                      <w:rFonts w:hint="eastAsia" w:ascii="黑体" w:hAnsi="黑体" w:eastAsia="黑体"/>
                      <w:sz w:val="16"/>
                      <w:szCs w:val="11"/>
                    </w:rPr>
                    <w:t>控制措施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42" w:hRule="atLeast"/>
              </w:trPr>
              <w:tc>
                <w:tcPr>
                  <w:tcW w:w="0" w:type="auto"/>
                  <w:noWrap w:val="0"/>
                  <w:vAlign w:val="top"/>
                </w:tcPr>
                <w:p>
                  <w:pPr>
                    <w:rPr>
                      <w:rFonts w:hint="eastAsia" w:ascii="黑体" w:hAnsi="黑体" w:eastAsia="黑体"/>
                      <w:sz w:val="16"/>
                      <w:szCs w:val="11"/>
                    </w:rPr>
                  </w:pPr>
                  <w:r>
                    <w:rPr>
                      <w:rFonts w:hint="eastAsia" w:ascii="黑体" w:hAnsi="黑体" w:eastAsia="黑体"/>
                      <w:sz w:val="16"/>
                      <w:szCs w:val="11"/>
                    </w:rPr>
                    <w:t>办公场所、车间、仓库等区域的易燃品的堆放</w:t>
                  </w:r>
                </w:p>
              </w:tc>
              <w:tc>
                <w:tcPr>
                  <w:tcW w:w="0" w:type="auto"/>
                  <w:noWrap w:val="0"/>
                  <w:vAlign w:val="top"/>
                </w:tcPr>
                <w:p>
                  <w:pPr>
                    <w:rPr>
                      <w:rFonts w:hint="eastAsia" w:ascii="黑体" w:hAnsi="黑体" w:eastAsia="黑体"/>
                      <w:sz w:val="16"/>
                      <w:szCs w:val="11"/>
                    </w:rPr>
                  </w:pPr>
                  <w:r>
                    <w:rPr>
                      <w:rFonts w:hint="eastAsia" w:ascii="黑体" w:hAnsi="黑体" w:eastAsia="黑体"/>
                      <w:sz w:val="16"/>
                      <w:szCs w:val="11"/>
                    </w:rPr>
                    <w:t>出现明火引起的火灾</w:t>
                  </w:r>
                </w:p>
              </w:tc>
              <w:tc>
                <w:tcPr>
                  <w:tcW w:w="0" w:type="auto"/>
                  <w:noWrap w:val="0"/>
                  <w:vAlign w:val="top"/>
                </w:tcPr>
                <w:p>
                  <w:pPr>
                    <w:rPr>
                      <w:rFonts w:hint="eastAsia" w:ascii="黑体" w:hAnsi="黑体" w:eastAsia="黑体"/>
                      <w:sz w:val="16"/>
                      <w:szCs w:val="11"/>
                    </w:rPr>
                  </w:pPr>
                  <w:r>
                    <w:rPr>
                      <w:rFonts w:hint="eastAsia" w:ascii="黑体" w:hAnsi="黑体" w:eastAsia="黑体"/>
                      <w:sz w:val="16"/>
                      <w:szCs w:val="11"/>
                    </w:rPr>
                    <w:t>人员伤亡</w:t>
                  </w:r>
                </w:p>
              </w:tc>
              <w:tc>
                <w:tcPr>
                  <w:tcW w:w="0" w:type="auto"/>
                  <w:noWrap w:val="0"/>
                  <w:vAlign w:val="top"/>
                </w:tcPr>
                <w:p>
                  <w:pPr>
                    <w:rPr>
                      <w:rFonts w:hint="eastAsia" w:ascii="黑体" w:hAnsi="黑体" w:eastAsia="黑体"/>
                      <w:sz w:val="16"/>
                      <w:szCs w:val="11"/>
                    </w:rPr>
                  </w:pPr>
                  <w:r>
                    <w:rPr>
                      <w:rFonts w:hint="eastAsia" w:ascii="黑体" w:hAnsi="黑体" w:eastAsia="黑体"/>
                      <w:sz w:val="16"/>
                      <w:szCs w:val="11"/>
                    </w:rPr>
                    <w:t>应急准备和响应控制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0" w:type="auto"/>
                  <w:noWrap w:val="0"/>
                  <w:vAlign w:val="center"/>
                </w:tcPr>
                <w:p>
                  <w:pPr>
                    <w:rPr>
                      <w:rFonts w:hint="eastAsia" w:ascii="黑体" w:hAnsi="黑体" w:eastAsia="黑体"/>
                      <w:sz w:val="16"/>
                      <w:szCs w:val="11"/>
                    </w:rPr>
                  </w:pPr>
                  <w:r>
                    <w:rPr>
                      <w:rFonts w:hint="eastAsia" w:ascii="黑体" w:hAnsi="黑体" w:eastAsia="黑体"/>
                      <w:sz w:val="16"/>
                      <w:szCs w:val="11"/>
                    </w:rPr>
                    <w:t>车间生产、物资装卸及运输等作业不当</w:t>
                  </w:r>
                </w:p>
              </w:tc>
              <w:tc>
                <w:tcPr>
                  <w:tcW w:w="0" w:type="auto"/>
                  <w:noWrap w:val="0"/>
                  <w:vAlign w:val="center"/>
                </w:tcPr>
                <w:p>
                  <w:pPr>
                    <w:rPr>
                      <w:rFonts w:hint="eastAsia" w:ascii="黑体" w:hAnsi="黑体" w:eastAsia="黑体"/>
                      <w:sz w:val="16"/>
                      <w:szCs w:val="11"/>
                    </w:rPr>
                  </w:pPr>
                  <w:r>
                    <w:rPr>
                      <w:rFonts w:hint="eastAsia" w:ascii="黑体" w:hAnsi="黑体" w:eastAsia="黑体"/>
                      <w:sz w:val="16"/>
                      <w:szCs w:val="11"/>
                    </w:rPr>
                    <w:t>引起人员机械伤害</w:t>
                  </w:r>
                </w:p>
              </w:tc>
              <w:tc>
                <w:tcPr>
                  <w:tcW w:w="0" w:type="auto"/>
                  <w:noWrap w:val="0"/>
                  <w:vAlign w:val="center"/>
                </w:tcPr>
                <w:p>
                  <w:pPr>
                    <w:rPr>
                      <w:rFonts w:hint="eastAsia" w:ascii="黑体" w:hAnsi="黑体" w:eastAsia="黑体"/>
                      <w:sz w:val="16"/>
                      <w:szCs w:val="11"/>
                    </w:rPr>
                  </w:pPr>
                  <w:r>
                    <w:rPr>
                      <w:rFonts w:hint="eastAsia" w:ascii="黑体" w:hAnsi="黑体" w:eastAsia="黑体"/>
                      <w:sz w:val="16"/>
                      <w:szCs w:val="11"/>
                    </w:rPr>
                    <w:t>人员的人身伤害</w:t>
                  </w:r>
                </w:p>
              </w:tc>
              <w:tc>
                <w:tcPr>
                  <w:tcW w:w="0" w:type="auto"/>
                  <w:noWrap w:val="0"/>
                  <w:vAlign w:val="center"/>
                </w:tcPr>
                <w:p>
                  <w:pPr>
                    <w:rPr>
                      <w:rFonts w:hint="eastAsia" w:ascii="黑体" w:hAnsi="黑体" w:eastAsia="黑体"/>
                      <w:sz w:val="16"/>
                      <w:szCs w:val="11"/>
                    </w:rPr>
                  </w:pPr>
                  <w:r>
                    <w:rPr>
                      <w:rFonts w:hint="eastAsia" w:ascii="黑体" w:hAnsi="黑体" w:eastAsia="黑体"/>
                      <w:sz w:val="16"/>
                      <w:szCs w:val="11"/>
                    </w:rPr>
                    <w:t>规范操作，加强现场管理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0" w:type="auto"/>
                  <w:noWrap w:val="0"/>
                  <w:vAlign w:val="center"/>
                </w:tcPr>
                <w:p>
                  <w:pPr>
                    <w:rPr>
                      <w:rFonts w:hint="eastAsia" w:ascii="黑体" w:hAnsi="黑体" w:eastAsia="黑体"/>
                      <w:sz w:val="16"/>
                      <w:szCs w:val="11"/>
                    </w:rPr>
                  </w:pPr>
                  <w:r>
                    <w:rPr>
                      <w:rFonts w:hint="eastAsia" w:ascii="黑体" w:hAnsi="黑体" w:eastAsia="黑体"/>
                      <w:sz w:val="16"/>
                      <w:szCs w:val="11"/>
                    </w:rPr>
                    <w:t>生产和办公用电</w:t>
                  </w:r>
                </w:p>
              </w:tc>
              <w:tc>
                <w:tcPr>
                  <w:tcW w:w="0" w:type="auto"/>
                  <w:noWrap w:val="0"/>
                  <w:vAlign w:val="center"/>
                </w:tcPr>
                <w:p>
                  <w:pPr>
                    <w:rPr>
                      <w:rFonts w:hint="eastAsia" w:ascii="黑体" w:hAnsi="黑体" w:eastAsia="黑体"/>
                      <w:sz w:val="16"/>
                      <w:szCs w:val="11"/>
                    </w:rPr>
                  </w:pPr>
                  <w:r>
                    <w:rPr>
                      <w:rFonts w:hint="eastAsia" w:ascii="黑体" w:hAnsi="黑体" w:eastAsia="黑体"/>
                      <w:sz w:val="16"/>
                      <w:szCs w:val="11"/>
                    </w:rPr>
                    <w:t>设备损坏，线路老化，电路设置不符合要求</w:t>
                  </w:r>
                </w:p>
              </w:tc>
              <w:tc>
                <w:tcPr>
                  <w:tcW w:w="0" w:type="auto"/>
                  <w:noWrap w:val="0"/>
                  <w:vAlign w:val="center"/>
                </w:tcPr>
                <w:p>
                  <w:pPr>
                    <w:rPr>
                      <w:rFonts w:hint="eastAsia" w:ascii="黑体" w:hAnsi="黑体" w:eastAsia="黑体"/>
                      <w:sz w:val="16"/>
                      <w:szCs w:val="11"/>
                    </w:rPr>
                  </w:pPr>
                  <w:r>
                    <w:rPr>
                      <w:rFonts w:hint="eastAsia" w:ascii="黑体" w:hAnsi="黑体" w:eastAsia="黑体"/>
                      <w:sz w:val="16"/>
                      <w:szCs w:val="11"/>
                    </w:rPr>
                    <w:t>人员触电，火灾事故等</w:t>
                  </w:r>
                </w:p>
              </w:tc>
              <w:tc>
                <w:tcPr>
                  <w:tcW w:w="0" w:type="auto"/>
                  <w:noWrap w:val="0"/>
                  <w:vAlign w:val="center"/>
                </w:tcPr>
                <w:p>
                  <w:pPr>
                    <w:rPr>
                      <w:rFonts w:hint="eastAsia" w:ascii="黑体" w:hAnsi="黑体" w:eastAsia="黑体"/>
                      <w:sz w:val="16"/>
                      <w:szCs w:val="11"/>
                    </w:rPr>
                  </w:pPr>
                  <w:r>
                    <w:rPr>
                      <w:rFonts w:hint="eastAsia" w:ascii="黑体" w:hAnsi="黑体" w:eastAsia="黑体"/>
                      <w:sz w:val="16"/>
                      <w:szCs w:val="11"/>
                    </w:rPr>
                    <w:t>规范操作，坚持线路检查，做好应急响应工作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trPr>
              <w:tc>
                <w:tcPr>
                  <w:tcW w:w="0" w:type="auto"/>
                  <w:noWrap w:val="0"/>
                  <w:vAlign w:val="center"/>
                </w:tcPr>
                <w:p>
                  <w:pPr>
                    <w:rPr>
                      <w:rFonts w:hint="eastAsia" w:ascii="黑体" w:hAnsi="黑体" w:eastAsia="黑体"/>
                      <w:sz w:val="16"/>
                      <w:szCs w:val="11"/>
                    </w:rPr>
                  </w:pPr>
                  <w:r>
                    <w:rPr>
                      <w:rFonts w:hint="eastAsia" w:ascii="黑体" w:hAnsi="黑体" w:eastAsia="黑体"/>
                      <w:sz w:val="16"/>
                      <w:szCs w:val="11"/>
                    </w:rPr>
                    <w:t>生产车间</w:t>
                  </w:r>
                </w:p>
              </w:tc>
              <w:tc>
                <w:tcPr>
                  <w:tcW w:w="0" w:type="auto"/>
                  <w:noWrap w:val="0"/>
                  <w:vAlign w:val="center"/>
                </w:tcPr>
                <w:p>
                  <w:pPr>
                    <w:rPr>
                      <w:rFonts w:hint="eastAsia" w:ascii="黑体" w:hAnsi="黑体" w:eastAsia="黑体"/>
                      <w:sz w:val="16"/>
                      <w:szCs w:val="11"/>
                    </w:rPr>
                  </w:pPr>
                  <w:r>
                    <w:rPr>
                      <w:rFonts w:hint="eastAsia" w:ascii="黑体" w:hAnsi="黑体" w:eastAsia="黑体"/>
                      <w:sz w:val="16"/>
                      <w:szCs w:val="11"/>
                    </w:rPr>
                    <w:t>（噪声</w:t>
                  </w:r>
                  <w:r>
                    <w:rPr>
                      <w:rFonts w:hint="eastAsia" w:ascii="黑体" w:hAnsi="黑体" w:eastAsia="黑体"/>
                      <w:sz w:val="16"/>
                      <w:szCs w:val="11"/>
                      <w:lang w:eastAsia="zh-CN"/>
                    </w:rPr>
                    <w:t>、</w:t>
                  </w:r>
                  <w:r>
                    <w:rPr>
                      <w:rFonts w:hint="eastAsia" w:ascii="黑体" w:hAnsi="黑体" w:eastAsia="黑体"/>
                      <w:sz w:val="16"/>
                      <w:szCs w:val="11"/>
                      <w:lang w:val="en-US" w:eastAsia="zh-CN"/>
                    </w:rPr>
                    <w:t>废气</w:t>
                  </w:r>
                  <w:r>
                    <w:rPr>
                      <w:rFonts w:hint="eastAsia" w:ascii="黑体" w:hAnsi="黑体" w:eastAsia="黑体"/>
                      <w:sz w:val="16"/>
                      <w:szCs w:val="11"/>
                    </w:rPr>
                    <w:t>）职业病伤害</w:t>
                  </w:r>
                </w:p>
              </w:tc>
              <w:tc>
                <w:tcPr>
                  <w:tcW w:w="0" w:type="auto"/>
                  <w:noWrap w:val="0"/>
                  <w:vAlign w:val="center"/>
                </w:tcPr>
                <w:p>
                  <w:pPr>
                    <w:rPr>
                      <w:rFonts w:hint="eastAsia" w:ascii="黑体" w:hAnsi="黑体" w:eastAsia="黑体"/>
                      <w:sz w:val="16"/>
                      <w:szCs w:val="11"/>
                    </w:rPr>
                  </w:pPr>
                  <w:r>
                    <w:rPr>
                      <w:rFonts w:hint="eastAsia" w:ascii="黑体" w:hAnsi="黑体" w:eastAsia="黑体"/>
                      <w:sz w:val="16"/>
                      <w:szCs w:val="11"/>
                    </w:rPr>
                    <w:t>人员的人身伤害</w:t>
                  </w:r>
                </w:p>
              </w:tc>
              <w:tc>
                <w:tcPr>
                  <w:tcW w:w="0" w:type="auto"/>
                  <w:noWrap w:val="0"/>
                  <w:vAlign w:val="center"/>
                </w:tcPr>
                <w:p>
                  <w:pPr>
                    <w:rPr>
                      <w:rFonts w:hint="eastAsia" w:ascii="黑体" w:hAnsi="黑体" w:eastAsia="黑体"/>
                      <w:sz w:val="16"/>
                      <w:szCs w:val="11"/>
                    </w:rPr>
                  </w:pPr>
                  <w:r>
                    <w:rPr>
                      <w:rFonts w:hint="eastAsia" w:ascii="黑体" w:hAnsi="黑体" w:eastAsia="黑体"/>
                      <w:sz w:val="16"/>
                      <w:szCs w:val="11"/>
                    </w:rPr>
                    <w:t>规范操作，加强现场管理</w:t>
                  </w:r>
                </w:p>
              </w:tc>
            </w:tr>
          </w:tbl>
          <w:p>
            <w:pPr>
              <w:spacing w:line="280" w:lineRule="exact"/>
              <w:ind w:firstLine="420" w:firstLineChars="200"/>
              <w:rPr>
                <w:rFonts w:hint="default"/>
                <w:color w:val="auto"/>
                <w:szCs w:val="21"/>
                <w:lang w:val="en-US" w:eastAsia="zh-CN"/>
              </w:rPr>
            </w:pPr>
            <w:r>
              <w:rPr>
                <w:rFonts w:hint="eastAsia"/>
                <w:color w:val="auto"/>
                <w:szCs w:val="21"/>
                <w:lang w:val="en-US" w:eastAsia="zh-CN"/>
              </w:rPr>
              <w:t>行政部涉及到不可接受风险为：触电、火灾</w:t>
            </w:r>
          </w:p>
          <w:p>
            <w:pPr>
              <w:spacing w:line="280" w:lineRule="exact"/>
              <w:ind w:firstLine="840" w:firstLineChars="400"/>
              <w:rPr>
                <w:b/>
                <w:szCs w:val="21"/>
              </w:rPr>
            </w:pPr>
            <w:r>
              <w:rPr>
                <w:rFonts w:hint="eastAsia"/>
                <w:color w:val="auto"/>
                <w:szCs w:val="21"/>
                <w:lang w:val="en-US" w:eastAsia="zh-CN"/>
              </w:rPr>
              <w:t>综上，组织的环境因素、危险源辨识、评价和控制基本满足标准要求。</w:t>
            </w:r>
          </w:p>
        </w:tc>
        <w:tc>
          <w:tcPr>
            <w:tcW w:w="1045" w:type="dxa"/>
          </w:tcPr>
          <w:p>
            <w:pPr>
              <w:pStyle w:val="4"/>
              <w:ind w:left="0" w:leftChars="0" w:firstLine="0" w:firstLineChars="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630" w:type="dxa"/>
            <w:vAlign w:val="top"/>
          </w:tcPr>
          <w:p>
            <w:pPr>
              <w:spacing w:line="280" w:lineRule="exac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rPr>
              <w:t>合规义务</w:t>
            </w:r>
            <w:r>
              <w:rPr>
                <w:rFonts w:hint="eastAsia" w:ascii="华文细黑" w:hAnsi="华文细黑" w:cs="华文细黑"/>
                <w:szCs w:val="21"/>
                <w:lang w:val="en-US" w:eastAsia="zh-CN"/>
              </w:rPr>
              <w:t>及其</w:t>
            </w:r>
            <w:r>
              <w:rPr>
                <w:rFonts w:hint="eastAsia" w:ascii="华文细黑" w:hAnsi="华文细黑" w:eastAsia="华文细黑" w:cs="华文细黑"/>
                <w:szCs w:val="21"/>
              </w:rPr>
              <w:t>合规性评价</w:t>
            </w:r>
          </w:p>
        </w:tc>
        <w:tc>
          <w:tcPr>
            <w:tcW w:w="1068" w:type="dxa"/>
            <w:vAlign w:val="top"/>
          </w:tcPr>
          <w:p>
            <w:pPr>
              <w:spacing w:line="280" w:lineRule="exact"/>
              <w:rPr>
                <w:rFonts w:hint="eastAsia" w:ascii="华文细黑" w:hAnsi="华文细黑" w:eastAsia="华文细黑" w:cs="华文细黑"/>
                <w:szCs w:val="21"/>
              </w:rPr>
            </w:pPr>
            <w:r>
              <w:rPr>
                <w:rFonts w:hint="eastAsia" w:ascii="华文细黑" w:hAnsi="华文细黑" w:cs="华文细黑"/>
                <w:szCs w:val="21"/>
                <w:lang w:eastAsia="zh-CN"/>
              </w:rPr>
              <w:t>EO</w:t>
            </w:r>
            <w:r>
              <w:rPr>
                <w:rFonts w:hint="eastAsia" w:ascii="华文细黑" w:hAnsi="华文细黑" w:eastAsia="华文细黑" w:cs="华文细黑"/>
                <w:szCs w:val="21"/>
              </w:rPr>
              <w:t>6.1.3</w:t>
            </w:r>
          </w:p>
          <w:p>
            <w:pPr>
              <w:spacing w:line="280" w:lineRule="exac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Cs w:val="21"/>
                <w:lang w:val="en-US" w:eastAsia="zh-CN"/>
              </w:rPr>
              <w:t>/</w:t>
            </w:r>
            <w:r>
              <w:rPr>
                <w:rFonts w:hint="eastAsia" w:ascii="华文细黑" w:hAnsi="华文细黑" w:eastAsia="华文细黑" w:cs="华文细黑"/>
                <w:szCs w:val="21"/>
              </w:rPr>
              <w:t>9.1.2</w:t>
            </w:r>
          </w:p>
        </w:tc>
        <w:tc>
          <w:tcPr>
            <w:tcW w:w="12151" w:type="dxa"/>
            <w:vAlign w:val="center"/>
          </w:tcPr>
          <w:p>
            <w:pPr>
              <w:spacing w:line="280" w:lineRule="exact"/>
              <w:ind w:firstLine="420" w:firstLineChars="200"/>
              <w:rPr>
                <w:rFonts w:hint="eastAsia" w:ascii="宋体" w:hAnsi="宋体" w:cs="宋体"/>
                <w:szCs w:val="21"/>
                <w:lang w:val="en-US" w:eastAsia="zh-CN"/>
              </w:rPr>
            </w:pPr>
          </w:p>
          <w:p>
            <w:pPr>
              <w:spacing w:line="280" w:lineRule="exact"/>
              <w:ind w:firstLine="420" w:firstLineChars="200"/>
              <w:rPr>
                <w:rFonts w:hint="eastAsia" w:ascii="宋体" w:hAnsi="宋体" w:cs="宋体"/>
                <w:szCs w:val="21"/>
              </w:rPr>
            </w:pPr>
            <w:r>
              <w:rPr>
                <w:rFonts w:hint="eastAsia" w:ascii="宋体" w:hAnsi="宋体" w:cs="宋体"/>
                <w:szCs w:val="21"/>
                <w:lang w:val="en-US" w:eastAsia="zh-CN"/>
              </w:rPr>
              <w:t>组织</w:t>
            </w:r>
            <w:r>
              <w:rPr>
                <w:rFonts w:hint="eastAsia" w:ascii="宋体" w:hAnsi="宋体" w:cs="宋体"/>
                <w:szCs w:val="21"/>
              </w:rPr>
              <w:t>编制了《法律法规控制程序》、《合规性评价控制程序》程序来识别与公司的活动、产品和服务有关的法律、法规和其它要求，并建立获取这些要求的渠道。确定适用的法律、法规和其它要求如何运用到公司的活动、产品和服务以及相关的环境因素和危险源。</w:t>
            </w:r>
          </w:p>
          <w:p>
            <w:pPr>
              <w:spacing w:line="280" w:lineRule="exact"/>
              <w:ind w:firstLine="420" w:firstLineChars="200"/>
              <w:rPr>
                <w:rFonts w:hint="eastAsia" w:ascii="宋体" w:hAnsi="宋体" w:cs="宋体"/>
                <w:szCs w:val="21"/>
              </w:rPr>
            </w:pPr>
            <w:r>
              <w:rPr>
                <w:rFonts w:hint="eastAsia" w:ascii="宋体" w:hAnsi="宋体" w:cs="宋体"/>
                <w:szCs w:val="21"/>
              </w:rPr>
              <w:t>查所提供的环境和职业健康安全所涉及的</w:t>
            </w:r>
            <w:r>
              <w:rPr>
                <w:rFonts w:hint="eastAsia" w:ascii="宋体" w:hAnsi="宋体" w:cs="宋体"/>
                <w:szCs w:val="21"/>
                <w:lang w:eastAsia="zh-CN"/>
              </w:rPr>
              <w:t>《环保法律法规遵守情况评价表》、《劳动安全卫生法规合规性评价》和《</w:t>
            </w:r>
            <w:r>
              <w:rPr>
                <w:rFonts w:hint="eastAsia" w:ascii="宋体" w:hAnsi="宋体" w:cs="宋体"/>
                <w:szCs w:val="21"/>
              </w:rPr>
              <w:t>职业健康安全运行控制程序</w:t>
            </w:r>
            <w:r>
              <w:rPr>
                <w:rFonts w:hint="eastAsia" w:ascii="宋体" w:hAnsi="宋体" w:cs="宋体"/>
                <w:szCs w:val="21"/>
                <w:lang w:eastAsia="zh-CN"/>
              </w:rPr>
              <w:t>》</w:t>
            </w:r>
            <w:r>
              <w:rPr>
                <w:rFonts w:hint="eastAsia" w:ascii="宋体" w:hAnsi="宋体" w:cs="宋体"/>
                <w:szCs w:val="21"/>
              </w:rPr>
              <w:t>，基本涵盖所涉及的各相关</w:t>
            </w:r>
            <w:r>
              <w:rPr>
                <w:rFonts w:hint="eastAsia" w:ascii="宋体" w:hAnsi="宋体" w:cs="宋体"/>
                <w:szCs w:val="21"/>
                <w:lang w:val="en-US" w:eastAsia="zh-CN"/>
              </w:rPr>
              <w:t>产品和活动</w:t>
            </w:r>
            <w:r>
              <w:rPr>
                <w:rFonts w:hint="eastAsia" w:ascii="宋体" w:hAnsi="宋体" w:cs="宋体"/>
                <w:szCs w:val="21"/>
              </w:rPr>
              <w:t>。</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rPr>
              <w:t>查《适用环境法律法规清单》</w:t>
            </w:r>
            <w:r>
              <w:rPr>
                <w:rFonts w:hint="eastAsia" w:ascii="华文细黑" w:hAnsi="华文细黑" w:eastAsia="华文细黑" w:cs="华文细黑"/>
                <w:szCs w:val="21"/>
                <w:lang w:val="en-US" w:eastAsia="zh-CN"/>
              </w:rPr>
              <w:t>和</w:t>
            </w:r>
            <w:r>
              <w:rPr>
                <w:rFonts w:hint="eastAsia" w:ascii="宋体" w:hAnsi="宋体" w:cs="宋体"/>
                <w:szCs w:val="21"/>
                <w:lang w:eastAsia="zh-CN"/>
              </w:rPr>
              <w:t>《劳动安全卫生法规清单》</w:t>
            </w:r>
            <w:r>
              <w:rPr>
                <w:rFonts w:hint="eastAsia" w:ascii="宋体" w:hAnsi="宋体" w:cs="宋体"/>
                <w:szCs w:val="21"/>
                <w:lang w:val="en-US" w:eastAsia="zh-CN"/>
              </w:rPr>
              <w:t>记录，内容包括法律法规内容、对应活动和符合性现状描述。</w:t>
            </w:r>
          </w:p>
          <w:p>
            <w:pPr>
              <w:spacing w:line="280" w:lineRule="exact"/>
              <w:ind w:firstLine="420" w:firstLineChars="200"/>
              <w:rPr>
                <w:rFonts w:hint="default" w:ascii="宋体" w:hAnsi="宋体" w:eastAsia="华文细黑" w:cs="宋体"/>
                <w:kern w:val="2"/>
                <w:sz w:val="21"/>
                <w:szCs w:val="21"/>
                <w:lang w:val="en-US" w:eastAsia="zh-CN" w:bidi="ar-SA"/>
              </w:rPr>
            </w:pPr>
            <w:r>
              <w:rPr>
                <w:rFonts w:hint="eastAsia" w:ascii="宋体" w:hAnsi="宋体" w:cs="宋体"/>
                <w:szCs w:val="21"/>
                <w:lang w:val="en-US" w:eastAsia="zh-CN"/>
              </w:rPr>
              <w:t>综上，组织在合规义务的识别、确定和评价方面基本满足标准要求。</w:t>
            </w:r>
          </w:p>
        </w:tc>
        <w:tc>
          <w:tcPr>
            <w:tcW w:w="1045" w:type="dxa"/>
            <w:vAlign w:val="top"/>
          </w:tcPr>
          <w:p>
            <w:pPr>
              <w:rPr>
                <w:rFonts w:hint="eastAsia" w:ascii="Times New Roman" w:hAnsi="Times New Roman" w:eastAsia="华文细黑" w:cs="Times New Roman"/>
                <w:kern w:val="2"/>
                <w:sz w:val="21"/>
                <w:lang w:val="en-US" w:eastAsia="zh-CN" w:bidi="ar-S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0" w:type="dxa"/>
            <w:vAlign w:val="top"/>
          </w:tcPr>
          <w:p>
            <w:pPr>
              <w:bidi w:val="0"/>
              <w:rPr>
                <w:rFonts w:hint="default"/>
                <w:lang w:val="en-US" w:eastAsia="zh-CN"/>
              </w:rPr>
            </w:pPr>
            <w:r>
              <w:rPr>
                <w:rFonts w:hint="eastAsia"/>
                <w:lang w:val="en-US" w:eastAsia="zh-CN"/>
              </w:rPr>
              <w:t>目标分解落实</w:t>
            </w:r>
          </w:p>
        </w:tc>
        <w:tc>
          <w:tcPr>
            <w:tcW w:w="1068" w:type="dxa"/>
            <w:vAlign w:val="top"/>
          </w:tcPr>
          <w:p>
            <w:pPr>
              <w:bidi w:val="0"/>
              <w:rPr>
                <w:rFonts w:hint="default"/>
                <w:lang w:val="en-US" w:eastAsia="zh-CN"/>
              </w:rPr>
            </w:pPr>
            <w:r>
              <w:rPr>
                <w:rFonts w:hint="eastAsia"/>
                <w:lang w:val="en-US" w:eastAsia="zh-CN"/>
              </w:rPr>
              <w:t>QEO6.2</w:t>
            </w:r>
          </w:p>
        </w:tc>
        <w:tc>
          <w:tcPr>
            <w:tcW w:w="12151" w:type="dxa"/>
            <w:vAlign w:val="top"/>
          </w:tcPr>
          <w:p>
            <w:pPr>
              <w:rPr>
                <w:rFonts w:hint="eastAsia" w:ascii="华文细黑" w:hAnsi="华文细黑" w:eastAsia="华文细黑" w:cs="华文细黑"/>
              </w:rPr>
            </w:pPr>
            <w:r>
              <w:rPr>
                <w:rFonts w:hint="eastAsia" w:ascii="华文细黑" w:hAnsi="华文细黑" w:eastAsia="华文细黑" w:cs="华文细黑"/>
                <w:sz w:val="21"/>
                <w:szCs w:val="21"/>
                <w:lang w:val="en-US" w:eastAsia="zh-CN"/>
              </w:rPr>
              <w:t xml:space="preserve"> 制定</w:t>
            </w:r>
            <w:r>
              <w:rPr>
                <w:rFonts w:hint="eastAsia" w:ascii="华文细黑" w:hAnsi="华文细黑" w:eastAsia="华文细黑" w:cs="华文细黑"/>
                <w:sz w:val="21"/>
                <w:szCs w:val="21"/>
              </w:rPr>
              <w:t>《目标制定与评价控制程序》</w:t>
            </w:r>
            <w:r>
              <w:rPr>
                <w:rFonts w:hint="eastAsia" w:ascii="华文细黑" w:hAnsi="华文细黑" w:eastAsia="华文细黑" w:cs="华文细黑"/>
                <w:sz w:val="21"/>
                <w:szCs w:val="21"/>
                <w:lang w:eastAsia="zh-CN"/>
              </w:rPr>
              <w:t>，</w:t>
            </w:r>
            <w:r>
              <w:rPr>
                <w:rFonts w:hint="eastAsia" w:ascii="华文细黑" w:hAnsi="华文细黑" w:eastAsia="华文细黑" w:cs="华文细黑"/>
              </w:rPr>
              <w:t>质量目标的制定符合部门主要工作流程实际情况，有针对性，可测量。与质量方针保持一致。明确了目标考核的具体方法和频次。</w:t>
            </w:r>
          </w:p>
          <w:p>
            <w:pPr>
              <w:rPr>
                <w:rFonts w:hint="default" w:ascii="楷体" w:hAnsi="楷体" w:eastAsia="楷体" w:cs="宋体"/>
                <w:b/>
                <w:lang w:val="en-US" w:eastAsia="zh-CN"/>
              </w:rPr>
            </w:pPr>
            <w:r>
              <w:rPr>
                <w:rFonts w:hint="eastAsia" w:ascii="楷体" w:hAnsi="楷体" w:eastAsia="楷体" w:cs="宋体"/>
                <w:b/>
                <w:lang w:val="en-US" w:eastAsia="zh-CN"/>
              </w:rPr>
              <w:t>质量目标：                              考核结果</w:t>
            </w:r>
          </w:p>
          <w:p>
            <w:pPr>
              <w:rPr>
                <w:rFonts w:hint="eastAsia" w:ascii="楷体" w:hAnsi="楷体" w:eastAsia="楷体" w:cs="宋体"/>
                <w:b/>
                <w:lang w:val="en-US" w:eastAsia="zh-CN"/>
              </w:rPr>
            </w:pPr>
            <w:r>
              <w:rPr>
                <w:rFonts w:hint="eastAsia" w:ascii="楷体" w:hAnsi="楷体" w:eastAsia="楷体" w:cs="宋体"/>
                <w:b w:val="0"/>
                <w:bCs/>
                <w:lang w:val="en-US" w:eastAsia="zh-CN"/>
              </w:rPr>
              <w:t xml:space="preserve">培训计划完成率100%                        </w:t>
            </w:r>
            <w:r>
              <w:rPr>
                <w:rFonts w:hint="eastAsia" w:ascii="Times New Roman" w:hAnsi="Times New Roman" w:eastAsia="宋体" w:cs="Times New Roman"/>
                <w:bCs/>
                <w:spacing w:val="10"/>
                <w:kern w:val="2"/>
                <w:sz w:val="21"/>
                <w:lang w:val="en-US" w:eastAsia="zh-CN" w:bidi="ar-SA"/>
              </w:rPr>
              <w:t xml:space="preserve">100   </w:t>
            </w:r>
            <w:r>
              <w:rPr>
                <w:rFonts w:hint="eastAsia" w:ascii="楷体" w:hAnsi="楷体" w:eastAsia="楷体" w:cs="宋体"/>
                <w:b/>
                <w:lang w:val="en-US" w:eastAsia="zh-CN"/>
              </w:rPr>
              <w:t xml:space="preserve"> </w:t>
            </w:r>
          </w:p>
          <w:p>
            <w:pPr>
              <w:pStyle w:val="2"/>
              <w:rPr>
                <w:rFonts w:hint="default"/>
                <w:lang w:val="en-US" w:eastAsia="zh-CN"/>
              </w:rPr>
            </w:pPr>
            <w:r>
              <w:rPr>
                <w:rFonts w:hint="eastAsia"/>
                <w:lang w:val="en-US" w:eastAsia="zh-CN"/>
              </w:rPr>
              <w:t>客户满意度95%以上。                  98</w:t>
            </w:r>
          </w:p>
          <w:p>
            <w:pPr>
              <w:pStyle w:val="2"/>
              <w:rPr>
                <w:rFonts w:hint="eastAsia" w:ascii="楷体" w:hAnsi="楷体" w:eastAsia="楷体" w:cs="宋体"/>
                <w:b/>
                <w:lang w:val="en-US" w:eastAsia="zh-CN"/>
              </w:rPr>
            </w:pPr>
            <w:r>
              <w:rPr>
                <w:rFonts w:hint="eastAsia" w:ascii="楷体" w:hAnsi="楷体" w:eastAsia="楷体" w:cs="宋体"/>
                <w:b/>
                <w:lang w:val="en-US" w:eastAsia="zh-CN"/>
              </w:rPr>
              <w:t>环境目标：</w:t>
            </w:r>
          </w:p>
          <w:p>
            <w:pPr>
              <w:pStyle w:val="2"/>
              <w:rPr>
                <w:rFonts w:hint="default" w:ascii="楷体" w:hAnsi="楷体" w:eastAsia="楷体" w:cs="宋体"/>
                <w:b w:val="0"/>
                <w:bCs w:val="0"/>
                <w:lang w:val="en-US" w:eastAsia="zh-CN"/>
              </w:rPr>
            </w:pPr>
            <w:r>
              <w:rPr>
                <w:rFonts w:hint="default" w:ascii="楷体" w:hAnsi="楷体" w:eastAsia="楷体" w:cs="宋体"/>
                <w:b w:val="0"/>
                <w:bCs w:val="0"/>
                <w:lang w:val="en-US" w:eastAsia="zh-CN"/>
              </w:rPr>
              <w:t>固体废弃物100%分类，合理处理；</w:t>
            </w:r>
            <w:r>
              <w:rPr>
                <w:rFonts w:hint="eastAsia" w:ascii="楷体" w:hAnsi="楷体" w:eastAsia="楷体" w:cs="宋体"/>
                <w:b w:val="0"/>
                <w:bCs w:val="0"/>
                <w:lang w:val="en-US" w:eastAsia="zh-CN"/>
              </w:rPr>
              <w:t xml:space="preserve">        100</w:t>
            </w:r>
          </w:p>
          <w:p>
            <w:pPr>
              <w:pStyle w:val="2"/>
              <w:rPr>
                <w:rFonts w:hint="eastAsia" w:ascii="楷体" w:hAnsi="楷体" w:eastAsia="楷体" w:cs="宋体"/>
                <w:b/>
                <w:lang w:val="en-US" w:eastAsia="zh-CN"/>
              </w:rPr>
            </w:pPr>
            <w:r>
              <w:rPr>
                <w:rFonts w:hint="eastAsia" w:ascii="楷体" w:hAnsi="楷体" w:eastAsia="楷体" w:cs="宋体"/>
                <w:b/>
                <w:lang w:val="en-US" w:eastAsia="zh-CN"/>
              </w:rPr>
              <w:t>职业健康安全目标：</w:t>
            </w:r>
          </w:p>
          <w:p>
            <w:pPr>
              <w:pStyle w:val="2"/>
              <w:rPr>
                <w:rFonts w:hint="default" w:ascii="楷体" w:hAnsi="楷体" w:eastAsia="楷体" w:cs="宋体"/>
                <w:b w:val="0"/>
                <w:bCs w:val="0"/>
                <w:lang w:val="en-US" w:eastAsia="zh-CN"/>
              </w:rPr>
            </w:pPr>
            <w:r>
              <w:rPr>
                <w:rFonts w:hint="default" w:ascii="楷体" w:hAnsi="楷体" w:eastAsia="楷体" w:cs="宋体"/>
                <w:b w:val="0"/>
                <w:bCs w:val="0"/>
                <w:lang w:val="en-US" w:eastAsia="zh-CN"/>
              </w:rPr>
              <w:t>火灾事故发生率为零</w:t>
            </w:r>
            <w:r>
              <w:rPr>
                <w:rFonts w:hint="eastAsia" w:ascii="楷体" w:hAnsi="楷体" w:eastAsia="楷体" w:cs="宋体"/>
                <w:b w:val="0"/>
                <w:bCs w:val="0"/>
                <w:lang w:val="en-US" w:eastAsia="zh-CN"/>
              </w:rPr>
              <w:t xml:space="preserve">                    0</w:t>
            </w:r>
          </w:p>
          <w:p>
            <w:pPr>
              <w:pStyle w:val="2"/>
              <w:rPr>
                <w:rFonts w:ascii="楷体" w:hAnsi="楷体" w:eastAsia="楷体"/>
                <w:bCs/>
              </w:rPr>
            </w:pPr>
            <w:r>
              <w:rPr>
                <w:rFonts w:hint="eastAsia" w:ascii="楷体" w:hAnsi="楷体" w:eastAsia="楷体" w:cs="宋体"/>
                <w:b w:val="0"/>
                <w:bCs w:val="0"/>
                <w:lang w:val="en-US" w:eastAsia="zh-CN"/>
              </w:rPr>
              <w:t>控制年工伤事故为≤3人次               0</w:t>
            </w:r>
            <w:r>
              <w:rPr>
                <w:rFonts w:hint="eastAsia" w:ascii="楷体" w:hAnsi="楷体" w:eastAsia="楷体"/>
                <w:bCs/>
              </w:rPr>
              <w:t xml:space="preserve">                    </w:t>
            </w:r>
          </w:p>
          <w:p>
            <w:pPr>
              <w:rPr>
                <w:rFonts w:hint="eastAsia" w:ascii="楷体" w:hAnsi="楷体" w:eastAsia="楷体" w:cs="Times New Roman"/>
                <w:b/>
                <w:kern w:val="2"/>
                <w:sz w:val="21"/>
                <w:lang w:val="en-US" w:eastAsia="zh-CN" w:bidi="ar-SA"/>
              </w:rPr>
            </w:pPr>
            <w:r>
              <w:rPr>
                <w:rFonts w:hint="eastAsia" w:ascii="楷体" w:hAnsi="楷体" w:eastAsia="楷体"/>
              </w:rPr>
              <w:t>考核期限为202</w:t>
            </w:r>
            <w:r>
              <w:rPr>
                <w:rFonts w:hint="eastAsia" w:ascii="楷体" w:hAnsi="楷体" w:eastAsia="楷体"/>
                <w:lang w:val="en-US" w:eastAsia="zh-CN"/>
              </w:rPr>
              <w:t>2</w:t>
            </w:r>
            <w:r>
              <w:rPr>
                <w:rFonts w:hint="eastAsia" w:ascii="楷体" w:hAnsi="楷体" w:eastAsia="楷体"/>
              </w:rPr>
              <w:t>.</w:t>
            </w:r>
            <w:r>
              <w:rPr>
                <w:rFonts w:hint="eastAsia" w:ascii="楷体" w:hAnsi="楷体" w:eastAsia="楷体"/>
                <w:lang w:val="en-US" w:eastAsia="zh-CN"/>
              </w:rPr>
              <w:t>7</w:t>
            </w:r>
            <w:r>
              <w:rPr>
                <w:rFonts w:hint="eastAsia" w:ascii="楷体" w:hAnsi="楷体" w:eastAsia="楷体"/>
              </w:rPr>
              <w:t>月-</w:t>
            </w:r>
            <w:r>
              <w:rPr>
                <w:rFonts w:hint="eastAsia" w:ascii="楷体" w:hAnsi="楷体" w:eastAsia="楷体"/>
                <w:lang w:val="en-US" w:eastAsia="zh-CN"/>
              </w:rPr>
              <w:t xml:space="preserve"> </w:t>
            </w:r>
            <w:r>
              <w:rPr>
                <w:rFonts w:hint="eastAsia" w:ascii="楷体" w:hAnsi="楷体" w:eastAsia="楷体"/>
              </w:rPr>
              <w:t>202</w:t>
            </w:r>
            <w:r>
              <w:rPr>
                <w:rFonts w:hint="eastAsia" w:ascii="楷体" w:hAnsi="楷体" w:eastAsia="楷体"/>
                <w:lang w:val="en-US" w:eastAsia="zh-CN"/>
              </w:rPr>
              <w:t>2</w:t>
            </w:r>
            <w:r>
              <w:rPr>
                <w:rFonts w:hint="eastAsia" w:ascii="楷体" w:hAnsi="楷体" w:eastAsia="楷体"/>
              </w:rPr>
              <w:t>.</w:t>
            </w:r>
            <w:r>
              <w:rPr>
                <w:rFonts w:hint="eastAsia" w:ascii="楷体" w:hAnsi="楷体" w:eastAsia="楷体"/>
                <w:lang w:val="en-US" w:eastAsia="zh-CN"/>
              </w:rPr>
              <w:t>12</w:t>
            </w:r>
            <w:r>
              <w:rPr>
                <w:rFonts w:hint="eastAsia" w:ascii="楷体" w:hAnsi="楷体" w:eastAsia="楷体"/>
              </w:rPr>
              <w:t>月，培训计划完成率为100%。</w:t>
            </w:r>
          </w:p>
        </w:tc>
        <w:tc>
          <w:tcPr>
            <w:tcW w:w="1045" w:type="dxa"/>
            <w:vAlign w:val="top"/>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30" w:type="dxa"/>
            <w:vAlign w:val="top"/>
          </w:tcPr>
          <w:p>
            <w:pPr>
              <w:bidi w:val="0"/>
              <w:rPr>
                <w:rFonts w:hint="default"/>
                <w:lang w:val="en-US" w:eastAsia="zh-CN"/>
              </w:rPr>
            </w:pPr>
            <w:r>
              <w:rPr>
                <w:rFonts w:hint="eastAsia"/>
                <w:lang w:val="en-US" w:eastAsia="zh-CN"/>
              </w:rPr>
              <w:t>人力资源管理</w:t>
            </w:r>
          </w:p>
        </w:tc>
        <w:tc>
          <w:tcPr>
            <w:tcW w:w="1068" w:type="dxa"/>
            <w:vAlign w:val="top"/>
          </w:tcPr>
          <w:p>
            <w:pPr>
              <w:bidi w:val="0"/>
              <w:rPr>
                <w:rFonts w:hint="default"/>
                <w:lang w:val="en-US" w:eastAsia="zh-CN"/>
              </w:rPr>
            </w:pPr>
            <w:r>
              <w:rPr>
                <w:rFonts w:hint="eastAsia"/>
                <w:lang w:val="en-US" w:eastAsia="zh-CN"/>
              </w:rPr>
              <w:t>EO7.2/7.3</w:t>
            </w:r>
          </w:p>
        </w:tc>
        <w:tc>
          <w:tcPr>
            <w:tcW w:w="12151"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组织员工共40人，其中管理人员7人，人员配置基本能够满足需求。</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组织对各岗位能力规定的要求包括了学历、技能、工作经验、培训经历等，基本符合能力确定的控制要求。</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抽查2022年度培训计划和培训实施记录如下：</w:t>
            </w:r>
          </w:p>
          <w:tbl>
            <w:tblPr>
              <w:tblStyle w:val="9"/>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2293"/>
              <w:gridCol w:w="1706"/>
              <w:gridCol w:w="1739"/>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Pr>
                <w:p>
                  <w:pPr>
                    <w:spacing w:line="280" w:lineRule="exact"/>
                    <w:rPr>
                      <w:rFonts w:hint="eastAsia"/>
                      <w:color w:val="auto"/>
                      <w:lang w:val="en-US" w:eastAsia="zh-CN"/>
                    </w:rPr>
                  </w:pPr>
                  <w:r>
                    <w:rPr>
                      <w:rFonts w:hint="eastAsia"/>
                      <w:color w:val="auto"/>
                      <w:lang w:val="en-US" w:eastAsia="zh-CN"/>
                    </w:rPr>
                    <w:t>计划培训日期</w:t>
                  </w:r>
                </w:p>
                <w:p>
                  <w:pPr>
                    <w:spacing w:line="280" w:lineRule="exact"/>
                    <w:rPr>
                      <w:rFonts w:hint="eastAsia"/>
                      <w:color w:val="auto"/>
                      <w:lang w:val="en-US" w:eastAsia="zh-CN"/>
                    </w:rPr>
                  </w:pPr>
                  <w:r>
                    <w:rPr>
                      <w:rFonts w:hint="eastAsia"/>
                      <w:color w:val="auto"/>
                      <w:lang w:val="en-US" w:eastAsia="zh-CN"/>
                    </w:rPr>
                    <w:t>/培训实施日期</w:t>
                  </w:r>
                </w:p>
              </w:tc>
              <w:tc>
                <w:tcPr>
                  <w:tcW w:w="2293" w:type="dxa"/>
                </w:tcPr>
                <w:p>
                  <w:pPr>
                    <w:bidi w:val="0"/>
                    <w:rPr>
                      <w:rFonts w:hint="eastAsia" w:ascii="Times New Roman" w:hAnsi="Times New Roman" w:cs="Times New Roman"/>
                      <w:lang w:val="en-US" w:eastAsia="zh-CN"/>
                    </w:rPr>
                  </w:pPr>
                  <w:r>
                    <w:rPr>
                      <w:rFonts w:hint="eastAsia" w:ascii="Times New Roman" w:hAnsi="Times New Roman" w:cs="Times New Roman"/>
                      <w:lang w:val="en-US" w:eastAsia="zh-CN"/>
                    </w:rPr>
                    <w:t>培训记录内容</w:t>
                  </w:r>
                </w:p>
              </w:tc>
              <w:tc>
                <w:tcPr>
                  <w:tcW w:w="1706" w:type="dxa"/>
                </w:tcPr>
                <w:p>
                  <w:pPr>
                    <w:spacing w:line="280" w:lineRule="exact"/>
                    <w:rPr>
                      <w:rFonts w:hint="eastAsia"/>
                      <w:color w:val="auto"/>
                      <w:lang w:val="en-US" w:eastAsia="zh-CN"/>
                    </w:rPr>
                  </w:pPr>
                  <w:r>
                    <w:rPr>
                      <w:rFonts w:hint="eastAsia"/>
                      <w:color w:val="auto"/>
                      <w:lang w:val="en-US" w:eastAsia="zh-CN"/>
                    </w:rPr>
                    <w:t>参加人员情况</w:t>
                  </w:r>
                </w:p>
              </w:tc>
              <w:tc>
                <w:tcPr>
                  <w:tcW w:w="1739" w:type="dxa"/>
                </w:tcPr>
                <w:p>
                  <w:pPr>
                    <w:spacing w:line="280" w:lineRule="exact"/>
                    <w:rPr>
                      <w:rFonts w:hint="eastAsia"/>
                      <w:color w:val="auto"/>
                      <w:lang w:val="en-US" w:eastAsia="zh-CN"/>
                    </w:rPr>
                  </w:pPr>
                  <w:r>
                    <w:rPr>
                      <w:rFonts w:hint="eastAsia"/>
                      <w:color w:val="auto"/>
                      <w:lang w:val="en-US" w:eastAsia="zh-CN"/>
                    </w:rPr>
                    <w:t>评价方式</w:t>
                  </w:r>
                </w:p>
              </w:tc>
              <w:tc>
                <w:tcPr>
                  <w:tcW w:w="1834" w:type="dxa"/>
                  <w:vAlign w:val="top"/>
                </w:tcPr>
                <w:p>
                  <w:pPr>
                    <w:spacing w:line="280" w:lineRule="exact"/>
                    <w:rPr>
                      <w:rFonts w:hint="eastAsia"/>
                      <w:color w:val="auto"/>
                      <w:lang w:val="en-US" w:eastAsia="zh-CN"/>
                    </w:rPr>
                  </w:pPr>
                  <w:r>
                    <w:rPr>
                      <w:rFonts w:hint="eastAsia"/>
                      <w:color w:val="auto"/>
                      <w:lang w:val="en-US" w:eastAsia="zh-CN"/>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bidi w:val="0"/>
                    <w:rPr>
                      <w:rFonts w:hint="eastAsia"/>
                      <w:lang w:val="en-US" w:eastAsia="zh-CN"/>
                    </w:rPr>
                  </w:pPr>
                  <w:r>
                    <w:rPr>
                      <w:rFonts w:hint="default" w:ascii="Times New Roman" w:hAnsi="Times New Roman" w:eastAsia="宋体" w:cs="Times New Roman"/>
                      <w:color w:val="000000"/>
                      <w:kern w:val="0"/>
                      <w:sz w:val="21"/>
                      <w:szCs w:val="21"/>
                      <w:lang w:val="en-US" w:eastAsia="zh-CN"/>
                    </w:rPr>
                    <w:t>2022.9/</w:t>
                  </w:r>
                  <w:r>
                    <w:rPr>
                      <w:rFonts w:hint="default" w:ascii="Times New Roman" w:hAnsi="Times New Roman" w:eastAsia="宋体" w:cs="Times New Roman"/>
                      <w:color w:val="000000"/>
                      <w:kern w:val="0"/>
                      <w:sz w:val="21"/>
                      <w:szCs w:val="21"/>
                      <w:lang w:eastAsia="zh-CN"/>
                    </w:rPr>
                    <w:t>202</w:t>
                  </w:r>
                  <w:r>
                    <w:rPr>
                      <w:rFonts w:hint="default" w:ascii="Times New Roman" w:hAnsi="Times New Roman" w:eastAsia="宋体" w:cs="Times New Roman"/>
                      <w:color w:val="000000"/>
                      <w:kern w:val="0"/>
                      <w:sz w:val="21"/>
                      <w:szCs w:val="21"/>
                      <w:lang w:val="en-US" w:eastAsia="zh-CN"/>
                    </w:rPr>
                    <w:t>2.9.8</w:t>
                  </w: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叁标三体系认证基本知识培训</w:t>
                  </w:r>
                </w:p>
              </w:tc>
              <w:tc>
                <w:tcPr>
                  <w:tcW w:w="1706" w:type="dxa"/>
                  <w:vAlign w:val="center"/>
                </w:tcPr>
                <w:p>
                  <w:pPr>
                    <w:bidi w:val="0"/>
                    <w:rPr>
                      <w:rFonts w:hint="eastAsia"/>
                      <w:lang w:val="en-US" w:eastAsia="zh-CN"/>
                    </w:rPr>
                  </w:pPr>
                  <w:r>
                    <w:rPr>
                      <w:rFonts w:hint="eastAsia"/>
                      <w:lang w:val="en-US" w:eastAsia="zh-CN"/>
                    </w:rPr>
                    <w:t>各部门主管人员</w:t>
                  </w:r>
                </w:p>
              </w:tc>
              <w:tc>
                <w:tcPr>
                  <w:tcW w:w="1739" w:type="dxa"/>
                  <w:vAlign w:val="center"/>
                </w:tcPr>
                <w:p>
                  <w:pPr>
                    <w:bidi w:val="0"/>
                    <w:rPr>
                      <w:rFonts w:hint="eastAsia"/>
                      <w:lang w:val="en-US" w:eastAsia="zh-CN"/>
                    </w:rPr>
                  </w:pPr>
                  <w:r>
                    <w:rPr>
                      <w:rFonts w:hint="eastAsia"/>
                      <w:lang w:val="en-US" w:eastAsia="zh-CN"/>
                    </w:rPr>
                    <w:sym w:font="Wingdings" w:char="00A8"/>
                  </w:r>
                  <w:r>
                    <w:rPr>
                      <w:rFonts w:hint="eastAsia"/>
                      <w:lang w:val="en-US" w:eastAsia="zh-CN"/>
                    </w:rPr>
                    <w:t xml:space="preserve">笔试 </w:t>
                  </w:r>
                  <w:r>
                    <w:rPr>
                      <w:rFonts w:hint="eastAsia"/>
                      <w:lang w:val="en-US" w:eastAsia="zh-CN"/>
                    </w:rPr>
                    <w:sym w:font="Wingdings" w:char="00FE"/>
                  </w:r>
                  <w:r>
                    <w:rPr>
                      <w:rFonts w:hint="eastAsia"/>
                      <w:lang w:val="en-US" w:eastAsia="zh-CN"/>
                    </w:rPr>
                    <w:t>口试</w:t>
                  </w:r>
                </w:p>
              </w:tc>
              <w:tc>
                <w:tcPr>
                  <w:tcW w:w="1834" w:type="dxa"/>
                  <w:vAlign w:val="center"/>
                </w:tcPr>
                <w:p>
                  <w:pPr>
                    <w:bidi w:val="0"/>
                    <w:rPr>
                      <w:rFonts w:hint="eastAsia"/>
                      <w:lang w:val="en-US" w:eastAsia="zh-CN"/>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bidi w:val="0"/>
                    <w:rPr>
                      <w:rFonts w:hint="eastAsia"/>
                      <w:lang w:val="en-US" w:eastAsia="zh-CN"/>
                    </w:rPr>
                  </w:pPr>
                  <w:r>
                    <w:rPr>
                      <w:rFonts w:hint="eastAsia"/>
                      <w:lang w:val="en-US" w:eastAsia="zh-CN"/>
                    </w:rPr>
                    <w:t>2022.9/2022.9.10</w:t>
                  </w:r>
                </w:p>
              </w:tc>
              <w:tc>
                <w:tcPr>
                  <w:tcW w:w="2293" w:type="dxa"/>
                  <w:vAlign w:val="center"/>
                </w:tcPr>
                <w:p>
                  <w:pPr>
                    <w:bidi w:val="0"/>
                    <w:rPr>
                      <w:rFonts w:hint="default"/>
                      <w:lang w:val="en-US" w:eastAsia="zh-CN"/>
                    </w:rPr>
                  </w:pPr>
                  <w:r>
                    <w:rPr>
                      <w:rFonts w:hint="eastAsia"/>
                    </w:rPr>
                    <w:t>本公司管理体系文件、管理方针、管理目标和质量意识培训</w:t>
                  </w:r>
                </w:p>
              </w:tc>
              <w:tc>
                <w:tcPr>
                  <w:tcW w:w="1706" w:type="dxa"/>
                  <w:vAlign w:val="center"/>
                </w:tcPr>
                <w:p>
                  <w:pPr>
                    <w:bidi w:val="0"/>
                    <w:rPr>
                      <w:rFonts w:hint="eastAsia"/>
                      <w:lang w:val="en-US" w:eastAsia="zh-CN"/>
                    </w:rPr>
                  </w:pPr>
                  <w:r>
                    <w:rPr>
                      <w:rFonts w:hint="eastAsia"/>
                      <w:lang w:val="en-US" w:eastAsia="zh-CN"/>
                    </w:rPr>
                    <w:t>各部门主管人员</w:t>
                  </w:r>
                </w:p>
              </w:tc>
              <w:tc>
                <w:tcPr>
                  <w:tcW w:w="1739" w:type="dxa"/>
                  <w:vAlign w:val="center"/>
                </w:tcPr>
                <w:p>
                  <w:pPr>
                    <w:bidi w:val="0"/>
                    <w:rPr>
                      <w:rFonts w:hint="eastAsia"/>
                      <w:lang w:val="en-US" w:eastAsia="zh-CN"/>
                    </w:rPr>
                  </w:pPr>
                  <w:r>
                    <w:rPr>
                      <w:rFonts w:hint="eastAsia"/>
                      <w:lang w:val="en-US" w:eastAsia="zh-CN"/>
                    </w:rPr>
                    <w:sym w:font="Wingdings" w:char="00A8"/>
                  </w:r>
                  <w:r>
                    <w:rPr>
                      <w:rFonts w:hint="eastAsia"/>
                      <w:lang w:val="en-US" w:eastAsia="zh-CN"/>
                    </w:rPr>
                    <w:t xml:space="preserve">笔试 </w:t>
                  </w:r>
                  <w:r>
                    <w:rPr>
                      <w:rFonts w:hint="eastAsia"/>
                      <w:lang w:val="en-US" w:eastAsia="zh-CN"/>
                    </w:rPr>
                    <w:sym w:font="Wingdings" w:char="00FE"/>
                  </w:r>
                  <w:r>
                    <w:rPr>
                      <w:rFonts w:hint="eastAsia"/>
                      <w:lang w:val="en-US" w:eastAsia="zh-CN"/>
                    </w:rPr>
                    <w:t>口试</w:t>
                  </w:r>
                </w:p>
              </w:tc>
              <w:tc>
                <w:tcPr>
                  <w:tcW w:w="1834" w:type="dxa"/>
                  <w:vAlign w:val="center"/>
                </w:tcPr>
                <w:p>
                  <w:pPr>
                    <w:bidi w:val="0"/>
                    <w:rPr>
                      <w:rFonts w:hint="eastAsia"/>
                      <w:lang w:val="en-US" w:eastAsia="zh-CN"/>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eastAsia"/>
                      <w:color w:val="FF0000"/>
                      <w:lang w:val="en-US" w:eastAsia="zh-CN"/>
                    </w:rPr>
                  </w:pPr>
                  <w:r>
                    <w:rPr>
                      <w:rFonts w:hint="eastAsia"/>
                      <w:lang w:val="en-US" w:eastAsia="zh-CN"/>
                    </w:rPr>
                    <w:t>2022.10/2022.10.8</w:t>
                  </w: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rPr>
                  </w:pPr>
                  <w:r>
                    <w:rPr>
                      <w:rFonts w:hint="eastAsia" w:ascii="Times New Roman" w:hAnsi="Times New Roman" w:cs="Times New Roman"/>
                    </w:rPr>
                    <w:t>公共卫生事件宣传教育</w:t>
                  </w:r>
                </w:p>
              </w:tc>
              <w:tc>
                <w:tcPr>
                  <w:tcW w:w="1706" w:type="dxa"/>
                  <w:vAlign w:val="center"/>
                </w:tcPr>
                <w:p>
                  <w:pPr>
                    <w:bidi w:val="0"/>
                    <w:rPr>
                      <w:rFonts w:hint="eastAsia" w:ascii="Times New Roman" w:hAnsi="Times New Roman" w:eastAsia="华文细黑" w:cs="Times New Roman"/>
                      <w:kern w:val="2"/>
                      <w:sz w:val="21"/>
                      <w:lang w:val="en-US" w:eastAsia="zh-CN" w:bidi="ar-SA"/>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公司全体员工</w:t>
                  </w:r>
                </w:p>
              </w:tc>
              <w:tc>
                <w:tcPr>
                  <w:tcW w:w="1739" w:type="dxa"/>
                  <w:vAlign w:val="center"/>
                </w:tcPr>
                <w:p>
                  <w:pPr>
                    <w:bidi w:val="0"/>
                    <w:rPr>
                      <w:rFonts w:hint="eastAsia" w:ascii="Times New Roman" w:hAnsi="Times New Roman" w:eastAsia="华文细黑" w:cs="Times New Roman"/>
                      <w:kern w:val="2"/>
                      <w:sz w:val="21"/>
                      <w:lang w:val="en-US" w:eastAsia="zh-CN" w:bidi="ar-SA"/>
                    </w:rPr>
                  </w:pPr>
                  <w:r>
                    <w:rPr>
                      <w:rFonts w:hint="eastAsia"/>
                      <w:lang w:val="en-US" w:eastAsia="zh-CN"/>
                    </w:rPr>
                    <w:sym w:font="Wingdings" w:char="00A8"/>
                  </w:r>
                  <w:r>
                    <w:rPr>
                      <w:rFonts w:hint="eastAsia"/>
                      <w:lang w:val="en-US" w:eastAsia="zh-CN"/>
                    </w:rPr>
                    <w:t xml:space="preserve">笔试 </w:t>
                  </w:r>
                  <w:r>
                    <w:rPr>
                      <w:rFonts w:hint="eastAsia"/>
                      <w:lang w:val="en-US" w:eastAsia="zh-CN"/>
                    </w:rPr>
                    <w:sym w:font="Wingdings" w:char="00FE"/>
                  </w:r>
                  <w:r>
                    <w:rPr>
                      <w:rFonts w:hint="eastAsia"/>
                      <w:lang w:val="en-US" w:eastAsia="zh-CN"/>
                    </w:rPr>
                    <w:t>口试</w:t>
                  </w:r>
                </w:p>
              </w:tc>
              <w:tc>
                <w:tcPr>
                  <w:tcW w:w="1834" w:type="dxa"/>
                  <w:vAlign w:val="center"/>
                </w:tcPr>
                <w:p>
                  <w:pPr>
                    <w:bidi w:val="0"/>
                    <w:rPr>
                      <w:rFonts w:hint="eastAsia" w:ascii="Times New Roman" w:hAnsi="Times New Roman" w:eastAsia="华文细黑" w:cs="Times New Roman"/>
                      <w:kern w:val="2"/>
                      <w:sz w:val="21"/>
                      <w:lang w:val="en-US" w:eastAsia="zh-CN" w:bidi="ar-SA"/>
                    </w:rPr>
                  </w:pPr>
                  <w:r>
                    <w:rPr>
                      <w:rFonts w:hint="eastAsia"/>
                      <w:lang w:val="en-US" w:eastAsia="zh-CN"/>
                    </w:rPr>
                    <w:sym w:font="Wingdings" w:char="00FE"/>
                  </w:r>
                  <w:r>
                    <w:rPr>
                      <w:rFonts w:hint="eastAsia"/>
                      <w:lang w:val="en-US" w:eastAsia="zh-CN"/>
                    </w:rPr>
                    <w:t xml:space="preserve">有效  </w:t>
                  </w:r>
                  <w:r>
                    <w:rPr>
                      <w:rFonts w:hint="eastAsia"/>
                      <w:lang w:val="en-US" w:eastAsia="zh-CN"/>
                    </w:rPr>
                    <w:sym w:font="Wingdings" w:char="00A8"/>
                  </w:r>
                  <w:r>
                    <w:rPr>
                      <w:rFonts w:hint="eastAsia"/>
                      <w:lang w:val="en-US" w:eastAsia="zh-CN"/>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280" w:lineRule="exact"/>
                    <w:jc w:val="left"/>
                    <w:rPr>
                      <w:rFonts w:hint="default"/>
                      <w:color w:val="auto"/>
                      <w:lang w:val="en-US" w:eastAsia="zh-CN"/>
                    </w:rPr>
                  </w:pPr>
                  <w:r>
                    <w:rPr>
                      <w:rFonts w:hint="eastAsia"/>
                      <w:lang w:val="en-US" w:eastAsia="zh-CN"/>
                    </w:rPr>
                    <w:t>2022.10/2022.10.10</w:t>
                  </w:r>
                </w:p>
              </w:tc>
              <w:tc>
                <w:tcPr>
                  <w:tcW w:w="2293" w:type="dxa"/>
                  <w:vAlign w:val="center"/>
                </w:tcPr>
                <w:p>
                  <w:pPr>
                    <w:spacing w:line="280" w:lineRule="exact"/>
                    <w:rPr>
                      <w:rFonts w:hint="default"/>
                      <w:color w:val="auto"/>
                      <w:lang w:val="en-US" w:eastAsia="zh-CN"/>
                    </w:rPr>
                  </w:pPr>
                  <w:r>
                    <w:rPr>
                      <w:rFonts w:hint="eastAsia"/>
                      <w:color w:val="auto"/>
                      <w:lang w:val="en-US" w:eastAsia="zh-CN"/>
                    </w:rPr>
                    <w:t>消防知识、应急措施</w:t>
                  </w:r>
                </w:p>
              </w:tc>
              <w:tc>
                <w:tcPr>
                  <w:tcW w:w="1706" w:type="dxa"/>
                  <w:vAlign w:val="center"/>
                </w:tcPr>
                <w:p>
                  <w:pPr>
                    <w:spacing w:line="280" w:lineRule="exact"/>
                    <w:rPr>
                      <w:rFonts w:hint="default"/>
                      <w:color w:val="auto"/>
                      <w:lang w:val="en-US" w:eastAsia="zh-CN"/>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全体员工</w:t>
                  </w:r>
                </w:p>
              </w:tc>
              <w:tc>
                <w:tcPr>
                  <w:tcW w:w="1739" w:type="dxa"/>
                  <w:vAlign w:val="center"/>
                </w:tcPr>
                <w:p>
                  <w:pPr>
                    <w:spacing w:line="280" w:lineRule="exact"/>
                    <w:rPr>
                      <w:rFonts w:hint="eastAsia"/>
                      <w:color w:val="auto"/>
                      <w:lang w:val="en-US" w:eastAsia="zh-CN"/>
                    </w:rPr>
                  </w:pPr>
                  <w:r>
                    <w:rPr>
                      <w:rFonts w:hint="eastAsia"/>
                      <w:color w:val="auto"/>
                      <w:lang w:val="en-US" w:eastAsia="zh-CN"/>
                    </w:rPr>
                    <w:sym w:font="Wingdings" w:char="00FE"/>
                  </w:r>
                  <w:r>
                    <w:rPr>
                      <w:rFonts w:hint="eastAsia"/>
                      <w:color w:val="auto"/>
                      <w:lang w:val="en-US" w:eastAsia="zh-CN"/>
                    </w:rPr>
                    <w:t xml:space="preserve">笔试 </w:t>
                  </w:r>
                  <w:r>
                    <w:rPr>
                      <w:rFonts w:hint="eastAsia"/>
                      <w:color w:val="auto"/>
                      <w:lang w:val="en-US" w:eastAsia="zh-CN"/>
                    </w:rPr>
                    <w:sym w:font="Wingdings" w:char="00FE"/>
                  </w:r>
                  <w:r>
                    <w:rPr>
                      <w:rFonts w:hint="eastAsia"/>
                      <w:color w:val="auto"/>
                      <w:lang w:val="en-US" w:eastAsia="zh-CN"/>
                    </w:rPr>
                    <w:t>口试</w:t>
                  </w:r>
                </w:p>
              </w:tc>
              <w:tc>
                <w:tcPr>
                  <w:tcW w:w="1834" w:type="dxa"/>
                  <w:vAlign w:val="center"/>
                </w:tcPr>
                <w:p>
                  <w:pPr>
                    <w:spacing w:line="280" w:lineRule="exact"/>
                    <w:rPr>
                      <w:rFonts w:hint="eastAsia"/>
                      <w:color w:val="auto"/>
                      <w:lang w:val="en-US" w:eastAsia="zh-CN"/>
                    </w:rPr>
                  </w:pPr>
                  <w:r>
                    <w:rPr>
                      <w:rFonts w:hint="eastAsia"/>
                      <w:lang w:val="en-US" w:eastAsia="zh-CN"/>
                    </w:rPr>
                    <w:sym w:font="Wingdings" w:char="00FE"/>
                  </w:r>
                  <w:r>
                    <w:rPr>
                      <w:rFonts w:hint="eastAsia"/>
                      <w:color w:val="auto"/>
                      <w:lang w:val="en-US" w:eastAsia="zh-CN"/>
                    </w:rPr>
                    <w:t xml:space="preserve">有效  </w:t>
                  </w:r>
                  <w:r>
                    <w:rPr>
                      <w:rFonts w:hint="eastAsia"/>
                      <w:lang w:val="en-US" w:eastAsia="zh-CN"/>
                    </w:rPr>
                    <w:sym w:font="Wingdings" w:char="00A8"/>
                  </w:r>
                  <w:r>
                    <w:rPr>
                      <w:rFonts w:hint="eastAsia"/>
                      <w:color w:val="auto"/>
                      <w:lang w:val="en-US" w:eastAsia="zh-CN"/>
                    </w:rPr>
                    <w:t>不足</w:t>
                  </w:r>
                </w:p>
              </w:tc>
            </w:tr>
          </w:tbl>
          <w:p>
            <w:pPr>
              <w:spacing w:line="280" w:lineRule="exact"/>
              <w:ind w:firstLine="420" w:firstLineChars="200"/>
              <w:rPr>
                <w:rFonts w:hint="eastAsia"/>
                <w:color w:val="auto"/>
                <w:lang w:val="en-US" w:eastAsia="zh-CN"/>
              </w:rPr>
            </w:pPr>
            <w:r>
              <w:rPr>
                <w:rFonts w:hint="eastAsia"/>
                <w:color w:val="auto"/>
                <w:lang w:val="en-US" w:eastAsia="zh-CN"/>
              </w:rPr>
              <w:t>培训实施记录与培训计划基本一致，符合要求。</w:t>
            </w:r>
          </w:p>
          <w:p>
            <w:pPr>
              <w:spacing w:line="280" w:lineRule="exact"/>
              <w:ind w:firstLine="420" w:firstLineChars="200"/>
              <w:rPr>
                <w:rFonts w:hint="eastAsia"/>
                <w:color w:val="auto"/>
                <w:lang w:val="en-US" w:eastAsia="zh-CN"/>
              </w:rPr>
            </w:pPr>
            <w:r>
              <w:rPr>
                <w:rFonts w:hint="eastAsia"/>
                <w:color w:val="auto"/>
                <w:lang w:val="en-US" w:eastAsia="zh-CN"/>
              </w:rPr>
              <w:t>抽查三级安全教育记录如下：</w:t>
            </w:r>
          </w:p>
          <w:p>
            <w:pPr>
              <w:spacing w:line="280" w:lineRule="exact"/>
              <w:ind w:firstLine="420" w:firstLineChars="200"/>
              <w:rPr>
                <w:rFonts w:hint="default"/>
                <w:color w:val="auto"/>
                <w:lang w:val="en-US" w:eastAsia="zh-CN"/>
              </w:rPr>
            </w:pPr>
            <w:r>
              <w:rPr>
                <w:rFonts w:hint="eastAsia"/>
                <w:color w:val="auto"/>
                <w:lang w:val="en-US" w:eastAsia="zh-CN"/>
              </w:rPr>
              <w:t>① 姓名：王跃；岗位：生产部；②：俞青；岗位：营销部；记录内容包括公司级、车间级班组级安全教育，有培训者和受训者签名和日期，有相应的考试合格试卷，均可追溯。</w:t>
            </w:r>
          </w:p>
          <w:p>
            <w:pPr>
              <w:spacing w:line="280" w:lineRule="exact"/>
              <w:ind w:firstLine="420" w:firstLineChars="200"/>
              <w:rPr>
                <w:rFonts w:hint="eastAsia"/>
                <w:lang w:val="en-US" w:eastAsia="zh-CN"/>
              </w:rPr>
            </w:pPr>
            <w:r>
              <w:rPr>
                <w:rFonts w:hint="eastAsia"/>
                <w:lang w:val="en-US" w:eastAsia="zh-CN"/>
              </w:rPr>
              <w:t>抽查执业资格证书如下：</w:t>
            </w:r>
          </w:p>
          <w:tbl>
            <w:tblPr>
              <w:tblStyle w:val="9"/>
              <w:tblpPr w:leftFromText="180" w:rightFromText="180" w:vertAnchor="text" w:horzAnchor="page" w:tblpXSpec="center" w:tblpY="153"/>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1231"/>
              <w:gridCol w:w="3090"/>
              <w:gridCol w:w="2587"/>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86" w:type="pct"/>
                  <w:shd w:val="clear" w:color="auto" w:fill="auto"/>
                </w:tcPr>
                <w:p>
                  <w:pPr>
                    <w:spacing w:line="280" w:lineRule="exact"/>
                    <w:rPr>
                      <w:rFonts w:hint="eastAsia"/>
                      <w:color w:val="auto"/>
                      <w:lang w:val="en-US" w:eastAsia="zh-CN"/>
                    </w:rPr>
                  </w:pPr>
                  <w:r>
                    <w:rPr>
                      <w:rFonts w:hint="eastAsia"/>
                      <w:color w:val="auto"/>
                      <w:lang w:val="en-US" w:eastAsia="zh-CN"/>
                    </w:rPr>
                    <w:t>特种设备操作/特种作业人员</w:t>
                  </w:r>
                </w:p>
              </w:tc>
              <w:tc>
                <w:tcPr>
                  <w:tcW w:w="509" w:type="pct"/>
                  <w:shd w:val="clear" w:color="auto" w:fill="auto"/>
                </w:tcPr>
                <w:p>
                  <w:pPr>
                    <w:spacing w:line="280" w:lineRule="exact"/>
                    <w:rPr>
                      <w:rFonts w:hint="eastAsia"/>
                      <w:color w:val="auto"/>
                      <w:lang w:val="en-US" w:eastAsia="zh-CN"/>
                    </w:rPr>
                  </w:pPr>
                  <w:r>
                    <w:rPr>
                      <w:rFonts w:hint="eastAsia"/>
                      <w:color w:val="auto"/>
                      <w:lang w:val="en-US" w:eastAsia="zh-CN"/>
                    </w:rPr>
                    <w:t>姓名</w:t>
                  </w:r>
                </w:p>
              </w:tc>
              <w:tc>
                <w:tcPr>
                  <w:tcW w:w="1278" w:type="pct"/>
                  <w:shd w:val="clear" w:color="auto" w:fill="auto"/>
                </w:tcPr>
                <w:p>
                  <w:pPr>
                    <w:spacing w:line="280" w:lineRule="exact"/>
                    <w:rPr>
                      <w:rFonts w:hint="eastAsia"/>
                      <w:color w:val="auto"/>
                      <w:lang w:val="en-US" w:eastAsia="zh-CN"/>
                    </w:rPr>
                  </w:pPr>
                  <w:r>
                    <w:rPr>
                      <w:rFonts w:hint="eastAsia"/>
                      <w:color w:val="auto"/>
                      <w:lang w:val="en-US" w:eastAsia="zh-CN"/>
                    </w:rPr>
                    <w:t>资格证书编号</w:t>
                  </w:r>
                </w:p>
              </w:tc>
              <w:tc>
                <w:tcPr>
                  <w:tcW w:w="1070" w:type="pct"/>
                  <w:shd w:val="clear" w:color="auto" w:fill="auto"/>
                </w:tcPr>
                <w:p>
                  <w:pPr>
                    <w:spacing w:line="280" w:lineRule="exact"/>
                    <w:rPr>
                      <w:rFonts w:hint="eastAsia"/>
                      <w:color w:val="auto"/>
                      <w:lang w:val="en-US" w:eastAsia="zh-CN"/>
                    </w:rPr>
                  </w:pPr>
                  <w:r>
                    <w:rPr>
                      <w:rFonts w:hint="eastAsia"/>
                      <w:color w:val="auto"/>
                      <w:lang w:val="en-US" w:eastAsia="zh-CN"/>
                    </w:rPr>
                    <w:t>有效期期限</w:t>
                  </w:r>
                </w:p>
              </w:tc>
              <w:tc>
                <w:tcPr>
                  <w:tcW w:w="955" w:type="pct"/>
                  <w:shd w:val="clear" w:color="auto" w:fill="auto"/>
                </w:tcPr>
                <w:p>
                  <w:pPr>
                    <w:spacing w:line="280" w:lineRule="exact"/>
                    <w:rPr>
                      <w:rFonts w:hint="eastAsia"/>
                      <w:color w:val="auto"/>
                      <w:lang w:val="en-US" w:eastAsia="zh-CN"/>
                    </w:rPr>
                  </w:pPr>
                  <w:r>
                    <w:rPr>
                      <w:rFonts w:hint="eastAsia"/>
                      <w:color w:val="auto"/>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86" w:type="pct"/>
                  <w:vAlign w:val="top"/>
                </w:tcPr>
                <w:p>
                  <w:pPr>
                    <w:spacing w:line="280" w:lineRule="exact"/>
                    <w:rPr>
                      <w:rFonts w:hint="eastAsia"/>
                      <w:color w:val="auto"/>
                      <w:lang w:val="en-US" w:eastAsia="zh-CN"/>
                    </w:rPr>
                  </w:pPr>
                  <w:r>
                    <w:rPr>
                      <w:rFonts w:hint="eastAsia"/>
                      <w:color w:val="auto"/>
                      <w:lang w:val="en-US" w:eastAsia="zh-CN"/>
                    </w:rPr>
                    <w:t>叉车司机</w:t>
                  </w:r>
                </w:p>
              </w:tc>
              <w:tc>
                <w:tcPr>
                  <w:tcW w:w="509" w:type="pct"/>
                  <w:vAlign w:val="center"/>
                </w:tcPr>
                <w:p>
                  <w:pPr>
                    <w:spacing w:line="280" w:lineRule="exact"/>
                    <w:rPr>
                      <w:rFonts w:hint="default"/>
                      <w:color w:val="auto"/>
                      <w:lang w:val="en-US" w:eastAsia="zh-CN"/>
                    </w:rPr>
                  </w:pPr>
                  <w:r>
                    <w:rPr>
                      <w:rFonts w:hint="eastAsia"/>
                      <w:color w:val="auto"/>
                      <w:lang w:val="en-US" w:eastAsia="zh-CN"/>
                    </w:rPr>
                    <w:t>梁发军</w:t>
                  </w:r>
                </w:p>
              </w:tc>
              <w:tc>
                <w:tcPr>
                  <w:tcW w:w="1278" w:type="pct"/>
                  <w:vAlign w:val="center"/>
                </w:tcPr>
                <w:p>
                  <w:pPr>
                    <w:spacing w:line="280" w:lineRule="exact"/>
                    <w:rPr>
                      <w:rFonts w:hint="default"/>
                      <w:color w:val="auto"/>
                      <w:lang w:val="en-US" w:eastAsia="zh-CN"/>
                    </w:rPr>
                  </w:pPr>
                  <w:r>
                    <w:rPr>
                      <w:rFonts w:hint="eastAsia"/>
                      <w:color w:val="auto"/>
                      <w:lang w:val="en-US" w:eastAsia="zh-CN"/>
                    </w:rPr>
                    <w:t>AHJP20220621BJZ0001</w:t>
                  </w:r>
                </w:p>
              </w:tc>
              <w:tc>
                <w:tcPr>
                  <w:tcW w:w="1070" w:type="pct"/>
                  <w:vAlign w:val="top"/>
                </w:tcPr>
                <w:p>
                  <w:pPr>
                    <w:spacing w:line="280" w:lineRule="exact"/>
                    <w:rPr>
                      <w:rFonts w:hint="eastAsia"/>
                      <w:color w:val="auto"/>
                      <w:lang w:val="en-US" w:eastAsia="zh-CN"/>
                    </w:rPr>
                  </w:pPr>
                  <w:r>
                    <w:rPr>
                      <w:rFonts w:hint="eastAsia"/>
                      <w:color w:val="auto"/>
                      <w:lang w:val="en-US" w:eastAsia="zh-CN"/>
                    </w:rPr>
                    <w:t>2028年6月</w:t>
                  </w:r>
                </w:p>
              </w:tc>
              <w:tc>
                <w:tcPr>
                  <w:tcW w:w="955" w:type="pct"/>
                  <w:vAlign w:val="top"/>
                </w:tcPr>
                <w:p>
                  <w:pPr>
                    <w:spacing w:line="280" w:lineRule="exact"/>
                    <w:rPr>
                      <w:rFonts w:hint="eastAsia"/>
                      <w:color w:val="auto"/>
                      <w:lang w:val="en-US" w:eastAsia="zh-CN"/>
                    </w:rPr>
                  </w:pPr>
                  <w:r>
                    <w:rPr>
                      <w:rFonts w:hint="eastAsia"/>
                      <w:lang w:val="en-US" w:eastAsia="zh-CN"/>
                    </w:rPr>
                    <w:t xml:space="preserve"> </w:t>
                  </w:r>
                  <w:r>
                    <w:rPr>
                      <w:rFonts w:hint="eastAsia"/>
                      <w:lang w:val="en-US" w:eastAsia="zh-CN"/>
                    </w:rPr>
                    <w:sym w:font="Wingdings" w:char="00FE"/>
                  </w:r>
                  <w:r>
                    <w:rPr>
                      <w:rFonts w:hint="eastAsia"/>
                      <w:color w:val="auto"/>
                      <w:lang w:val="en-US" w:eastAsia="zh-CN"/>
                    </w:rPr>
                    <w:t xml:space="preserve">有效  </w:t>
                  </w:r>
                  <w:r>
                    <w:rPr>
                      <w:rFonts w:hint="eastAsia"/>
                      <w:lang w:val="en-US" w:eastAsia="zh-CN"/>
                    </w:rPr>
                    <w:t xml:space="preserve"> </w:t>
                  </w:r>
                  <w:r>
                    <w:rPr>
                      <w:rFonts w:hint="eastAsia"/>
                      <w:lang w:val="en-US" w:eastAsia="zh-CN"/>
                    </w:rPr>
                    <w:sym w:font="Wingdings" w:char="00A8"/>
                  </w:r>
                  <w:r>
                    <w:rPr>
                      <w:rFonts w:hint="eastAsia"/>
                      <w:color w:val="auto"/>
                      <w:lang w:val="en-US" w:eastAsia="zh-CN"/>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86" w:type="pct"/>
                  <w:vAlign w:val="top"/>
                </w:tcPr>
                <w:p>
                  <w:pPr>
                    <w:spacing w:line="280" w:lineRule="exact"/>
                    <w:rPr>
                      <w:rFonts w:hint="default"/>
                      <w:color w:val="auto"/>
                      <w:lang w:val="en-US" w:eastAsia="zh-CN"/>
                    </w:rPr>
                  </w:pPr>
                  <w:r>
                    <w:rPr>
                      <w:rFonts w:hint="eastAsia"/>
                      <w:color w:val="auto"/>
                      <w:lang w:val="en-US" w:eastAsia="zh-CN"/>
                    </w:rPr>
                    <w:t>低压电工</w:t>
                  </w:r>
                </w:p>
              </w:tc>
              <w:tc>
                <w:tcPr>
                  <w:tcW w:w="509" w:type="pct"/>
                  <w:vAlign w:val="center"/>
                </w:tcPr>
                <w:p>
                  <w:pPr>
                    <w:spacing w:line="280" w:lineRule="exact"/>
                    <w:rPr>
                      <w:rFonts w:hint="default"/>
                      <w:color w:val="auto"/>
                      <w:lang w:val="en-US" w:eastAsia="zh-CN"/>
                    </w:rPr>
                  </w:pPr>
                  <w:r>
                    <w:rPr>
                      <w:rFonts w:hint="eastAsia"/>
                      <w:color w:val="auto"/>
                      <w:lang w:val="en-US" w:eastAsia="zh-CN"/>
                    </w:rPr>
                    <w:t>石金胜</w:t>
                  </w:r>
                </w:p>
              </w:tc>
              <w:tc>
                <w:tcPr>
                  <w:tcW w:w="1278" w:type="pct"/>
                  <w:vAlign w:val="center"/>
                </w:tcPr>
                <w:p>
                  <w:pPr>
                    <w:spacing w:line="280" w:lineRule="exact"/>
                    <w:rPr>
                      <w:rFonts w:hint="default"/>
                      <w:color w:val="auto"/>
                      <w:lang w:val="en-US" w:eastAsia="zh-CN"/>
                    </w:rPr>
                  </w:pPr>
                  <w:r>
                    <w:rPr>
                      <w:rFonts w:hint="eastAsia"/>
                      <w:color w:val="auto"/>
                      <w:lang w:val="en-US" w:eastAsia="zh-CN"/>
                    </w:rPr>
                    <w:t>T340421198008156017</w:t>
                  </w:r>
                </w:p>
              </w:tc>
              <w:tc>
                <w:tcPr>
                  <w:tcW w:w="1070" w:type="pct"/>
                  <w:vAlign w:val="top"/>
                </w:tcPr>
                <w:p>
                  <w:pPr>
                    <w:spacing w:line="280" w:lineRule="exact"/>
                    <w:rPr>
                      <w:rFonts w:hint="default"/>
                      <w:color w:val="auto"/>
                      <w:lang w:val="en-US" w:eastAsia="zh-CN"/>
                    </w:rPr>
                  </w:pPr>
                  <w:r>
                    <w:rPr>
                      <w:rFonts w:hint="eastAsia"/>
                      <w:color w:val="auto"/>
                      <w:lang w:val="en-US" w:eastAsia="zh-CN"/>
                    </w:rPr>
                    <w:t>2027年5月9日</w:t>
                  </w:r>
                </w:p>
              </w:tc>
              <w:tc>
                <w:tcPr>
                  <w:tcW w:w="955" w:type="pct"/>
                  <w:vAlign w:val="top"/>
                </w:tcPr>
                <w:p>
                  <w:pPr>
                    <w:spacing w:line="280" w:lineRule="exact"/>
                    <w:rPr>
                      <w:rFonts w:hint="eastAsia"/>
                      <w:color w:val="auto"/>
                      <w:lang w:val="en-US" w:eastAsia="zh-CN"/>
                    </w:rPr>
                  </w:pPr>
                  <w:r>
                    <w:rPr>
                      <w:rFonts w:hint="eastAsia"/>
                      <w:lang w:val="en-US" w:eastAsia="zh-CN"/>
                    </w:rPr>
                    <w:t xml:space="preserve"> </w:t>
                  </w:r>
                  <w:r>
                    <w:rPr>
                      <w:rFonts w:hint="eastAsia"/>
                      <w:lang w:val="en-US" w:eastAsia="zh-CN"/>
                    </w:rPr>
                    <w:sym w:font="Wingdings" w:char="00FE"/>
                  </w:r>
                  <w:r>
                    <w:rPr>
                      <w:rFonts w:hint="eastAsia"/>
                      <w:color w:val="auto"/>
                      <w:lang w:val="en-US" w:eastAsia="zh-CN"/>
                    </w:rPr>
                    <w:t xml:space="preserve">有效  </w:t>
                  </w:r>
                  <w:r>
                    <w:rPr>
                      <w:rFonts w:hint="eastAsia"/>
                      <w:lang w:val="en-US" w:eastAsia="zh-CN"/>
                    </w:rPr>
                    <w:t xml:space="preserve"> </w:t>
                  </w:r>
                  <w:r>
                    <w:rPr>
                      <w:rFonts w:hint="eastAsia"/>
                      <w:lang w:val="en-US" w:eastAsia="zh-CN"/>
                    </w:rPr>
                    <w:sym w:font="Wingdings" w:char="00A8"/>
                  </w:r>
                  <w:r>
                    <w:rPr>
                      <w:rFonts w:hint="eastAsia"/>
                      <w:color w:val="auto"/>
                      <w:lang w:val="en-US" w:eastAsia="zh-CN"/>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86" w:type="pct"/>
                  <w:vAlign w:val="top"/>
                </w:tcPr>
                <w:p>
                  <w:pPr>
                    <w:spacing w:line="280" w:lineRule="exact"/>
                    <w:rPr>
                      <w:rFonts w:hint="default"/>
                      <w:color w:val="auto"/>
                      <w:lang w:val="en-US" w:eastAsia="zh-CN"/>
                    </w:rPr>
                  </w:pPr>
                  <w:r>
                    <w:rPr>
                      <w:rFonts w:hint="eastAsia"/>
                      <w:color w:val="auto"/>
                      <w:lang w:val="en-US" w:eastAsia="zh-CN"/>
                    </w:rPr>
                    <w:t>高压电工</w:t>
                  </w:r>
                </w:p>
              </w:tc>
              <w:tc>
                <w:tcPr>
                  <w:tcW w:w="509" w:type="pct"/>
                  <w:vAlign w:val="center"/>
                </w:tcPr>
                <w:p>
                  <w:pPr>
                    <w:spacing w:line="280" w:lineRule="exact"/>
                    <w:rPr>
                      <w:rFonts w:hint="eastAsia"/>
                      <w:color w:val="auto"/>
                      <w:lang w:val="en-US" w:eastAsia="zh-CN"/>
                    </w:rPr>
                  </w:pPr>
                  <w:r>
                    <w:rPr>
                      <w:rFonts w:hint="eastAsia"/>
                      <w:color w:val="auto"/>
                      <w:lang w:val="en-US" w:eastAsia="zh-CN"/>
                    </w:rPr>
                    <w:t>石金胜</w:t>
                  </w:r>
                </w:p>
              </w:tc>
              <w:tc>
                <w:tcPr>
                  <w:tcW w:w="1278" w:type="pct"/>
                  <w:vAlign w:val="center"/>
                </w:tcPr>
                <w:p>
                  <w:pPr>
                    <w:spacing w:line="280" w:lineRule="exact"/>
                    <w:rPr>
                      <w:rFonts w:hint="default"/>
                      <w:color w:val="auto"/>
                      <w:lang w:val="en-US" w:eastAsia="zh-CN"/>
                    </w:rPr>
                  </w:pPr>
                  <w:r>
                    <w:rPr>
                      <w:rFonts w:hint="eastAsia"/>
                      <w:color w:val="auto"/>
                      <w:lang w:val="en-US" w:eastAsia="zh-CN"/>
                    </w:rPr>
                    <w:t>T340421198008156017</w:t>
                  </w:r>
                </w:p>
              </w:tc>
              <w:tc>
                <w:tcPr>
                  <w:tcW w:w="1070" w:type="pct"/>
                  <w:vAlign w:val="top"/>
                </w:tcPr>
                <w:p>
                  <w:pPr>
                    <w:spacing w:line="280" w:lineRule="exact"/>
                    <w:rPr>
                      <w:rFonts w:hint="eastAsia"/>
                      <w:color w:val="auto"/>
                      <w:lang w:val="en-US" w:eastAsia="zh-CN"/>
                    </w:rPr>
                  </w:pPr>
                  <w:r>
                    <w:rPr>
                      <w:rFonts w:hint="eastAsia"/>
                      <w:color w:val="auto"/>
                      <w:lang w:val="en-US" w:eastAsia="zh-CN"/>
                    </w:rPr>
                    <w:t>2027年8月11日</w:t>
                  </w:r>
                </w:p>
              </w:tc>
              <w:tc>
                <w:tcPr>
                  <w:tcW w:w="955" w:type="pct"/>
                  <w:vAlign w:val="top"/>
                </w:tcPr>
                <w:p>
                  <w:pPr>
                    <w:spacing w:line="280" w:lineRule="exact"/>
                    <w:rPr>
                      <w:rFonts w:hint="eastAsia"/>
                      <w:color w:val="auto"/>
                      <w:lang w:val="en-US" w:eastAsia="zh-CN"/>
                    </w:rPr>
                  </w:pPr>
                  <w:r>
                    <w:rPr>
                      <w:rFonts w:hint="eastAsia"/>
                      <w:lang w:val="en-US" w:eastAsia="zh-CN"/>
                    </w:rPr>
                    <w:t xml:space="preserve"> </w:t>
                  </w:r>
                  <w:r>
                    <w:rPr>
                      <w:rFonts w:hint="eastAsia"/>
                      <w:lang w:val="en-US" w:eastAsia="zh-CN"/>
                    </w:rPr>
                    <w:sym w:font="Wingdings" w:char="00FE"/>
                  </w:r>
                  <w:r>
                    <w:rPr>
                      <w:rFonts w:hint="eastAsia"/>
                      <w:color w:val="auto"/>
                      <w:lang w:val="en-US" w:eastAsia="zh-CN"/>
                    </w:rPr>
                    <w:t xml:space="preserve">有效  </w:t>
                  </w:r>
                  <w:r>
                    <w:rPr>
                      <w:rFonts w:hint="eastAsia"/>
                      <w:lang w:val="en-US" w:eastAsia="zh-CN"/>
                    </w:rPr>
                    <w:t xml:space="preserve"> </w:t>
                  </w:r>
                  <w:r>
                    <w:rPr>
                      <w:rFonts w:hint="eastAsia"/>
                      <w:lang w:val="en-US" w:eastAsia="zh-CN"/>
                    </w:rPr>
                    <w:sym w:font="Wingdings" w:char="00A8"/>
                  </w:r>
                  <w:r>
                    <w:rPr>
                      <w:rFonts w:hint="eastAsia"/>
                      <w:color w:val="auto"/>
                      <w:lang w:val="en-US" w:eastAsia="zh-CN"/>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86" w:type="pct"/>
                  <w:vAlign w:val="top"/>
                </w:tcPr>
                <w:p>
                  <w:pPr>
                    <w:spacing w:line="280" w:lineRule="exact"/>
                    <w:rPr>
                      <w:rFonts w:hint="default"/>
                      <w:color w:val="auto"/>
                      <w:lang w:val="en-US" w:eastAsia="zh-CN"/>
                    </w:rPr>
                  </w:pPr>
                </w:p>
              </w:tc>
              <w:tc>
                <w:tcPr>
                  <w:tcW w:w="509" w:type="pct"/>
                  <w:vAlign w:val="center"/>
                </w:tcPr>
                <w:p>
                  <w:pPr>
                    <w:spacing w:line="280" w:lineRule="exact"/>
                    <w:rPr>
                      <w:rFonts w:hint="default"/>
                      <w:color w:val="auto"/>
                      <w:lang w:val="en-US" w:eastAsia="zh-CN"/>
                    </w:rPr>
                  </w:pPr>
                </w:p>
              </w:tc>
              <w:tc>
                <w:tcPr>
                  <w:tcW w:w="1278" w:type="pct"/>
                  <w:vAlign w:val="center"/>
                </w:tcPr>
                <w:p>
                  <w:pPr>
                    <w:spacing w:line="280" w:lineRule="exact"/>
                    <w:rPr>
                      <w:rFonts w:hint="default"/>
                      <w:color w:val="auto"/>
                      <w:lang w:val="en-US" w:eastAsia="zh-CN"/>
                    </w:rPr>
                  </w:pPr>
                </w:p>
              </w:tc>
              <w:tc>
                <w:tcPr>
                  <w:tcW w:w="1070" w:type="pct"/>
                  <w:vAlign w:val="top"/>
                </w:tcPr>
                <w:p>
                  <w:pPr>
                    <w:spacing w:line="280" w:lineRule="exact"/>
                    <w:rPr>
                      <w:rFonts w:hint="eastAsia"/>
                      <w:color w:val="auto"/>
                      <w:lang w:val="en-US" w:eastAsia="zh-CN"/>
                    </w:rPr>
                  </w:pPr>
                </w:p>
              </w:tc>
              <w:tc>
                <w:tcPr>
                  <w:tcW w:w="955" w:type="pct"/>
                  <w:vAlign w:val="top"/>
                </w:tcPr>
                <w:p>
                  <w:pPr>
                    <w:spacing w:line="280" w:lineRule="exact"/>
                    <w:rPr>
                      <w:rFonts w:hint="eastAsia"/>
                      <w:color w:val="auto"/>
                      <w:lang w:val="en-US" w:eastAsia="zh-CN"/>
                    </w:rPr>
                  </w:pPr>
                  <w:r>
                    <w:rPr>
                      <w:rFonts w:hint="eastAsia"/>
                      <w:lang w:val="en-US" w:eastAsia="zh-CN"/>
                    </w:rPr>
                    <w:t xml:space="preserve"> </w:t>
                  </w: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lang w:val="en-US" w:eastAsia="zh-CN"/>
              </w:rPr>
            </w:pPr>
            <w:r>
              <w:rPr>
                <w:rFonts w:hint="eastAsia"/>
                <w:lang w:val="en-US" w:eastAsia="zh-CN"/>
              </w:rPr>
              <w:t>行政部</w:t>
            </w:r>
            <w:r>
              <w:rPr>
                <w:sz w:val="21"/>
                <w:szCs w:val="21"/>
              </w:rPr>
              <w:t>宣雅倩</w:t>
            </w:r>
            <w:r>
              <w:rPr>
                <w:rFonts w:hint="eastAsia"/>
                <w:lang w:val="en-US" w:eastAsia="zh-CN"/>
              </w:rPr>
              <w:t>介绍：组织通过培训学习、宣传等方法使在组织控制范围内的相关工作人员了解到：环境和职业健康安全方针的意义；熟悉相关的环境和职业健康安全目标；员工对环境和职业健康安全管理体系有效性的贡献包括改进相应绩效的益处；不符合环境和职业健康安全管理体系要求的后果。</w:t>
            </w:r>
          </w:p>
          <w:p>
            <w:pPr>
              <w:spacing w:line="280" w:lineRule="exact"/>
              <w:ind w:firstLine="420" w:firstLineChars="200"/>
              <w:rPr>
                <w:rFonts w:hint="eastAsia" w:ascii="宋体" w:hAnsi="宋体" w:cs="宋体"/>
                <w:szCs w:val="21"/>
              </w:rPr>
            </w:pPr>
            <w:r>
              <w:rPr>
                <w:rFonts w:hint="eastAsia" w:ascii="华文细黑" w:hAnsi="华文细黑" w:eastAsia="华文细黑" w:cs="华文细黑"/>
                <w:sz w:val="21"/>
                <w:szCs w:val="21"/>
                <w:lang w:val="en-US" w:eastAsia="zh-CN"/>
              </w:rPr>
              <w:t>组织</w:t>
            </w:r>
            <w:r>
              <w:rPr>
                <w:rFonts w:hint="eastAsia" w:ascii="华文细黑" w:hAnsi="华文细黑" w:cs="华文细黑"/>
                <w:sz w:val="21"/>
                <w:szCs w:val="21"/>
                <w:lang w:val="en-US" w:eastAsia="zh-CN"/>
              </w:rPr>
              <w:t>员工对</w:t>
            </w:r>
            <w:r>
              <w:rPr>
                <w:rFonts w:hint="eastAsia" w:ascii="华文细黑" w:hAnsi="华文细黑" w:eastAsia="华文细黑" w:cs="华文细黑"/>
                <w:sz w:val="21"/>
                <w:szCs w:val="21"/>
                <w:lang w:val="en-US" w:eastAsia="zh-CN"/>
              </w:rPr>
              <w:t>方针和所在工作岗位的目标基本熟悉，也了解自己的工作效益会影响组织环境</w:t>
            </w:r>
            <w:r>
              <w:rPr>
                <w:rFonts w:hint="eastAsia" w:ascii="华文细黑" w:hAnsi="华文细黑" w:cs="华文细黑"/>
                <w:sz w:val="21"/>
                <w:szCs w:val="21"/>
                <w:lang w:val="en-US" w:eastAsia="zh-CN"/>
              </w:rPr>
              <w:t>和职业健康安全</w:t>
            </w:r>
            <w:r>
              <w:rPr>
                <w:rFonts w:hint="eastAsia" w:ascii="华文细黑" w:hAnsi="华文细黑" w:eastAsia="华文细黑" w:cs="华文细黑"/>
                <w:sz w:val="21"/>
                <w:szCs w:val="21"/>
                <w:lang w:val="en-US" w:eastAsia="zh-CN"/>
              </w:rPr>
              <w:t>管理体系的有效运行。</w:t>
            </w:r>
            <w:r>
              <w:rPr>
                <w:rFonts w:hint="eastAsia" w:ascii="华文细黑" w:hAnsi="华文细黑" w:cs="华文细黑"/>
                <w:sz w:val="21"/>
                <w:szCs w:val="21"/>
                <w:lang w:val="en-US" w:eastAsia="zh-CN"/>
              </w:rPr>
              <w:t>基本符合要求。</w:t>
            </w:r>
          </w:p>
        </w:tc>
        <w:tc>
          <w:tcPr>
            <w:tcW w:w="1045" w:type="dxa"/>
            <w:vAlign w:val="top"/>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0" w:type="dxa"/>
            <w:vAlign w:val="top"/>
          </w:tcPr>
          <w:p>
            <w:pPr>
              <w:bidi w:val="0"/>
              <w:rPr>
                <w:rFonts w:hint="default"/>
                <w:lang w:val="en-US" w:eastAsia="zh-CN"/>
              </w:rPr>
            </w:pPr>
            <w:r>
              <w:rPr>
                <w:rFonts w:hint="eastAsia"/>
                <w:lang w:val="en-US" w:eastAsia="zh-CN"/>
              </w:rPr>
              <w:t>沟通管理</w:t>
            </w:r>
          </w:p>
        </w:tc>
        <w:tc>
          <w:tcPr>
            <w:tcW w:w="1068" w:type="dxa"/>
            <w:vAlign w:val="top"/>
          </w:tcPr>
          <w:p>
            <w:pPr>
              <w:bidi w:val="0"/>
              <w:rPr>
                <w:rFonts w:hint="default"/>
                <w:lang w:val="en-US" w:eastAsia="zh-CN"/>
              </w:rPr>
            </w:pPr>
            <w:r>
              <w:rPr>
                <w:rFonts w:hint="eastAsia"/>
                <w:lang w:val="en-US" w:eastAsia="zh-CN"/>
              </w:rPr>
              <w:t>EO7.4</w:t>
            </w:r>
          </w:p>
        </w:tc>
        <w:tc>
          <w:tcPr>
            <w:tcW w:w="12151"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华文细黑" w:hAnsi="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组织按照《</w:t>
            </w:r>
            <w:r>
              <w:rPr>
                <w:rFonts w:hint="eastAsia" w:ascii="华文细黑" w:hAnsi="华文细黑" w:cs="华文细黑"/>
                <w:bCs w:val="0"/>
                <w:spacing w:val="0"/>
                <w:kern w:val="2"/>
                <w:sz w:val="21"/>
                <w:szCs w:val="21"/>
                <w:lang w:val="en-US" w:eastAsia="zh-CN" w:bidi="ar-SA"/>
              </w:rPr>
              <w:t>信息交流控制</w:t>
            </w:r>
            <w:r>
              <w:rPr>
                <w:rFonts w:hint="eastAsia" w:ascii="华文细黑" w:hAnsi="华文细黑" w:eastAsia="华文细黑" w:cs="华文细黑"/>
                <w:bCs w:val="0"/>
                <w:spacing w:val="0"/>
                <w:kern w:val="2"/>
                <w:sz w:val="21"/>
                <w:szCs w:val="21"/>
                <w:lang w:val="en-US" w:eastAsia="zh-CN" w:bidi="ar-SA"/>
              </w:rPr>
              <w:t>》对沟通过程进行控制</w:t>
            </w:r>
            <w:r>
              <w:rPr>
                <w:rFonts w:hint="eastAsia" w:ascii="华文细黑" w:hAnsi="华文细黑" w:cs="华文细黑"/>
                <w:bCs w:val="0"/>
                <w:spacing w:val="0"/>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cs="华文细黑"/>
                <w:bCs w:val="0"/>
                <w:spacing w:val="0"/>
                <w:kern w:val="2"/>
                <w:sz w:val="21"/>
                <w:szCs w:val="21"/>
                <w:lang w:val="en-US" w:eastAsia="zh-CN" w:bidi="ar-SA"/>
              </w:rPr>
              <w:t>从行政部了解到：1.组织</w:t>
            </w:r>
            <w:r>
              <w:rPr>
                <w:rFonts w:hint="eastAsia" w:ascii="华文细黑" w:hAnsi="华文细黑" w:eastAsia="华文细黑" w:cs="华文细黑"/>
                <w:bCs w:val="0"/>
                <w:spacing w:val="0"/>
                <w:kern w:val="2"/>
                <w:sz w:val="21"/>
                <w:szCs w:val="21"/>
                <w:lang w:val="en-US" w:eastAsia="zh-CN" w:bidi="ar-SA"/>
              </w:rPr>
              <w:t>内部沟通的内容</w:t>
            </w:r>
            <w:r>
              <w:rPr>
                <w:rFonts w:hint="eastAsia" w:ascii="华文细黑" w:hAnsi="华文细黑" w:cs="华文细黑"/>
                <w:bCs w:val="0"/>
                <w:spacing w:val="0"/>
                <w:kern w:val="2"/>
                <w:sz w:val="21"/>
                <w:szCs w:val="21"/>
                <w:lang w:val="en-US" w:eastAsia="zh-CN" w:bidi="ar-SA"/>
              </w:rPr>
              <w:t>主要包括：</w:t>
            </w:r>
            <w:r>
              <w:rPr>
                <w:rFonts w:hint="eastAsia" w:ascii="华文细黑" w:hAnsi="华文细黑" w:eastAsia="华文细黑" w:cs="华文细黑"/>
                <w:bCs w:val="0"/>
                <w:spacing w:val="0"/>
                <w:kern w:val="2"/>
                <w:sz w:val="21"/>
                <w:szCs w:val="21"/>
                <w:lang w:val="en-US" w:eastAsia="zh-CN" w:bidi="ar-SA"/>
              </w:rPr>
              <w:t>管理方针、目标、职责的沟通和传达；</w:t>
            </w:r>
            <w:r>
              <w:rPr>
                <w:rFonts w:hint="eastAsia" w:ascii="华文细黑" w:hAnsi="华文细黑" w:cs="华文细黑"/>
                <w:bCs w:val="0"/>
                <w:spacing w:val="0"/>
                <w:kern w:val="2"/>
                <w:sz w:val="21"/>
                <w:szCs w:val="21"/>
                <w:lang w:val="en-US" w:eastAsia="zh-CN" w:bidi="ar-SA"/>
              </w:rPr>
              <w:t>内外部</w:t>
            </w:r>
            <w:r>
              <w:rPr>
                <w:rFonts w:hint="eastAsia" w:ascii="华文细黑" w:hAnsi="华文细黑" w:eastAsia="华文细黑" w:cs="华文细黑"/>
                <w:bCs w:val="0"/>
                <w:spacing w:val="0"/>
                <w:kern w:val="2"/>
                <w:sz w:val="21"/>
                <w:szCs w:val="21"/>
                <w:lang w:val="en-US" w:eastAsia="zh-CN" w:bidi="ar-SA"/>
              </w:rPr>
              <w:t>环境和相关方分析信息</w:t>
            </w:r>
            <w:r>
              <w:rPr>
                <w:rFonts w:hint="eastAsia" w:ascii="华文细黑" w:hAnsi="华文细黑" w:cs="华文细黑"/>
                <w:bCs w:val="0"/>
                <w:spacing w:val="0"/>
                <w:kern w:val="2"/>
                <w:sz w:val="21"/>
                <w:szCs w:val="21"/>
                <w:lang w:val="en-US" w:eastAsia="zh-CN" w:bidi="ar-SA"/>
              </w:rPr>
              <w:t>；生产活动中的质量信息</w:t>
            </w:r>
            <w:r>
              <w:rPr>
                <w:rFonts w:hint="eastAsia" w:ascii="华文细黑" w:hAnsi="华文细黑" w:eastAsia="华文细黑" w:cs="华文细黑"/>
                <w:bCs w:val="0"/>
                <w:spacing w:val="0"/>
                <w:kern w:val="2"/>
                <w:sz w:val="21"/>
                <w:szCs w:val="21"/>
                <w:lang w:val="en-US" w:eastAsia="zh-CN" w:bidi="ar-SA"/>
              </w:rPr>
              <w:t>；相关法律法规和其他要求的传达；顾客、员工及其他相关方要求的传递；其他信息传递</w:t>
            </w:r>
            <w:r>
              <w:rPr>
                <w:rFonts w:hint="eastAsia" w:ascii="华文细黑" w:hAnsi="华文细黑" w:cs="华文细黑"/>
                <w:bCs w:val="0"/>
                <w:spacing w:val="0"/>
                <w:kern w:val="2"/>
                <w:sz w:val="21"/>
                <w:szCs w:val="21"/>
                <w:lang w:val="en-US" w:eastAsia="zh-CN" w:bidi="ar-SA"/>
              </w:rPr>
              <w:t>；2.</w:t>
            </w:r>
            <w:r>
              <w:rPr>
                <w:rFonts w:hint="eastAsia" w:ascii="华文细黑" w:hAnsi="华文细黑" w:eastAsia="华文细黑" w:cs="华文细黑"/>
                <w:bCs w:val="0"/>
                <w:spacing w:val="0"/>
                <w:kern w:val="2"/>
                <w:sz w:val="21"/>
                <w:szCs w:val="21"/>
                <w:lang w:val="en-US" w:eastAsia="zh-CN" w:bidi="ar-SA"/>
              </w:rPr>
              <w:t>其外部沟通的内容主要包括：向顾客、供方等相关方宣传组织的管理方针和管理要求；传递相关方要求的变更信息；接收、处理和答复相关方关注的</w:t>
            </w:r>
            <w:r>
              <w:rPr>
                <w:rFonts w:hint="eastAsia" w:ascii="华文细黑" w:hAnsi="华文细黑" w:cs="华文细黑"/>
                <w:bCs w:val="0"/>
                <w:spacing w:val="0"/>
                <w:kern w:val="2"/>
                <w:sz w:val="21"/>
                <w:szCs w:val="21"/>
                <w:lang w:val="en-US" w:eastAsia="zh-CN" w:bidi="ar-SA"/>
              </w:rPr>
              <w:t>质量</w:t>
            </w:r>
            <w:r>
              <w:rPr>
                <w:rFonts w:hint="eastAsia" w:ascii="华文细黑" w:hAnsi="华文细黑" w:eastAsia="华文细黑" w:cs="华文细黑"/>
                <w:bCs w:val="0"/>
                <w:spacing w:val="0"/>
                <w:kern w:val="2"/>
                <w:sz w:val="21"/>
                <w:szCs w:val="21"/>
                <w:lang w:val="en-US" w:eastAsia="zh-CN" w:bidi="ar-SA"/>
              </w:rPr>
              <w:t>问题；与供方、顾客业务处理过程中</w:t>
            </w:r>
            <w:r>
              <w:rPr>
                <w:rFonts w:hint="eastAsia" w:ascii="华文细黑" w:hAnsi="华文细黑" w:cs="华文细黑"/>
                <w:bCs w:val="0"/>
                <w:spacing w:val="0"/>
                <w:kern w:val="2"/>
                <w:sz w:val="21"/>
                <w:szCs w:val="21"/>
                <w:lang w:val="en-US" w:eastAsia="zh-CN" w:bidi="ar-SA"/>
              </w:rPr>
              <w:t>的</w:t>
            </w:r>
            <w:r>
              <w:rPr>
                <w:rFonts w:hint="eastAsia" w:ascii="华文细黑" w:hAnsi="华文细黑" w:eastAsia="华文细黑" w:cs="华文细黑"/>
                <w:bCs w:val="0"/>
                <w:spacing w:val="0"/>
                <w:kern w:val="2"/>
                <w:sz w:val="21"/>
                <w:szCs w:val="21"/>
                <w:lang w:val="en-US" w:eastAsia="zh-CN" w:bidi="ar-SA"/>
              </w:rPr>
              <w:t>信息沟通；与主管部门在监督检查中的沟通等。</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沟通方式包括：1.内部：参与方针、目标和相关文件的制定、体系文件的宣贯、内部审核和管理评审及宣传栏、口头（电话）、</w:t>
            </w:r>
            <w:r>
              <w:rPr>
                <w:rFonts w:hint="eastAsia" w:ascii="华文细黑" w:hAnsi="华文细黑" w:cs="华文细黑"/>
                <w:bCs w:val="0"/>
                <w:spacing w:val="0"/>
                <w:kern w:val="2"/>
                <w:sz w:val="21"/>
                <w:szCs w:val="21"/>
                <w:lang w:val="en-US" w:eastAsia="zh-CN" w:bidi="ar-SA"/>
              </w:rPr>
              <w:t>质检单（纸质）等</w:t>
            </w:r>
            <w:r>
              <w:rPr>
                <w:rFonts w:hint="eastAsia" w:ascii="华文细黑" w:hAnsi="华文细黑" w:eastAsia="华文细黑" w:cs="华文细黑"/>
                <w:bCs w:val="0"/>
                <w:spacing w:val="0"/>
                <w:kern w:val="2"/>
                <w:sz w:val="21"/>
                <w:szCs w:val="21"/>
                <w:lang w:val="en-US" w:eastAsia="zh-CN" w:bidi="ar-SA"/>
              </w:rPr>
              <w:t>；2.外部：招投标活动、签订合同、参与产品交付验收、</w:t>
            </w:r>
            <w:r>
              <w:rPr>
                <w:rFonts w:hint="eastAsia" w:ascii="华文细黑" w:hAnsi="华文细黑" w:cs="华文细黑"/>
                <w:bCs w:val="0"/>
                <w:spacing w:val="0"/>
                <w:kern w:val="2"/>
                <w:sz w:val="21"/>
                <w:szCs w:val="21"/>
                <w:lang w:val="en-US" w:eastAsia="zh-CN" w:bidi="ar-SA"/>
              </w:rPr>
              <w:t>售后</w:t>
            </w:r>
            <w:r>
              <w:rPr>
                <w:rFonts w:hint="eastAsia" w:ascii="华文细黑" w:hAnsi="华文细黑" w:eastAsia="华文细黑" w:cs="华文细黑"/>
                <w:bCs w:val="0"/>
                <w:spacing w:val="0"/>
                <w:kern w:val="2"/>
                <w:sz w:val="21"/>
                <w:szCs w:val="21"/>
                <w:lang w:val="en-US" w:eastAsia="zh-CN" w:bidi="ar-SA"/>
              </w:rPr>
              <w:t>要求及回访、投诉等。</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抽查内部沟通案例：由于疫情期间，入职员工，延后体检，确保人员安全；日期：20</w:t>
            </w:r>
            <w:r>
              <w:rPr>
                <w:rFonts w:hint="eastAsia" w:ascii="华文细黑" w:hAnsi="华文细黑" w:cs="华文细黑"/>
                <w:bCs w:val="0"/>
                <w:spacing w:val="0"/>
                <w:kern w:val="2"/>
                <w:sz w:val="21"/>
                <w:szCs w:val="21"/>
                <w:lang w:val="en-US" w:eastAsia="zh-CN" w:bidi="ar-SA"/>
              </w:rPr>
              <w:t>22</w:t>
            </w:r>
            <w:r>
              <w:rPr>
                <w:rFonts w:hint="eastAsia" w:ascii="华文细黑" w:hAnsi="华文细黑" w:eastAsia="华文细黑" w:cs="华文细黑"/>
                <w:bCs w:val="0"/>
                <w:spacing w:val="0"/>
                <w:kern w:val="2"/>
                <w:sz w:val="21"/>
                <w:szCs w:val="21"/>
                <w:lang w:val="en-US" w:eastAsia="zh-CN" w:bidi="ar-SA"/>
              </w:rPr>
              <w:t>年</w:t>
            </w:r>
            <w:r>
              <w:rPr>
                <w:rFonts w:hint="eastAsia" w:ascii="华文细黑" w:hAnsi="华文细黑" w:cs="华文细黑"/>
                <w:bCs w:val="0"/>
                <w:spacing w:val="0"/>
                <w:kern w:val="2"/>
                <w:sz w:val="21"/>
                <w:szCs w:val="21"/>
                <w:lang w:val="en-US" w:eastAsia="zh-CN" w:bidi="ar-SA"/>
              </w:rPr>
              <w:t>9</w:t>
            </w:r>
            <w:r>
              <w:rPr>
                <w:rFonts w:hint="eastAsia" w:ascii="华文细黑" w:hAnsi="华文细黑" w:eastAsia="华文细黑" w:cs="华文细黑"/>
                <w:bCs w:val="0"/>
                <w:spacing w:val="0"/>
                <w:kern w:val="2"/>
                <w:sz w:val="21"/>
                <w:szCs w:val="21"/>
                <w:lang w:val="en-US" w:eastAsia="zh-CN" w:bidi="ar-SA"/>
              </w:rPr>
              <w:t>月</w:t>
            </w:r>
            <w:r>
              <w:rPr>
                <w:rFonts w:hint="eastAsia" w:ascii="华文细黑" w:hAnsi="华文细黑" w:cs="华文细黑"/>
                <w:bCs w:val="0"/>
                <w:spacing w:val="0"/>
                <w:kern w:val="2"/>
                <w:sz w:val="21"/>
                <w:szCs w:val="21"/>
                <w:lang w:val="en-US" w:eastAsia="zh-CN" w:bidi="ar-SA"/>
              </w:rPr>
              <w:t>7</w:t>
            </w:r>
            <w:r>
              <w:rPr>
                <w:rFonts w:hint="eastAsia" w:ascii="华文细黑" w:hAnsi="华文细黑" w:eastAsia="华文细黑" w:cs="华文细黑"/>
                <w:bCs w:val="0"/>
                <w:spacing w:val="0"/>
                <w:kern w:val="2"/>
                <w:sz w:val="21"/>
                <w:szCs w:val="21"/>
                <w:lang w:val="en-US" w:eastAsia="zh-CN" w:bidi="ar-SA"/>
              </w:rPr>
              <w:t>日。</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华文细黑" w:hAnsi="华文细黑" w:cs="华文细黑"/>
                <w:bCs w:val="0"/>
                <w:color w:val="auto"/>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外部沟通案例</w:t>
            </w:r>
            <w:r>
              <w:rPr>
                <w:rFonts w:hint="eastAsia" w:ascii="华文细黑" w:hAnsi="华文细黑" w:cs="华文细黑"/>
                <w:bCs w:val="0"/>
                <w:color w:val="auto"/>
                <w:spacing w:val="0"/>
                <w:kern w:val="2"/>
                <w:sz w:val="21"/>
                <w:szCs w:val="21"/>
                <w:lang w:val="en-US" w:eastAsia="zh-CN" w:bidi="ar-SA"/>
              </w:rPr>
              <w:t>见各部门各活动过程记录。</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cs="宋体"/>
                <w:szCs w:val="21"/>
              </w:rPr>
            </w:pPr>
            <w:r>
              <w:rPr>
                <w:rFonts w:hint="eastAsia" w:ascii="华文细黑" w:hAnsi="华文细黑" w:eastAsia="华文细黑" w:cs="华文细黑"/>
                <w:bCs w:val="0"/>
                <w:spacing w:val="0"/>
                <w:kern w:val="2"/>
                <w:sz w:val="21"/>
                <w:szCs w:val="21"/>
                <w:lang w:val="en-US" w:eastAsia="zh-CN" w:bidi="ar-SA"/>
              </w:rPr>
              <w:t>内容基本完整</w:t>
            </w:r>
            <w:r>
              <w:rPr>
                <w:rFonts w:hint="eastAsia" w:ascii="华文细黑" w:hAnsi="华文细黑" w:cs="华文细黑"/>
                <w:bCs w:val="0"/>
                <w:spacing w:val="0"/>
                <w:kern w:val="2"/>
                <w:sz w:val="21"/>
                <w:szCs w:val="21"/>
                <w:lang w:val="en-US" w:eastAsia="zh-CN" w:bidi="ar-SA"/>
              </w:rPr>
              <w:t>，</w:t>
            </w:r>
            <w:r>
              <w:rPr>
                <w:rFonts w:hint="eastAsia" w:ascii="华文细黑" w:hAnsi="华文细黑" w:eastAsia="华文细黑" w:cs="华文细黑"/>
                <w:bCs w:val="0"/>
                <w:spacing w:val="0"/>
                <w:kern w:val="2"/>
                <w:sz w:val="21"/>
                <w:szCs w:val="21"/>
                <w:lang w:val="en-US" w:eastAsia="zh-CN" w:bidi="ar-SA"/>
              </w:rPr>
              <w:t>基本能够保证传达。</w:t>
            </w:r>
          </w:p>
        </w:tc>
        <w:tc>
          <w:tcPr>
            <w:tcW w:w="1045" w:type="dxa"/>
            <w:vAlign w:val="top"/>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30" w:type="dxa"/>
            <w:vAlign w:val="top"/>
          </w:tcPr>
          <w:p>
            <w:pPr>
              <w:bidi w:val="0"/>
              <w:rPr>
                <w:rFonts w:hint="default"/>
                <w:lang w:val="en-US" w:eastAsia="zh-CN"/>
              </w:rPr>
            </w:pPr>
            <w:r>
              <w:rPr>
                <w:rFonts w:hint="eastAsia"/>
                <w:lang w:val="en-US" w:eastAsia="zh-CN"/>
              </w:rPr>
              <w:t>文件管理</w:t>
            </w:r>
          </w:p>
        </w:tc>
        <w:tc>
          <w:tcPr>
            <w:tcW w:w="1068" w:type="dxa"/>
            <w:vAlign w:val="top"/>
          </w:tcPr>
          <w:p>
            <w:pPr>
              <w:bidi w:val="0"/>
              <w:rPr>
                <w:rFonts w:hint="default"/>
                <w:lang w:val="en-US" w:eastAsia="zh-CN"/>
              </w:rPr>
            </w:pPr>
            <w:r>
              <w:rPr>
                <w:rFonts w:hint="eastAsia"/>
                <w:lang w:val="en-US" w:eastAsia="zh-CN"/>
              </w:rPr>
              <w:t>EO7.5</w:t>
            </w:r>
          </w:p>
        </w:tc>
        <w:tc>
          <w:tcPr>
            <w:tcW w:w="12151" w:type="dxa"/>
            <w:vAlign w:val="center"/>
          </w:tcPr>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组织形成了文件化的管理手册、程序文件、三级管理制度文件以及所要求的相关记录。编制的程序文件基本符合标准的所有过程控制要求，过程相互关系在手册中作了简图描述，记录表单能够满足目前的体系运行需求。具体如下：</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一级文件：《</w:t>
            </w:r>
            <w:r>
              <w:rPr>
                <w:rFonts w:hint="eastAsia" w:ascii="华文细黑" w:hAnsi="华文细黑" w:cs="华文细黑"/>
                <w:bCs w:val="0"/>
                <w:spacing w:val="0"/>
                <w:kern w:val="2"/>
                <w:sz w:val="21"/>
                <w:szCs w:val="21"/>
                <w:lang w:val="en-US" w:eastAsia="zh-CN" w:bidi="ar-SA"/>
              </w:rPr>
              <w:t>管理</w:t>
            </w:r>
            <w:r>
              <w:rPr>
                <w:rFonts w:hint="eastAsia" w:ascii="华文细黑" w:hAnsi="华文细黑" w:eastAsia="华文细黑" w:cs="华文细黑"/>
                <w:bCs w:val="0"/>
                <w:spacing w:val="0"/>
                <w:kern w:val="2"/>
                <w:sz w:val="21"/>
                <w:szCs w:val="21"/>
                <w:lang w:val="en-US" w:eastAsia="zh-CN" w:bidi="ar-SA"/>
              </w:rPr>
              <w:t>手册》</w:t>
            </w:r>
            <w:r>
              <w:rPr>
                <w:rFonts w:hint="eastAsia" w:ascii="华文细黑" w:hAnsi="华文细黑" w:cs="华文细黑"/>
                <w:bCs w:val="0"/>
                <w:spacing w:val="0"/>
                <w:kern w:val="2"/>
                <w:sz w:val="21"/>
                <w:szCs w:val="21"/>
                <w:lang w:val="en-US" w:eastAsia="zh-CN" w:bidi="ar-SA"/>
              </w:rPr>
              <w:t>（EO）</w:t>
            </w:r>
            <w:r>
              <w:rPr>
                <w:rFonts w:hint="eastAsia" w:ascii="华文细黑" w:hAnsi="华文细黑" w:eastAsia="华文细黑" w:cs="华文细黑"/>
                <w:bCs w:val="0"/>
                <w:spacing w:val="0"/>
                <w:kern w:val="2"/>
                <w:sz w:val="21"/>
                <w:szCs w:val="21"/>
                <w:lang w:val="en-US" w:eastAsia="zh-CN" w:bidi="ar-SA"/>
              </w:rPr>
              <w:t>；编制：</w:t>
            </w:r>
            <w:r>
              <w:rPr>
                <w:sz w:val="21"/>
                <w:szCs w:val="21"/>
              </w:rPr>
              <w:t>宣雅倩</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审核：李  娟；批准</w:t>
            </w:r>
            <w:r>
              <w:rPr>
                <w:rFonts w:hint="eastAsia" w:ascii="华文细黑" w:hAnsi="华文细黑" w:eastAsia="华文细黑" w:cs="华文细黑"/>
                <w:bCs w:val="0"/>
                <w:spacing w:val="0"/>
                <w:kern w:val="2"/>
                <w:sz w:val="21"/>
                <w:szCs w:val="21"/>
                <w:lang w:val="en-US" w:eastAsia="zh-CN" w:bidi="ar-SA"/>
              </w:rPr>
              <w:t>：李  兵。</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二级文件：包括《</w:t>
            </w:r>
            <w:bookmarkStart w:id="1" w:name="OLE_LINK4"/>
            <w:r>
              <w:rPr>
                <w:rFonts w:hint="eastAsia" w:ascii="华文细黑" w:hAnsi="华文细黑" w:eastAsia="华文细黑" w:cs="华文细黑"/>
                <w:bCs w:val="0"/>
                <w:spacing w:val="0"/>
                <w:kern w:val="2"/>
                <w:sz w:val="21"/>
                <w:szCs w:val="21"/>
                <w:lang w:val="en-US" w:eastAsia="zh-CN" w:bidi="ar-SA"/>
              </w:rPr>
              <w:t>文件控制/法律法规及其它要求控制程序</w:t>
            </w:r>
            <w:bookmarkEnd w:id="1"/>
            <w:r>
              <w:rPr>
                <w:rFonts w:hint="eastAsia" w:ascii="华文细黑" w:hAnsi="华文细黑" w:eastAsia="华文细黑" w:cs="华文细黑"/>
                <w:bCs w:val="0"/>
                <w:spacing w:val="0"/>
                <w:kern w:val="2"/>
                <w:sz w:val="21"/>
                <w:szCs w:val="21"/>
                <w:lang w:val="en-US" w:eastAsia="zh-CN" w:bidi="ar-SA"/>
              </w:rPr>
              <w:t>》等共</w:t>
            </w:r>
            <w:r>
              <w:rPr>
                <w:rFonts w:hint="eastAsia" w:ascii="华文细黑" w:hAnsi="华文细黑" w:cs="华文细黑"/>
                <w:bCs w:val="0"/>
                <w:spacing w:val="0"/>
                <w:kern w:val="2"/>
                <w:sz w:val="21"/>
                <w:szCs w:val="21"/>
                <w:lang w:val="en-US" w:eastAsia="zh-CN" w:bidi="ar-SA"/>
              </w:rPr>
              <w:t>36</w:t>
            </w:r>
            <w:r>
              <w:rPr>
                <w:rFonts w:hint="eastAsia" w:ascii="华文细黑" w:hAnsi="华文细黑" w:eastAsia="华文细黑" w:cs="华文细黑"/>
                <w:bCs w:val="0"/>
                <w:spacing w:val="0"/>
                <w:kern w:val="2"/>
                <w:sz w:val="21"/>
                <w:szCs w:val="21"/>
                <w:lang w:val="en-US" w:eastAsia="zh-CN" w:bidi="ar-SA"/>
              </w:rPr>
              <w:t>个，覆盖了</w:t>
            </w:r>
            <w:r>
              <w:rPr>
                <w:rFonts w:hint="eastAsia" w:ascii="华文细黑" w:hAnsi="华文细黑" w:cs="华文细黑"/>
                <w:bCs w:val="0"/>
                <w:spacing w:val="0"/>
                <w:kern w:val="2"/>
                <w:sz w:val="21"/>
                <w:szCs w:val="21"/>
                <w:lang w:val="en-US" w:eastAsia="zh-CN" w:bidi="ar-SA"/>
              </w:rPr>
              <w:t>环境和职业健康安全</w:t>
            </w:r>
            <w:r>
              <w:rPr>
                <w:rFonts w:hint="eastAsia" w:ascii="华文细黑" w:hAnsi="华文细黑" w:eastAsia="华文细黑" w:cs="华文细黑"/>
                <w:bCs w:val="0"/>
                <w:spacing w:val="0"/>
                <w:kern w:val="2"/>
                <w:sz w:val="21"/>
                <w:szCs w:val="21"/>
                <w:lang w:val="en-US" w:eastAsia="zh-CN" w:bidi="ar-SA"/>
              </w:rPr>
              <w:t>标准要求的所有文件化过程，其《</w:t>
            </w:r>
            <w:r>
              <w:rPr>
                <w:rFonts w:hint="eastAsia" w:ascii="华文细黑" w:hAnsi="华文细黑" w:cs="华文细黑"/>
                <w:bCs w:val="0"/>
                <w:spacing w:val="0"/>
                <w:kern w:val="2"/>
                <w:sz w:val="21"/>
                <w:szCs w:val="21"/>
                <w:lang w:val="en-US" w:eastAsia="zh-CN" w:bidi="ar-SA"/>
              </w:rPr>
              <w:t>记录</w:t>
            </w:r>
            <w:r>
              <w:rPr>
                <w:rFonts w:hint="eastAsia" w:ascii="华文细黑" w:hAnsi="华文细黑" w:eastAsia="华文细黑" w:cs="华文细黑"/>
                <w:bCs w:val="0"/>
                <w:spacing w:val="0"/>
                <w:kern w:val="2"/>
                <w:sz w:val="21"/>
                <w:szCs w:val="21"/>
                <w:lang w:val="en-US" w:eastAsia="zh-CN" w:bidi="ar-SA"/>
              </w:rPr>
              <w:t>控制程序</w:t>
            </w:r>
            <w:r>
              <w:rPr>
                <w:rFonts w:hint="eastAsia" w:ascii="华文细黑" w:hAnsi="华文细黑" w:cs="华文细黑"/>
                <w:bCs w:val="0"/>
                <w:spacing w:val="0"/>
                <w:kern w:val="2"/>
                <w:sz w:val="21"/>
                <w:szCs w:val="21"/>
                <w:lang w:val="en-US" w:eastAsia="zh-CN" w:bidi="ar-SA"/>
              </w:rPr>
              <w:t>》</w:t>
            </w:r>
            <w:r>
              <w:rPr>
                <w:rFonts w:hint="eastAsia" w:ascii="华文细黑" w:hAnsi="华文细黑" w:eastAsia="华文细黑" w:cs="华文细黑"/>
                <w:bCs w:val="0"/>
                <w:spacing w:val="0"/>
                <w:kern w:val="2"/>
                <w:sz w:val="21"/>
                <w:szCs w:val="21"/>
                <w:lang w:val="en-US" w:eastAsia="zh-CN" w:bidi="ar-SA"/>
              </w:rPr>
              <w:t>对管理体系记录的标识、贮存、保护、检索、保存期限和处置等作了明确规定，符合要求。</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三层次文件：管理制度、</w:t>
            </w:r>
            <w:r>
              <w:rPr>
                <w:rFonts w:hint="eastAsia" w:ascii="华文细黑" w:hAnsi="华文细黑" w:cs="华文细黑"/>
                <w:bCs w:val="0"/>
                <w:spacing w:val="0"/>
                <w:kern w:val="2"/>
                <w:sz w:val="21"/>
                <w:szCs w:val="21"/>
                <w:lang w:val="en-US" w:eastAsia="zh-CN" w:bidi="ar-SA"/>
              </w:rPr>
              <w:t>操作规程等</w:t>
            </w:r>
            <w:r>
              <w:rPr>
                <w:rFonts w:hint="eastAsia" w:ascii="华文细黑" w:hAnsi="华文细黑" w:eastAsia="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四级文件包括：内审记录、管理评审</w:t>
            </w:r>
            <w:r>
              <w:rPr>
                <w:rFonts w:hint="eastAsia" w:ascii="华文细黑" w:hAnsi="华文细黑" w:cs="华文细黑"/>
                <w:bCs w:val="0"/>
                <w:spacing w:val="0"/>
                <w:kern w:val="2"/>
                <w:sz w:val="21"/>
                <w:szCs w:val="21"/>
                <w:lang w:val="en-US" w:eastAsia="zh-CN" w:bidi="ar-SA"/>
              </w:rPr>
              <w:t>记录</w:t>
            </w:r>
            <w:r>
              <w:rPr>
                <w:rFonts w:hint="eastAsia" w:ascii="华文细黑" w:hAnsi="华文细黑" w:eastAsia="华文细黑" w:cs="华文细黑"/>
                <w:bCs w:val="0"/>
                <w:spacing w:val="0"/>
                <w:kern w:val="2"/>
                <w:sz w:val="21"/>
                <w:szCs w:val="21"/>
                <w:lang w:val="en-US" w:eastAsia="zh-CN" w:bidi="ar-SA"/>
              </w:rPr>
              <w:t>等。明确了记录名称、编号、使用保存部门、保存期限等，并经审核后使用。组织各记录由各使用部门保存。</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cs="华文细黑"/>
                <w:bCs w:val="0"/>
                <w:spacing w:val="0"/>
                <w:kern w:val="2"/>
                <w:sz w:val="21"/>
                <w:szCs w:val="21"/>
                <w:lang w:val="en-US" w:eastAsia="zh-CN" w:bidi="ar-SA"/>
              </w:rPr>
              <w:t>从行政部了解到</w:t>
            </w:r>
            <w:r>
              <w:rPr>
                <w:rFonts w:hint="eastAsia" w:ascii="华文细黑" w:hAnsi="华文细黑" w:eastAsia="华文细黑" w:cs="华文细黑"/>
                <w:bCs w:val="0"/>
                <w:spacing w:val="0"/>
                <w:kern w:val="2"/>
                <w:sz w:val="21"/>
                <w:szCs w:val="21"/>
                <w:lang w:val="en-US" w:eastAsia="zh-CN" w:bidi="ar-SA"/>
              </w:rPr>
              <w:t>，</w:t>
            </w:r>
            <w:r>
              <w:rPr>
                <w:rFonts w:hint="eastAsia" w:ascii="华文细黑" w:hAnsi="华文细黑" w:cs="华文细黑"/>
                <w:bCs w:val="0"/>
                <w:spacing w:val="0"/>
                <w:kern w:val="2"/>
                <w:sz w:val="21"/>
                <w:szCs w:val="21"/>
                <w:lang w:val="en-US" w:eastAsia="zh-CN" w:bidi="ar-SA"/>
              </w:rPr>
              <w:t>行政部</w:t>
            </w:r>
            <w:r>
              <w:rPr>
                <w:rFonts w:hint="eastAsia" w:ascii="华文细黑" w:hAnsi="华文细黑" w:eastAsia="华文细黑" w:cs="华文细黑"/>
                <w:bCs w:val="0"/>
                <w:spacing w:val="0"/>
                <w:kern w:val="2"/>
                <w:sz w:val="21"/>
                <w:szCs w:val="21"/>
                <w:lang w:val="en-US" w:eastAsia="zh-CN" w:bidi="ar-SA"/>
              </w:rPr>
              <w:t>已将文件进行了分类，按文件的名称、编号及时间进行归档，检索方便</w:t>
            </w:r>
            <w:r>
              <w:rPr>
                <w:rFonts w:hint="eastAsia" w:ascii="华文细黑" w:hAnsi="华文细黑" w:cs="华文细黑"/>
                <w:bCs w:val="0"/>
                <w:spacing w:val="0"/>
                <w:kern w:val="2"/>
                <w:sz w:val="21"/>
                <w:szCs w:val="21"/>
                <w:lang w:val="en-US" w:eastAsia="zh-CN" w:bidi="ar-SA"/>
              </w:rPr>
              <w:t>。</w:t>
            </w:r>
            <w:r>
              <w:rPr>
                <w:rFonts w:hint="eastAsia" w:ascii="华文细黑" w:hAnsi="华文细黑" w:eastAsia="华文细黑" w:cs="华文细黑"/>
                <w:bCs w:val="0"/>
                <w:spacing w:val="0"/>
                <w:kern w:val="2"/>
                <w:sz w:val="21"/>
                <w:szCs w:val="21"/>
                <w:lang w:val="en-US" w:eastAsia="zh-CN" w:bidi="ar-SA"/>
              </w:rPr>
              <w:t>抽查</w:t>
            </w:r>
            <w:r>
              <w:rPr>
                <w:rFonts w:hint="eastAsia" w:ascii="华文细黑" w:hAnsi="华文细黑" w:cs="华文细黑"/>
                <w:bCs w:val="0"/>
                <w:spacing w:val="0"/>
                <w:kern w:val="2"/>
                <w:sz w:val="21"/>
                <w:szCs w:val="21"/>
                <w:lang w:val="en-US" w:eastAsia="zh-CN" w:bidi="ar-SA"/>
              </w:rPr>
              <w:t>行政部</w:t>
            </w:r>
            <w:r>
              <w:rPr>
                <w:rFonts w:hint="eastAsia" w:ascii="华文细黑" w:hAnsi="华文细黑" w:eastAsia="华文细黑" w:cs="华文细黑"/>
                <w:bCs w:val="0"/>
                <w:spacing w:val="0"/>
                <w:kern w:val="2"/>
                <w:sz w:val="21"/>
                <w:szCs w:val="21"/>
                <w:lang w:val="en-US" w:eastAsia="zh-CN" w:bidi="ar-SA"/>
              </w:rPr>
              <w:t>保存的记录包括内部审核资料、管理评审资料等，均已装订成册，归档文件、记录存放于通风、干燥、防蛀的文件柜内，环境干燥、通风，符合文件归档及防护的要求。</w:t>
            </w:r>
          </w:p>
          <w:p>
            <w:pPr>
              <w:ind w:firstLine="420" w:firstLineChars="200"/>
              <w:jc w:val="left"/>
              <w:rPr>
                <w:rFonts w:hint="default"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抽查文件发放记录：</w:t>
            </w:r>
            <w:r>
              <w:rPr>
                <w:rFonts w:hint="eastAsia" w:ascii="宋体" w:hAnsi="宋体"/>
                <w:sz w:val="21"/>
                <w:szCs w:val="21"/>
              </w:rPr>
              <w:t>职业健康安全法律、法规遵守情况评价表</w:t>
            </w:r>
            <w:r>
              <w:rPr>
                <w:rFonts w:hint="eastAsia" w:ascii="华文细黑" w:hAnsi="华文细黑" w:eastAsia="华文细黑" w:cs="华文细黑"/>
                <w:bCs w:val="0"/>
                <w:spacing w:val="0"/>
                <w:kern w:val="2"/>
                <w:sz w:val="21"/>
                <w:szCs w:val="21"/>
                <w:lang w:val="en-US" w:eastAsia="zh-CN" w:bidi="ar-SA"/>
              </w:rPr>
              <w:t>等相关的文件下发记录。</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cs="华文细黑"/>
                <w:bCs w:val="0"/>
                <w:spacing w:val="0"/>
                <w:kern w:val="2"/>
                <w:sz w:val="21"/>
                <w:szCs w:val="21"/>
                <w:lang w:val="en-US" w:eastAsia="zh-CN" w:bidi="ar-SA"/>
              </w:rPr>
              <w:t>行政部负责人宣雅倩</w:t>
            </w:r>
            <w:r>
              <w:rPr>
                <w:rFonts w:hint="eastAsia" w:ascii="华文细黑" w:hAnsi="华文细黑" w:eastAsia="华文细黑" w:cs="华文细黑"/>
                <w:bCs w:val="0"/>
                <w:spacing w:val="0"/>
                <w:kern w:val="2"/>
                <w:sz w:val="21"/>
                <w:szCs w:val="21"/>
                <w:lang w:val="en-US" w:eastAsia="zh-CN" w:bidi="ar-SA"/>
              </w:rPr>
              <w:t>介绍：组织的记录原件原则上不外借，其它记录查阅时须有关部门同意后，方可查阅。</w:t>
            </w:r>
          </w:p>
          <w:p>
            <w:pPr>
              <w:ind w:firstLine="420" w:firstLineChars="200"/>
              <w:jc w:val="left"/>
              <w:rPr>
                <w:rFonts w:hint="eastAsia" w:ascii="华文细黑" w:hAnsi="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查外来文件：组织识别了与</w:t>
            </w:r>
            <w:r>
              <w:rPr>
                <w:rFonts w:hint="eastAsia" w:ascii="华文细黑" w:hAnsi="华文细黑" w:cs="华文细黑"/>
                <w:bCs w:val="0"/>
                <w:spacing w:val="0"/>
                <w:kern w:val="2"/>
                <w:sz w:val="21"/>
                <w:szCs w:val="21"/>
                <w:lang w:val="en-US" w:eastAsia="zh-CN" w:bidi="ar-SA"/>
              </w:rPr>
              <w:t>环境和职业健康安全</w:t>
            </w:r>
            <w:r>
              <w:rPr>
                <w:rFonts w:hint="eastAsia" w:ascii="华文细黑" w:hAnsi="华文细黑" w:eastAsia="华文细黑" w:cs="华文细黑"/>
                <w:bCs w:val="0"/>
                <w:spacing w:val="0"/>
                <w:kern w:val="2"/>
                <w:sz w:val="21"/>
                <w:szCs w:val="21"/>
                <w:lang w:val="en-US" w:eastAsia="zh-CN" w:bidi="ar-SA"/>
              </w:rPr>
              <w:t>管</w:t>
            </w:r>
            <w:r>
              <w:rPr>
                <w:rFonts w:hint="eastAsia" w:ascii="华文细黑" w:hAnsi="华文细黑" w:cs="华文细黑"/>
                <w:bCs w:val="0"/>
                <w:spacing w:val="0"/>
                <w:kern w:val="2"/>
                <w:sz w:val="21"/>
                <w:szCs w:val="21"/>
                <w:lang w:val="en-US" w:eastAsia="zh-CN" w:bidi="ar-SA"/>
              </w:rPr>
              <w:t>理体系运行有关的国家法律法规及标准等，如《中华人民共和国环境保护法》、《中华人民共和国安全生产法》等，组织识别的适用法律法规和标准内容基本完整。</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变更：</w:t>
            </w:r>
            <w:r>
              <w:rPr>
                <w:rFonts w:hint="eastAsia" w:ascii="华文细黑" w:hAnsi="华文细黑" w:cs="华文细黑"/>
                <w:bCs w:val="0"/>
                <w:spacing w:val="0"/>
                <w:kern w:val="2"/>
                <w:sz w:val="21"/>
                <w:szCs w:val="21"/>
                <w:lang w:val="en-US" w:eastAsia="zh-CN" w:bidi="ar-SA"/>
              </w:rPr>
              <w:t>无变更记录</w:t>
            </w:r>
            <w:r>
              <w:rPr>
                <w:rFonts w:hint="eastAsia" w:ascii="华文细黑" w:hAnsi="华文细黑" w:eastAsia="华文细黑" w:cs="华文细黑"/>
                <w:bCs w:val="0"/>
                <w:spacing w:val="0"/>
                <w:kern w:val="2"/>
                <w:sz w:val="21"/>
                <w:szCs w:val="21"/>
                <w:lang w:val="en-US" w:eastAsia="zh-CN" w:bidi="ar-SA"/>
              </w:rPr>
              <w:t>。</w:t>
            </w:r>
          </w:p>
          <w:p>
            <w:pPr>
              <w:ind w:firstLine="420" w:firstLineChars="200"/>
              <w:jc w:val="left"/>
              <w:rPr>
                <w:rFonts w:hint="eastAsia" w:ascii="华文细黑" w:hAnsi="华文细黑" w:eastAsia="华文细黑" w:cs="华文细黑"/>
                <w:bCs w:val="0"/>
                <w:spacing w:val="0"/>
                <w:kern w:val="2"/>
                <w:sz w:val="21"/>
                <w:szCs w:val="21"/>
                <w:lang w:val="en-US" w:eastAsia="zh-CN" w:bidi="ar-SA"/>
              </w:rPr>
            </w:pPr>
            <w:r>
              <w:rPr>
                <w:rFonts w:hint="eastAsia" w:ascii="华文细黑" w:hAnsi="华文细黑" w:eastAsia="华文细黑" w:cs="华文细黑"/>
                <w:bCs w:val="0"/>
                <w:spacing w:val="0"/>
                <w:kern w:val="2"/>
                <w:sz w:val="21"/>
                <w:szCs w:val="21"/>
                <w:lang w:val="en-US" w:eastAsia="zh-CN" w:bidi="ar-SA"/>
              </w:rPr>
              <w:t>作废：暂无记录。</w:t>
            </w:r>
          </w:p>
          <w:p>
            <w:pPr>
              <w:spacing w:line="280" w:lineRule="exact"/>
              <w:ind w:firstLine="420" w:firstLineChars="200"/>
              <w:rPr>
                <w:rFonts w:hint="eastAsia" w:ascii="宋体" w:hAnsi="宋体" w:cs="宋体"/>
                <w:szCs w:val="21"/>
              </w:rPr>
            </w:pPr>
            <w:r>
              <w:rPr>
                <w:rFonts w:hint="eastAsia" w:ascii="华文细黑" w:hAnsi="华文细黑" w:eastAsia="华文细黑" w:cs="华文细黑"/>
                <w:bCs w:val="0"/>
                <w:spacing w:val="0"/>
                <w:kern w:val="2"/>
                <w:sz w:val="21"/>
                <w:szCs w:val="21"/>
                <w:lang w:val="en-US" w:eastAsia="zh-CN" w:bidi="ar-SA"/>
              </w:rPr>
              <w:t>综上，组织的文件、记录等的控制基本有效。</w:t>
            </w:r>
          </w:p>
        </w:tc>
        <w:tc>
          <w:tcPr>
            <w:tcW w:w="1045" w:type="dxa"/>
            <w:vAlign w:val="top"/>
          </w:tcPr>
          <w:p>
            <w:pPr>
              <w:rPr>
                <w:rFonts w:hint="eastAsia" w:eastAsia="华文细黑"/>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30" w:type="dxa"/>
          </w:tcPr>
          <w:p>
            <w:pPr>
              <w:bidi w:val="0"/>
              <w:rPr>
                <w:rFonts w:hint="eastAsia"/>
              </w:rPr>
            </w:pPr>
            <w:r>
              <w:rPr>
                <w:rFonts w:hint="eastAsia"/>
              </w:rPr>
              <w:t>运行策划和控制</w:t>
            </w:r>
          </w:p>
          <w:p>
            <w:pPr>
              <w:bidi w:val="0"/>
              <w:rPr>
                <w:rFonts w:hint="eastAsia"/>
              </w:rPr>
            </w:pPr>
          </w:p>
        </w:tc>
        <w:tc>
          <w:tcPr>
            <w:tcW w:w="1068" w:type="dxa"/>
          </w:tcPr>
          <w:p>
            <w:pPr>
              <w:bidi w:val="0"/>
              <w:rPr>
                <w:rFonts w:hint="eastAsia"/>
              </w:rPr>
            </w:pPr>
            <w:r>
              <w:rPr>
                <w:rFonts w:hint="eastAsia"/>
                <w:lang w:eastAsia="zh-CN"/>
              </w:rPr>
              <w:t>EO</w:t>
            </w:r>
            <w:r>
              <w:rPr>
                <w:rFonts w:hint="eastAsia"/>
              </w:rPr>
              <w:t>8.1</w:t>
            </w:r>
          </w:p>
        </w:tc>
        <w:tc>
          <w:tcPr>
            <w:tcW w:w="12151" w:type="dxa"/>
            <w:vAlign w:val="center"/>
          </w:tcPr>
          <w:p>
            <w:pPr>
              <w:spacing w:line="280" w:lineRule="exact"/>
              <w:ind w:firstLine="421"/>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组织</w:t>
            </w:r>
            <w:r>
              <w:rPr>
                <w:rFonts w:hint="eastAsia" w:ascii="华文细黑" w:hAnsi="华文细黑" w:eastAsia="华文细黑" w:cs="华文细黑"/>
              </w:rPr>
              <w:t>编制</w:t>
            </w:r>
            <w:r>
              <w:rPr>
                <w:rFonts w:hint="eastAsia" w:ascii="华文细黑" w:hAnsi="华文细黑" w:eastAsia="华文细黑" w:cs="华文细黑"/>
                <w:lang w:val="en-US" w:eastAsia="zh-CN"/>
              </w:rPr>
              <w:t>了</w:t>
            </w:r>
            <w:r>
              <w:rPr>
                <w:rFonts w:hint="eastAsia" w:ascii="华文细黑" w:hAnsi="华文细黑" w:eastAsia="华文细黑" w:cs="华文细黑"/>
              </w:rPr>
              <w:t>与环境、安全管理体系运行控制有关的文件</w:t>
            </w:r>
            <w:r>
              <w:rPr>
                <w:rFonts w:hint="eastAsia" w:ascii="华文细黑" w:hAnsi="华文细黑" w:eastAsia="华文细黑" w:cs="华文细黑"/>
                <w:lang w:val="en-US" w:eastAsia="zh-CN"/>
              </w:rPr>
              <w:t>包括</w:t>
            </w:r>
            <w:r>
              <w:rPr>
                <w:rFonts w:hint="eastAsia" w:ascii="华文细黑" w:hAnsi="华文细黑" w:eastAsia="华文细黑" w:cs="华文细黑"/>
              </w:rPr>
              <w:t>《环境与职业健康安全管理方案控制程序》等</w:t>
            </w:r>
            <w:r>
              <w:rPr>
                <w:rFonts w:hint="eastAsia" w:ascii="华文细黑" w:hAnsi="华文细黑" w:eastAsia="华文细黑" w:cs="华文细黑"/>
                <w:lang w:eastAsia="zh-CN"/>
              </w:rPr>
              <w:t>，</w:t>
            </w:r>
            <w:r>
              <w:rPr>
                <w:rFonts w:hint="eastAsia" w:ascii="华文细黑" w:hAnsi="华文细黑" w:eastAsia="华文细黑" w:cs="华文细黑"/>
                <w:lang w:val="en-US" w:eastAsia="zh-CN"/>
              </w:rPr>
              <w:t>基本满足策划的要求</w:t>
            </w:r>
            <w:r>
              <w:rPr>
                <w:rFonts w:hint="eastAsia" w:ascii="华文细黑" w:hAnsi="华文细黑" w:eastAsia="华文细黑" w:cs="华文细黑"/>
              </w:rPr>
              <w:t>。</w:t>
            </w:r>
            <w:r>
              <w:rPr>
                <w:rFonts w:hint="eastAsia" w:ascii="华文细黑" w:hAnsi="华文细黑" w:eastAsia="华文细黑" w:cs="华文细黑"/>
                <w:lang w:val="en-US" w:eastAsia="zh-CN"/>
              </w:rPr>
              <w:t>另</w:t>
            </w:r>
            <w:r>
              <w:rPr>
                <w:rFonts w:hint="eastAsia" w:ascii="华文细黑" w:hAnsi="华文细黑" w:cs="华文细黑"/>
                <w:lang w:val="en-US" w:eastAsia="zh-CN"/>
              </w:rPr>
              <w:t>行政部</w:t>
            </w:r>
            <w:r>
              <w:rPr>
                <w:rFonts w:hint="eastAsia" w:ascii="华文细黑" w:hAnsi="华文细黑" w:eastAsia="华文细黑" w:cs="华文细黑"/>
                <w:lang w:val="en-US" w:eastAsia="zh-CN"/>
              </w:rPr>
              <w:t>统筹管理的环境和职业健康安全运行控制情况基本如下：</w:t>
            </w:r>
          </w:p>
          <w:p>
            <w:pPr>
              <w:numPr>
                <w:ilvl w:val="0"/>
                <w:numId w:val="0"/>
              </w:numPr>
              <w:spacing w:line="280" w:lineRule="exact"/>
              <w:ind w:left="420" w:leftChars="0"/>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1.</w:t>
            </w:r>
            <w:r>
              <w:rPr>
                <w:rFonts w:hint="eastAsia" w:ascii="华文细黑" w:hAnsi="华文细黑" w:eastAsia="华文细黑" w:cs="华文细黑"/>
                <w:color w:val="auto"/>
              </w:rPr>
              <w:t>固废管控</w:t>
            </w:r>
          </w:p>
          <w:p>
            <w:pPr>
              <w:spacing w:line="280" w:lineRule="exact"/>
              <w:ind w:firstLine="420" w:firstLineChars="200"/>
              <w:jc w:val="left"/>
              <w:rPr>
                <w:rFonts w:hint="default" w:ascii="华文细黑" w:hAnsi="华文细黑" w:eastAsia="华文细黑" w:cs="华文细黑"/>
                <w:color w:val="auto"/>
                <w:szCs w:val="21"/>
                <w:lang w:val="en-US" w:eastAsia="zh-CN"/>
              </w:rPr>
            </w:pPr>
            <w:r>
              <w:rPr>
                <w:rFonts w:hint="eastAsia" w:ascii="华文细黑" w:hAnsi="华文细黑" w:cs="华文细黑"/>
                <w:color w:val="auto"/>
                <w:szCs w:val="21"/>
                <w:lang w:val="en-US" w:eastAsia="zh-CN"/>
              </w:rPr>
              <w:t>组织的固废分为一般固废和危险固废。一般固废包括一般生活垃圾和车间搜集粉尘；危险固废包括废活性炭，由有资质单位进行处置。</w:t>
            </w:r>
          </w:p>
          <w:p>
            <w:pPr>
              <w:spacing w:line="280" w:lineRule="exact"/>
              <w:ind w:firstLine="420" w:firstLineChars="200"/>
              <w:jc w:val="left"/>
              <w:rPr>
                <w:rFonts w:hint="default" w:ascii="华文细黑" w:hAnsi="华文细黑" w:eastAsia="华文细黑" w:cs="华文细黑"/>
                <w:color w:val="FF0000"/>
                <w:szCs w:val="21"/>
                <w:lang w:val="en-US"/>
              </w:rPr>
            </w:pPr>
            <w:r>
              <w:rPr>
                <w:rFonts w:hint="eastAsia" w:ascii="华文细黑" w:hAnsi="华文细黑" w:cs="华文细黑"/>
                <w:color w:val="auto"/>
                <w:szCs w:val="21"/>
                <w:lang w:val="en-US" w:eastAsia="zh-CN"/>
              </w:rPr>
              <w:t>提供</w:t>
            </w:r>
            <w:r>
              <w:rPr>
                <w:rFonts w:hint="eastAsia" w:ascii="华文细黑" w:hAnsi="华文细黑" w:eastAsia="华文细黑" w:cs="华文细黑"/>
                <w:color w:val="auto"/>
                <w:szCs w:val="21"/>
                <w:lang w:val="en-US" w:eastAsia="zh-CN"/>
              </w:rPr>
              <w:t>《危险废物</w:t>
            </w:r>
            <w:r>
              <w:rPr>
                <w:rFonts w:hint="eastAsia" w:ascii="华文细黑" w:hAnsi="华文细黑" w:cs="华文细黑"/>
                <w:color w:val="auto"/>
                <w:szCs w:val="21"/>
                <w:lang w:val="en-US" w:eastAsia="zh-CN"/>
              </w:rPr>
              <w:t>收集转运</w:t>
            </w:r>
            <w:r>
              <w:rPr>
                <w:rFonts w:hint="eastAsia" w:ascii="华文细黑" w:hAnsi="华文细黑" w:eastAsia="华文细黑" w:cs="华文细黑"/>
                <w:color w:val="auto"/>
                <w:szCs w:val="21"/>
                <w:lang w:val="en-US" w:eastAsia="zh-CN"/>
              </w:rPr>
              <w:t>合同》</w:t>
            </w:r>
            <w:r>
              <w:rPr>
                <w:rFonts w:hint="eastAsia" w:ascii="华文细黑" w:hAnsi="华文细黑" w:cs="华文细黑"/>
                <w:color w:val="auto"/>
                <w:szCs w:val="21"/>
                <w:lang w:val="en-US" w:eastAsia="zh-CN"/>
              </w:rPr>
              <w:t>（巢湖辉昂废旧物资回收有限公司）；现场查看情况见生产部EO8.1记录。</w:t>
            </w:r>
          </w:p>
          <w:p>
            <w:pPr>
              <w:spacing w:line="280" w:lineRule="exact"/>
              <w:ind w:firstLine="420" w:firstLineChars="200"/>
              <w:jc w:val="left"/>
              <w:rPr>
                <w:rFonts w:hint="default" w:ascii="华文细黑" w:hAnsi="华文细黑" w:eastAsia="华文细黑" w:cs="华文细黑"/>
                <w:color w:val="FF0000"/>
                <w:szCs w:val="21"/>
                <w:lang w:val="en-US" w:eastAsia="zh-CN"/>
              </w:rPr>
            </w:pPr>
            <w:r>
              <w:rPr>
                <w:rFonts w:hint="eastAsia" w:ascii="华文细黑" w:hAnsi="华文细黑" w:cs="华文细黑"/>
                <w:color w:val="auto"/>
                <w:szCs w:val="21"/>
                <w:lang w:val="en-US" w:eastAsia="zh-CN"/>
              </w:rPr>
              <w:t>搜集粉尘和危废处置见生产部EO记录。</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2.</w:t>
            </w:r>
            <w:r>
              <w:rPr>
                <w:rFonts w:hint="eastAsia" w:ascii="华文细黑" w:hAnsi="华文细黑" w:eastAsia="华文细黑" w:cs="华文细黑"/>
                <w:color w:val="auto"/>
              </w:rPr>
              <w:t>废水管控</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rPr>
              <w:t>主要生活废水排入政府污水管网统一处理。</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3.</w:t>
            </w:r>
            <w:r>
              <w:rPr>
                <w:rFonts w:hint="eastAsia" w:ascii="华文细黑" w:hAnsi="华文细黑" w:eastAsia="华文细黑" w:cs="华文细黑"/>
                <w:color w:val="auto"/>
              </w:rPr>
              <w:t>废气管控</w:t>
            </w:r>
          </w:p>
          <w:p>
            <w:pPr>
              <w:spacing w:line="280" w:lineRule="exact"/>
              <w:ind w:firstLine="421"/>
              <w:jc w:val="left"/>
              <w:rPr>
                <w:rFonts w:hint="default" w:ascii="华文细黑" w:hAnsi="华文细黑" w:eastAsia="华文细黑" w:cs="华文细黑"/>
                <w:color w:val="auto"/>
                <w:lang w:val="en-US" w:eastAsia="zh-CN"/>
              </w:rPr>
            </w:pPr>
            <w:r>
              <w:rPr>
                <w:rFonts w:hint="eastAsia" w:ascii="华文细黑" w:hAnsi="华文细黑" w:eastAsia="华文细黑" w:cs="华文细黑"/>
                <w:color w:val="auto"/>
              </w:rPr>
              <w:t>办公现场基本无废气排放</w:t>
            </w:r>
            <w:r>
              <w:rPr>
                <w:rFonts w:hint="eastAsia" w:ascii="华文细黑" w:hAnsi="华文细黑" w:cs="华文细黑"/>
                <w:color w:val="auto"/>
                <w:lang w:eastAsia="zh-CN"/>
              </w:rPr>
              <w:t>，</w:t>
            </w:r>
            <w:r>
              <w:rPr>
                <w:rFonts w:hint="eastAsia" w:ascii="华文细黑" w:hAnsi="华文细黑" w:cs="华文细黑"/>
                <w:color w:val="auto"/>
                <w:lang w:val="en-US" w:eastAsia="zh-CN"/>
              </w:rPr>
              <w:t>工艺废气处理见生产部EO8.1记录。</w:t>
            </w:r>
          </w:p>
          <w:p>
            <w:pPr>
              <w:spacing w:line="280" w:lineRule="exact"/>
              <w:ind w:firstLine="421"/>
              <w:jc w:val="left"/>
              <w:rPr>
                <w:rFonts w:hint="eastAsia" w:ascii="华文细黑" w:hAnsi="华文细黑" w:eastAsia="华文细黑" w:cs="华文细黑"/>
                <w:color w:val="auto"/>
              </w:rPr>
            </w:pPr>
            <w:r>
              <w:rPr>
                <w:rFonts w:hint="eastAsia" w:ascii="华文细黑" w:hAnsi="华文细黑" w:eastAsia="华文细黑" w:cs="华文细黑"/>
                <w:color w:val="auto"/>
                <w:lang w:val="en-US" w:eastAsia="zh-CN"/>
              </w:rPr>
              <w:t>4.</w:t>
            </w:r>
            <w:r>
              <w:rPr>
                <w:rFonts w:hint="eastAsia" w:ascii="华文细黑" w:hAnsi="华文细黑" w:eastAsia="华文细黑" w:cs="华文细黑"/>
                <w:color w:val="auto"/>
              </w:rPr>
              <w:t>噪声管控</w:t>
            </w:r>
          </w:p>
          <w:p>
            <w:pPr>
              <w:spacing w:line="280" w:lineRule="exact"/>
              <w:ind w:firstLine="421"/>
              <w:jc w:val="left"/>
              <w:rPr>
                <w:rFonts w:hint="default" w:ascii="华文细黑" w:hAnsi="华文细黑" w:eastAsia="华文细黑" w:cs="华文细黑"/>
                <w:color w:val="auto"/>
                <w:szCs w:val="22"/>
                <w:lang w:val="en-US" w:eastAsia="zh-CN"/>
              </w:rPr>
            </w:pPr>
            <w:r>
              <w:rPr>
                <w:rFonts w:hint="eastAsia" w:ascii="华文细黑" w:hAnsi="华文细黑" w:eastAsia="华文细黑" w:cs="华文细黑"/>
                <w:color w:val="auto"/>
              </w:rPr>
              <w:t>办公噪声主要是复印机运行，噪声较低，采取措施按时清洁保养。</w:t>
            </w:r>
            <w:r>
              <w:rPr>
                <w:rFonts w:hint="eastAsia" w:ascii="华文细黑" w:hAnsi="华文细黑" w:cs="华文细黑"/>
                <w:color w:val="auto"/>
                <w:szCs w:val="22"/>
                <w:lang w:val="en-US" w:eastAsia="zh-CN"/>
              </w:rPr>
              <w:t>车间噪声见生产部EO8.1记录。</w:t>
            </w:r>
          </w:p>
          <w:p>
            <w:pPr>
              <w:numPr>
                <w:ilvl w:val="0"/>
                <w:numId w:val="0"/>
              </w:numPr>
              <w:spacing w:line="280" w:lineRule="exact"/>
              <w:ind w:left="420" w:leftChars="0"/>
              <w:jc w:val="left"/>
              <w:rPr>
                <w:rFonts w:hint="default" w:ascii="华文细黑" w:hAnsi="华文细黑" w:eastAsia="华文细黑" w:cs="华文细黑"/>
                <w:color w:val="auto"/>
                <w:highlight w:val="none"/>
                <w:lang w:val="en-US"/>
              </w:rPr>
            </w:pPr>
            <w:r>
              <w:rPr>
                <w:rFonts w:hint="eastAsia" w:ascii="华文细黑" w:hAnsi="华文细黑" w:eastAsia="华文细黑" w:cs="华文细黑"/>
                <w:color w:val="auto"/>
                <w:szCs w:val="22"/>
                <w:lang w:val="en-US" w:eastAsia="zh-CN"/>
              </w:rPr>
              <w:t>5.职业健康安全</w:t>
            </w:r>
            <w:r>
              <w:rPr>
                <w:rFonts w:hint="eastAsia" w:ascii="华文细黑" w:hAnsi="华文细黑" w:cs="华文细黑"/>
                <w:color w:val="auto"/>
                <w:szCs w:val="22"/>
                <w:lang w:val="en-US" w:eastAsia="zh-CN"/>
              </w:rPr>
              <w:t>防护</w:t>
            </w:r>
          </w:p>
          <w:p>
            <w:pPr>
              <w:pStyle w:val="4"/>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华文细黑" w:hAnsi="华文细黑" w:eastAsia="华文细黑" w:cs="华文细黑"/>
                <w:color w:val="auto"/>
                <w:lang w:val="en-US" w:eastAsia="zh-CN"/>
              </w:rPr>
            </w:pPr>
            <w:r>
              <w:rPr>
                <w:rFonts w:hint="eastAsia" w:ascii="华文细黑" w:hAnsi="华文细黑" w:cs="华文细黑"/>
                <w:color w:val="auto"/>
                <w:lang w:val="en-US" w:eastAsia="zh-CN"/>
              </w:rPr>
              <w:t>组织办公环境优良，工位配套设施齐全，每年安排员工进行体检；办公区域电器</w:t>
            </w:r>
            <w:r>
              <w:rPr>
                <w:rFonts w:hint="eastAsia" w:ascii="华文细黑" w:hAnsi="华文细黑" w:eastAsia="华文细黑" w:cs="华文细黑"/>
                <w:color w:val="auto"/>
              </w:rPr>
              <w:t>不允许私拉乱扔</w:t>
            </w:r>
            <w:r>
              <w:rPr>
                <w:rFonts w:hint="eastAsia" w:ascii="华文细黑" w:hAnsi="华文细黑" w:cs="华文细黑"/>
                <w:color w:val="auto"/>
                <w:lang w:eastAsia="zh-CN"/>
              </w:rPr>
              <w:t>；</w:t>
            </w:r>
            <w:r>
              <w:rPr>
                <w:rFonts w:hint="eastAsia" w:ascii="华文细黑" w:hAnsi="华文细黑" w:eastAsia="华文细黑" w:cs="华文细黑"/>
                <w:color w:val="auto"/>
              </w:rPr>
              <w:t>疫情期间</w:t>
            </w:r>
            <w:r>
              <w:rPr>
                <w:rFonts w:hint="eastAsia" w:ascii="华文细黑" w:hAnsi="华文细黑" w:cs="华文细黑"/>
                <w:color w:val="auto"/>
                <w:lang w:val="en-US" w:eastAsia="zh-CN"/>
              </w:rPr>
              <w:t>按照当地防疫政策要求亮码，</w:t>
            </w:r>
            <w:r>
              <w:rPr>
                <w:rFonts w:hint="eastAsia" w:ascii="华文细黑" w:hAnsi="华文细黑" w:eastAsia="华文细黑" w:cs="华文细黑"/>
                <w:color w:val="auto"/>
              </w:rPr>
              <w:t>同时做好疫苗接种等工作</w:t>
            </w:r>
            <w:r>
              <w:rPr>
                <w:rFonts w:hint="eastAsia" w:ascii="华文细黑" w:hAnsi="华文细黑" w:cs="华文细黑"/>
                <w:color w:val="auto"/>
                <w:lang w:eastAsia="zh-CN"/>
              </w:rPr>
              <w:t>；</w:t>
            </w:r>
            <w:r>
              <w:rPr>
                <w:rFonts w:hint="eastAsia" w:ascii="华文细黑" w:hAnsi="华文细黑" w:cs="华文细黑"/>
                <w:color w:val="auto"/>
                <w:lang w:val="en-US" w:eastAsia="zh-CN"/>
              </w:rPr>
              <w:t>组织定期</w:t>
            </w:r>
            <w:r>
              <w:rPr>
                <w:rFonts w:hint="eastAsia" w:ascii="华文细黑" w:hAnsi="华文细黑" w:eastAsia="华文细黑" w:cs="华文细黑"/>
                <w:color w:val="auto"/>
              </w:rPr>
              <w:t>给员工发放口罩</w:t>
            </w:r>
            <w:r>
              <w:rPr>
                <w:rFonts w:hint="eastAsia" w:ascii="华文细黑" w:hAnsi="华文细黑" w:cs="华文细黑"/>
                <w:color w:val="auto"/>
                <w:lang w:eastAsia="zh-CN"/>
              </w:rPr>
              <w:t>、</w:t>
            </w:r>
            <w:r>
              <w:rPr>
                <w:rFonts w:hint="eastAsia" w:ascii="华文细黑" w:hAnsi="华文细黑" w:cs="华文细黑"/>
                <w:color w:val="auto"/>
                <w:lang w:val="en-US" w:eastAsia="zh-CN"/>
              </w:rPr>
              <w:t>手套</w:t>
            </w:r>
            <w:r>
              <w:rPr>
                <w:rFonts w:hint="eastAsia" w:ascii="华文细黑" w:hAnsi="华文细黑" w:eastAsia="华文细黑" w:cs="华文细黑"/>
                <w:color w:val="auto"/>
              </w:rPr>
              <w:t>等劳保用品</w:t>
            </w:r>
            <w:r>
              <w:rPr>
                <w:rFonts w:hint="eastAsia" w:ascii="华文细黑" w:hAnsi="华文细黑" w:cs="华文细黑"/>
                <w:color w:val="auto"/>
                <w:lang w:val="en-US" w:eastAsia="zh-CN"/>
              </w:rPr>
              <w:t>。</w:t>
            </w:r>
          </w:p>
        </w:tc>
        <w:tc>
          <w:tcPr>
            <w:tcW w:w="1045" w:type="dxa"/>
          </w:tcPr>
          <w:p>
            <w:pPr>
              <w:pStyle w:val="4"/>
              <w:ind w:firstLine="0" w:firstLineChars="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30" w:type="dxa"/>
          </w:tcPr>
          <w:p>
            <w:pPr>
              <w:spacing w:line="280" w:lineRule="exact"/>
              <w:rPr>
                <w:rFonts w:hint="eastAsia" w:ascii="华文细黑" w:hAnsi="华文细黑" w:eastAsia="华文细黑" w:cs="华文细黑"/>
                <w:b/>
                <w:szCs w:val="21"/>
              </w:rPr>
            </w:pPr>
            <w:r>
              <w:rPr>
                <w:rFonts w:hint="eastAsia" w:ascii="华文细黑" w:hAnsi="华文细黑" w:eastAsia="华文细黑" w:cs="华文细黑"/>
                <w:szCs w:val="21"/>
              </w:rPr>
              <w:t>应急响应和准备</w:t>
            </w:r>
          </w:p>
        </w:tc>
        <w:tc>
          <w:tcPr>
            <w:tcW w:w="1068" w:type="dxa"/>
          </w:tcPr>
          <w:p>
            <w:pPr>
              <w:spacing w:line="280" w:lineRule="exact"/>
              <w:rPr>
                <w:rFonts w:hint="eastAsia" w:ascii="华文细黑" w:hAnsi="华文细黑" w:eastAsia="华文细黑" w:cs="华文细黑"/>
                <w:szCs w:val="21"/>
              </w:rPr>
            </w:pPr>
            <w:r>
              <w:rPr>
                <w:rFonts w:hint="eastAsia" w:ascii="华文细黑" w:hAnsi="华文细黑" w:cs="华文细黑"/>
                <w:szCs w:val="21"/>
                <w:lang w:eastAsia="zh-CN"/>
              </w:rPr>
              <w:t>EO</w:t>
            </w:r>
            <w:r>
              <w:rPr>
                <w:rFonts w:hint="eastAsia" w:ascii="华文细黑" w:hAnsi="华文细黑" w:eastAsia="华文细黑" w:cs="华文细黑"/>
                <w:szCs w:val="21"/>
              </w:rPr>
              <w:t>8.2</w:t>
            </w:r>
          </w:p>
        </w:tc>
        <w:tc>
          <w:tcPr>
            <w:tcW w:w="12151" w:type="dxa"/>
            <w:vAlign w:val="center"/>
          </w:tcPr>
          <w:p>
            <w:pPr>
              <w:ind w:firstLine="420" w:firstLineChars="200"/>
              <w:rPr>
                <w:color w:val="FF0000"/>
                <w:szCs w:val="21"/>
              </w:rPr>
            </w:pPr>
            <w:r>
              <w:rPr>
                <w:rFonts w:hint="eastAsia"/>
                <w:color w:val="auto"/>
                <w:szCs w:val="21"/>
                <w:lang w:val="en-US" w:eastAsia="zh-CN"/>
              </w:rPr>
              <w:t>组织</w:t>
            </w:r>
            <w:r>
              <w:rPr>
                <w:rFonts w:hint="eastAsia"/>
                <w:color w:val="auto"/>
                <w:szCs w:val="21"/>
              </w:rPr>
              <w:t>编制了《</w:t>
            </w:r>
            <w:r>
              <w:rPr>
                <w:rFonts w:hint="eastAsia"/>
                <w:color w:val="auto"/>
                <w:szCs w:val="21"/>
                <w:lang w:eastAsia="zh-CN"/>
              </w:rPr>
              <w:t>应急准备与响应控制程序</w:t>
            </w:r>
            <w:r>
              <w:rPr>
                <w:rFonts w:hint="eastAsia"/>
                <w:color w:val="auto"/>
                <w:szCs w:val="21"/>
              </w:rPr>
              <w:t>》，查看内容</w:t>
            </w:r>
            <w:r>
              <w:rPr>
                <w:rFonts w:hint="eastAsia"/>
                <w:color w:val="auto"/>
                <w:szCs w:val="21"/>
                <w:lang w:eastAsia="zh-CN"/>
              </w:rPr>
              <w:t>，</w:t>
            </w:r>
            <w:r>
              <w:rPr>
                <w:rFonts w:hint="eastAsia"/>
                <w:color w:val="auto"/>
                <w:szCs w:val="21"/>
              </w:rPr>
              <w:t>基本符合要求。</w:t>
            </w:r>
          </w:p>
          <w:p>
            <w:pPr>
              <w:ind w:firstLine="420" w:firstLineChars="200"/>
              <w:rPr>
                <w:rFonts w:hint="eastAsia"/>
                <w:color w:val="auto"/>
                <w:szCs w:val="21"/>
                <w:lang w:val="en-US" w:eastAsia="zh-CN"/>
              </w:rPr>
            </w:pPr>
            <w:r>
              <w:rPr>
                <w:rFonts w:hint="eastAsia"/>
                <w:color w:val="auto"/>
                <w:szCs w:val="21"/>
                <w:lang w:val="en-US" w:eastAsia="zh-CN"/>
              </w:rPr>
              <w:t>组织制定了综合应急预案，内容包括机械伤害、火灾、触电等，</w:t>
            </w:r>
            <w:r>
              <w:rPr>
                <w:rFonts w:hint="eastAsia"/>
                <w:color w:val="auto"/>
                <w:szCs w:val="21"/>
              </w:rPr>
              <w:t>策划成立</w:t>
            </w:r>
            <w:r>
              <w:rPr>
                <w:rFonts w:hint="eastAsia"/>
                <w:color w:val="auto"/>
                <w:szCs w:val="21"/>
                <w:lang w:val="en-US" w:eastAsia="zh-CN"/>
              </w:rPr>
              <w:t>应急救援领导小组</w:t>
            </w:r>
            <w:r>
              <w:rPr>
                <w:rFonts w:hint="eastAsia"/>
                <w:color w:val="auto"/>
                <w:szCs w:val="21"/>
              </w:rPr>
              <w:t>包括</w:t>
            </w:r>
            <w:r>
              <w:rPr>
                <w:rFonts w:hint="eastAsia" w:ascii="宋体"/>
                <w:szCs w:val="21"/>
                <w:lang w:eastAsia="zh-CN"/>
              </w:rPr>
              <w:t>李兵</w:t>
            </w:r>
            <w:r>
              <w:rPr>
                <w:rFonts w:hint="eastAsia"/>
                <w:color w:val="auto"/>
                <w:szCs w:val="21"/>
                <w:lang w:val="en-US" w:eastAsia="zh-CN"/>
              </w:rPr>
              <w:t>、李娟等</w:t>
            </w:r>
            <w:r>
              <w:rPr>
                <w:rFonts w:hint="eastAsia"/>
                <w:color w:val="auto"/>
                <w:szCs w:val="21"/>
              </w:rPr>
              <w:t>；</w:t>
            </w:r>
            <w:r>
              <w:rPr>
                <w:rFonts w:hint="eastAsia"/>
                <w:color w:val="auto"/>
                <w:szCs w:val="21"/>
                <w:lang w:val="en-US" w:eastAsia="zh-CN"/>
              </w:rPr>
              <w:t>责任明确，响应程序清晰，符合要求。</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color w:val="auto"/>
                <w:szCs w:val="21"/>
              </w:rPr>
            </w:pPr>
            <w:r>
              <w:rPr>
                <w:rFonts w:hint="eastAsia"/>
                <w:color w:val="auto"/>
                <w:szCs w:val="21"/>
              </w:rPr>
              <w:t>提供了2</w:t>
            </w:r>
            <w:r>
              <w:rPr>
                <w:color w:val="auto"/>
                <w:szCs w:val="21"/>
              </w:rPr>
              <w:t>02</w:t>
            </w:r>
            <w:r>
              <w:rPr>
                <w:rFonts w:hint="eastAsia"/>
                <w:color w:val="auto"/>
                <w:szCs w:val="21"/>
                <w:lang w:val="en-US" w:eastAsia="zh-CN"/>
              </w:rPr>
              <w:t>2</w:t>
            </w:r>
            <w:r>
              <w:rPr>
                <w:color w:val="auto"/>
                <w:szCs w:val="21"/>
              </w:rPr>
              <w:t>.</w:t>
            </w:r>
            <w:r>
              <w:rPr>
                <w:rFonts w:hint="eastAsia"/>
                <w:color w:val="auto"/>
                <w:szCs w:val="21"/>
                <w:lang w:val="en-US" w:eastAsia="zh-CN"/>
              </w:rPr>
              <w:t>10</w:t>
            </w:r>
            <w:r>
              <w:rPr>
                <w:color w:val="auto"/>
                <w:szCs w:val="21"/>
              </w:rPr>
              <w:t>.</w:t>
            </w:r>
            <w:r>
              <w:rPr>
                <w:rFonts w:hint="eastAsia"/>
                <w:color w:val="auto"/>
                <w:szCs w:val="21"/>
                <w:lang w:val="en-US" w:eastAsia="zh-CN"/>
              </w:rPr>
              <w:t>26</w:t>
            </w:r>
            <w:r>
              <w:rPr>
                <w:rFonts w:hint="eastAsia"/>
                <w:color w:val="auto"/>
                <w:szCs w:val="21"/>
              </w:rPr>
              <w:t>消防灭火演练，参加人员包括</w:t>
            </w:r>
            <w:r>
              <w:rPr>
                <w:rFonts w:hint="eastAsia"/>
                <w:color w:val="auto"/>
                <w:szCs w:val="21"/>
                <w:lang w:val="en-US" w:eastAsia="zh-CN"/>
              </w:rPr>
              <w:t>企业应急救援领导小组和各车间工人</w:t>
            </w:r>
            <w:r>
              <w:rPr>
                <w:rFonts w:hint="eastAsia"/>
                <w:color w:val="auto"/>
                <w:szCs w:val="21"/>
              </w:rPr>
              <w:t>，记录了演练过程，</w:t>
            </w:r>
            <w:r>
              <w:rPr>
                <w:rFonts w:hint="eastAsia"/>
                <w:color w:val="auto"/>
                <w:szCs w:val="21"/>
                <w:lang w:val="en-US" w:eastAsia="zh-CN"/>
              </w:rPr>
              <w:t>询问行政部主任了解到，组织演练结束有现场总结大会，对演练过程作了评价，见现场演练和学习照片，可追溯记录的完整性有待加强</w:t>
            </w:r>
            <w:r>
              <w:rPr>
                <w:rFonts w:hint="eastAsia"/>
                <w:color w:val="auto"/>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s="宋体"/>
                <w:color w:val="FF0000"/>
                <w:szCs w:val="21"/>
              </w:rPr>
            </w:pPr>
            <w:r>
              <w:rPr>
                <w:rFonts w:hint="eastAsia"/>
                <w:color w:val="auto"/>
                <w:szCs w:val="21"/>
              </w:rPr>
              <w:t>目前没有发生需响应的突发情况</w:t>
            </w:r>
            <w:r>
              <w:rPr>
                <w:rFonts w:hint="eastAsia"/>
                <w:color w:val="auto"/>
                <w:szCs w:val="21"/>
                <w:lang w:eastAsia="zh-CN"/>
              </w:rPr>
              <w:t>，</w:t>
            </w:r>
            <w:r>
              <w:rPr>
                <w:rFonts w:hint="eastAsia"/>
                <w:color w:val="auto"/>
                <w:szCs w:val="21"/>
              </w:rPr>
              <w:t>应急管理基本符合要求要求。</w:t>
            </w:r>
          </w:p>
        </w:tc>
        <w:tc>
          <w:tcPr>
            <w:tcW w:w="104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30" w:type="dxa"/>
            <w:vAlign w:val="top"/>
          </w:tcPr>
          <w:p>
            <w:pPr>
              <w:bidi w:val="0"/>
              <w:rPr>
                <w:rFonts w:hint="eastAsia" w:ascii="华文细黑" w:hAnsi="华文细黑" w:eastAsia="华文细黑" w:cs="华文细黑"/>
                <w:kern w:val="2"/>
                <w:sz w:val="21"/>
                <w:szCs w:val="21"/>
                <w:lang w:val="en-US" w:eastAsia="zh-CN" w:bidi="ar-SA"/>
              </w:rPr>
            </w:pPr>
            <w:r>
              <w:rPr>
                <w:rFonts w:hint="eastAsia"/>
              </w:rPr>
              <w:t>内部审核</w:t>
            </w:r>
          </w:p>
        </w:tc>
        <w:tc>
          <w:tcPr>
            <w:tcW w:w="1068" w:type="dxa"/>
            <w:vAlign w:val="top"/>
          </w:tcPr>
          <w:p>
            <w:pPr>
              <w:bidi w:val="0"/>
              <w:rPr>
                <w:rFonts w:hint="eastAsia" w:ascii="华文细黑" w:hAnsi="华文细黑" w:cs="华文细黑"/>
                <w:szCs w:val="21"/>
                <w:lang w:eastAsia="zh-CN"/>
              </w:rPr>
            </w:pPr>
            <w:r>
              <w:rPr>
                <w:rFonts w:hint="eastAsia"/>
              </w:rPr>
              <w:t>EO9.2</w:t>
            </w:r>
          </w:p>
        </w:tc>
        <w:tc>
          <w:tcPr>
            <w:tcW w:w="12151" w:type="dxa"/>
            <w:vAlign w:val="center"/>
          </w:tcPr>
          <w:p>
            <w:pPr>
              <w:bidi w:val="0"/>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组织依据GB/T 24001-2016、GB/T 45001-2020标准、体系文件和相关法律法规等编制了《内部审核控制程序》，由管代定期组织每年进行一次内审，间隔不超过12月份，全体内审员参加。</w:t>
            </w:r>
          </w:p>
          <w:p>
            <w:pPr>
              <w:bidi w:val="0"/>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查2022年度《审核实施计划》：明确审核目的、依据、范围、日期；审核组成员：组长</w:t>
            </w:r>
            <w:r>
              <w:rPr>
                <w:rFonts w:hint="eastAsia" w:cs="Times New Roman"/>
                <w:lang w:val="en-US" w:eastAsia="zh-CN"/>
              </w:rPr>
              <w:t>李娟</w:t>
            </w:r>
            <w:r>
              <w:rPr>
                <w:rFonts w:hint="eastAsia" w:ascii="Times New Roman" w:hAnsi="Times New Roman" w:cs="Times New Roman"/>
                <w:lang w:val="en-US" w:eastAsia="zh-CN"/>
              </w:rPr>
              <w:t>；组员</w:t>
            </w:r>
            <w:r>
              <w:rPr>
                <w:rFonts w:hint="eastAsia" w:cs="Times New Roman"/>
                <w:lang w:val="en-US" w:eastAsia="zh-CN"/>
              </w:rPr>
              <w:t xml:space="preserve">：潘静； </w:t>
            </w:r>
            <w:r>
              <w:rPr>
                <w:rFonts w:hint="eastAsia" w:ascii="Times New Roman" w:hAnsi="Times New Roman" w:cs="Times New Roman"/>
                <w:lang w:val="en-US" w:eastAsia="zh-CN"/>
              </w:rPr>
              <w:t>编制：</w:t>
            </w:r>
            <w:r>
              <w:rPr>
                <w:rFonts w:hint="eastAsia" w:cs="Times New Roman"/>
                <w:lang w:val="en-US" w:eastAsia="zh-CN"/>
              </w:rPr>
              <w:t>宣雅倩</w:t>
            </w:r>
            <w:r>
              <w:rPr>
                <w:rFonts w:hint="eastAsia" w:ascii="Times New Roman" w:hAnsi="Times New Roman" w:cs="Times New Roman"/>
                <w:lang w:val="en-US" w:eastAsia="zh-CN"/>
              </w:rPr>
              <w:t>；审批：</w:t>
            </w:r>
            <w:r>
              <w:rPr>
                <w:rFonts w:hint="eastAsia" w:cs="Times New Roman"/>
                <w:lang w:val="en-US" w:eastAsia="zh-CN"/>
              </w:rPr>
              <w:t>李冰</w:t>
            </w:r>
            <w:r>
              <w:rPr>
                <w:rFonts w:hint="eastAsia" w:ascii="Times New Roman" w:hAnsi="Times New Roman" w:cs="Times New Roman"/>
                <w:lang w:val="en-US" w:eastAsia="zh-CN"/>
              </w:rPr>
              <w:t>；日期：2022.9.</w:t>
            </w:r>
            <w:r>
              <w:rPr>
                <w:rFonts w:hint="eastAsia" w:cs="Times New Roman"/>
                <w:lang w:val="en-US" w:eastAsia="zh-CN"/>
              </w:rPr>
              <w:t>28</w:t>
            </w:r>
            <w:r>
              <w:rPr>
                <w:rFonts w:hint="eastAsia" w:ascii="Times New Roman" w:hAnsi="Times New Roman" w:cs="Times New Roman"/>
                <w:lang w:val="en-US" w:eastAsia="zh-CN"/>
              </w:rPr>
              <w:t>。审核计划覆盖的部门和条款基本齐全</w:t>
            </w:r>
          </w:p>
          <w:p>
            <w:pPr>
              <w:bidi w:val="0"/>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查看内审签到资料，共有</w:t>
            </w:r>
            <w:r>
              <w:rPr>
                <w:rFonts w:hint="eastAsia" w:cs="Times New Roman"/>
                <w:lang w:val="en-US" w:eastAsia="zh-CN"/>
              </w:rPr>
              <w:t>8</w:t>
            </w:r>
            <w:r>
              <w:rPr>
                <w:rFonts w:hint="eastAsia" w:ascii="Times New Roman" w:hAnsi="Times New Roman" w:cs="Times New Roman"/>
                <w:lang w:val="en-US" w:eastAsia="zh-CN"/>
              </w:rPr>
              <w:t>人参加会议，包括最高管理者、各部门负责人（查参加部门、人员基本齐全，但无手签记录），时间安排合理，同时考虑了互查的公正性。</w:t>
            </w:r>
          </w:p>
          <w:p>
            <w:pPr>
              <w:bidi w:val="0"/>
              <w:ind w:firstLine="420" w:firstLineChars="200"/>
              <w:rPr>
                <w:rFonts w:hint="eastAsia" w:ascii="Times New Roman" w:hAnsi="Times New Roman" w:cs="Times New Roman"/>
                <w:lang w:val="en-US" w:eastAsia="zh-CN"/>
              </w:rPr>
            </w:pPr>
            <w:r>
              <w:rPr>
                <w:rFonts w:hint="eastAsia" w:eastAsia="华文细黑"/>
                <w:color w:val="auto"/>
                <w:szCs w:val="21"/>
                <w:lang w:eastAsia="zh-CN"/>
              </w:rPr>
              <w:drawing>
                <wp:anchor distT="0" distB="0" distL="114300" distR="114300" simplePos="0" relativeHeight="251660288" behindDoc="1" locked="0" layoutInCell="1" allowOverlap="1">
                  <wp:simplePos x="0" y="0"/>
                  <wp:positionH relativeFrom="column">
                    <wp:posOffset>5323840</wp:posOffset>
                  </wp:positionH>
                  <wp:positionV relativeFrom="paragraph">
                    <wp:posOffset>111760</wp:posOffset>
                  </wp:positionV>
                  <wp:extent cx="2381250" cy="2036445"/>
                  <wp:effectExtent l="0" t="0" r="6350" b="8255"/>
                  <wp:wrapTight wrapText="bothSides">
                    <wp:wrapPolygon>
                      <wp:start x="0" y="1078"/>
                      <wp:lineTo x="0" y="21418"/>
                      <wp:lineTo x="21542" y="21418"/>
                      <wp:lineTo x="21542" y="1078"/>
                      <wp:lineTo x="0" y="1078"/>
                    </wp:wrapPolygon>
                  </wp:wrapTight>
                  <wp:docPr id="3" name="图片 3" descr="754d861562aabe5abdc592e51159b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54d861562aabe5abdc592e51159bf6"/>
                          <pic:cNvPicPr>
                            <a:picLocks noChangeAspect="1"/>
                          </pic:cNvPicPr>
                        </pic:nvPicPr>
                        <pic:blipFill>
                          <a:blip r:embed="rId6"/>
                          <a:srcRect t="-2634" r="9934" b="50275"/>
                          <a:stretch>
                            <a:fillRect/>
                          </a:stretch>
                        </pic:blipFill>
                        <pic:spPr>
                          <a:xfrm>
                            <a:off x="0" y="0"/>
                            <a:ext cx="2381250" cy="2036445"/>
                          </a:xfrm>
                          <a:prstGeom prst="rect">
                            <a:avLst/>
                          </a:prstGeom>
                        </pic:spPr>
                      </pic:pic>
                    </a:graphicData>
                  </a:graphic>
                </wp:anchor>
              </w:drawing>
            </w:r>
            <w:r>
              <w:rPr>
                <w:rFonts w:hint="eastAsia"/>
                <w:color w:val="auto"/>
                <w:szCs w:val="21"/>
              </w:rPr>
              <w:drawing>
                <wp:anchor distT="0" distB="0" distL="114300" distR="114300" simplePos="0" relativeHeight="251659264" behindDoc="1" locked="0" layoutInCell="1" allowOverlap="1">
                  <wp:simplePos x="0" y="0"/>
                  <wp:positionH relativeFrom="column">
                    <wp:posOffset>2844800</wp:posOffset>
                  </wp:positionH>
                  <wp:positionV relativeFrom="paragraph">
                    <wp:posOffset>178435</wp:posOffset>
                  </wp:positionV>
                  <wp:extent cx="2476500" cy="1980565"/>
                  <wp:effectExtent l="0" t="0" r="0" b="635"/>
                  <wp:wrapTight wrapText="bothSides">
                    <wp:wrapPolygon>
                      <wp:start x="0" y="0"/>
                      <wp:lineTo x="0" y="21468"/>
                      <wp:lineTo x="21489" y="21468"/>
                      <wp:lineTo x="21489" y="0"/>
                      <wp:lineTo x="0" y="0"/>
                    </wp:wrapPolygon>
                  </wp:wrapTight>
                  <wp:docPr id="1" name="图片 1" descr="111d9c293a78bbf4d83b11f161014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d9c293a78bbf4d83b11f161014bc"/>
                          <pic:cNvPicPr>
                            <a:picLocks noChangeAspect="1"/>
                          </pic:cNvPicPr>
                        </pic:nvPicPr>
                        <pic:blipFill>
                          <a:blip r:embed="rId7"/>
                          <a:srcRect r="12797" b="52565"/>
                          <a:stretch>
                            <a:fillRect/>
                          </a:stretch>
                        </pic:blipFill>
                        <pic:spPr>
                          <a:xfrm>
                            <a:off x="0" y="0"/>
                            <a:ext cx="2476500" cy="1980565"/>
                          </a:xfrm>
                          <a:prstGeom prst="rect">
                            <a:avLst/>
                          </a:prstGeom>
                        </pic:spPr>
                      </pic:pic>
                    </a:graphicData>
                  </a:graphic>
                </wp:anchor>
              </w:drawing>
            </w:r>
            <w:r>
              <w:rPr>
                <w:rFonts w:hint="eastAsia" w:ascii="Times New Roman" w:hAnsi="Times New Roman" w:cs="Times New Roman"/>
                <w:lang w:val="en-US" w:eastAsia="zh-CN"/>
              </w:rPr>
              <w:t>查《内审检查表》：实际审核日期：2022年9月</w:t>
            </w:r>
            <w:r>
              <w:rPr>
                <w:rFonts w:hint="eastAsia" w:cs="Times New Roman"/>
                <w:lang w:val="en-US" w:eastAsia="zh-CN"/>
              </w:rPr>
              <w:t>28</w:t>
            </w:r>
            <w:r>
              <w:rPr>
                <w:rFonts w:hint="eastAsia" w:ascii="Times New Roman" w:hAnsi="Times New Roman" w:cs="Times New Roman"/>
                <w:lang w:val="en-US" w:eastAsia="zh-CN"/>
              </w:rPr>
              <w:t>日。有</w:t>
            </w:r>
            <w:r>
              <w:rPr>
                <w:rFonts w:hint="eastAsia" w:ascii="华文细黑" w:hAnsi="华文细黑" w:cs="华文细黑"/>
                <w:sz w:val="21"/>
                <w:szCs w:val="21"/>
                <w:lang w:val="en-US" w:eastAsia="zh-CN"/>
              </w:rPr>
              <w:t>质检部、行政部、生产部、销售部、采购部、财务部</w:t>
            </w:r>
            <w:r>
              <w:rPr>
                <w:rFonts w:hint="eastAsia" w:ascii="华文细黑" w:hAnsi="华文细黑" w:cs="华文细黑"/>
                <w:lang w:val="en-US" w:eastAsia="zh-CN"/>
              </w:rPr>
              <w:t>等</w:t>
            </w:r>
            <w:r>
              <w:rPr>
                <w:rFonts w:hint="eastAsia" w:ascii="Times New Roman" w:hAnsi="Times New Roman" w:cs="Times New Roman"/>
                <w:lang w:val="en-US" w:eastAsia="zh-CN"/>
              </w:rPr>
              <w:t>部门的审核记录，条款与策划一致，记录真实、完整。</w:t>
            </w:r>
          </w:p>
          <w:p>
            <w:pPr>
              <w:bidi w:val="0"/>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查《不合格报告》：本次发现不符合1个，涉及ISO45001：2018中第8.1条款，纠正和纠正措施基本满足要求。</w:t>
            </w:r>
          </w:p>
          <w:p>
            <w:pPr>
              <w:bidi w:val="0"/>
              <w:ind w:firstLine="420" w:firstLineChars="200"/>
              <w:rPr>
                <w:rFonts w:hint="eastAsia" w:eastAsia="华文细黑"/>
                <w:color w:val="auto"/>
                <w:szCs w:val="21"/>
                <w:lang w:eastAsia="zh-CN"/>
              </w:rPr>
            </w:pPr>
            <w:r>
              <w:rPr>
                <w:rFonts w:hint="eastAsia" w:ascii="Times New Roman" w:hAnsi="Times New Roman" w:cs="Times New Roman"/>
                <w:lang w:val="en-US" w:eastAsia="zh-CN"/>
              </w:rPr>
              <w:t>查《内部审核报告》：管理体系评价如下：文件化管理体系 ■满足标准要求□不满足标准要求；管理体系运行：■有效□基本有效□ 失效；发现和改进管理体系运行问题机制：■已初步建立□未建立。</w:t>
            </w:r>
          </w:p>
        </w:tc>
        <w:tc>
          <w:tcPr>
            <w:tcW w:w="1045" w:type="dxa"/>
            <w:vAlign w:val="top"/>
          </w:tcPr>
          <w:p>
            <w:pPr>
              <w:bidi w:val="0"/>
              <w:rPr>
                <w:rFonts w:hint="eastAsia"/>
              </w:rPr>
            </w:pPr>
            <w:r>
              <w:rPr>
                <w:rFonts w:hint="eastAsia"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30" w:type="dxa"/>
            <w:vAlign w:val="top"/>
          </w:tcPr>
          <w:p>
            <w:pPr>
              <w:adjustRightInd w:val="0"/>
              <w:snapToGrid w:val="0"/>
              <w:spacing w:line="280" w:lineRule="exact"/>
              <w:rPr>
                <w:rFonts w:hint="eastAsia" w:ascii="华文细黑" w:hAnsi="华文细黑" w:eastAsia="华文细黑" w:cs="华文细黑"/>
                <w:spacing w:val="-12"/>
                <w:szCs w:val="21"/>
              </w:rPr>
            </w:pPr>
            <w:r>
              <w:rPr>
                <w:rFonts w:hint="eastAsia" w:ascii="华文细黑" w:hAnsi="华文细黑" w:eastAsia="华文细黑" w:cs="华文细黑"/>
                <w:spacing w:val="-12"/>
                <w:szCs w:val="21"/>
              </w:rPr>
              <w:t>不合格和纠正措施</w:t>
            </w:r>
          </w:p>
          <w:p>
            <w:pPr>
              <w:spacing w:line="280" w:lineRule="exact"/>
              <w:rPr>
                <w:rFonts w:hint="eastAsia" w:ascii="华文细黑" w:hAnsi="华文细黑" w:eastAsia="华文细黑" w:cs="华文细黑"/>
                <w:kern w:val="2"/>
                <w:sz w:val="21"/>
                <w:szCs w:val="21"/>
                <w:lang w:val="en-US" w:eastAsia="zh-CN" w:bidi="ar-SA"/>
              </w:rPr>
            </w:pPr>
          </w:p>
        </w:tc>
        <w:tc>
          <w:tcPr>
            <w:tcW w:w="1068" w:type="dxa"/>
            <w:vAlign w:val="top"/>
          </w:tcPr>
          <w:p>
            <w:pPr>
              <w:spacing w:line="280" w:lineRule="exact"/>
              <w:rPr>
                <w:rFonts w:hint="eastAsia" w:ascii="华文细黑" w:hAnsi="华文细黑" w:eastAsia="华文细黑" w:cs="华文细黑"/>
                <w:kern w:val="2"/>
                <w:sz w:val="21"/>
                <w:szCs w:val="21"/>
                <w:lang w:val="en-US" w:eastAsia="zh-CN" w:bidi="ar-SA"/>
              </w:rPr>
            </w:pPr>
            <w:r>
              <w:rPr>
                <w:rFonts w:hint="eastAsia" w:ascii="华文细黑" w:hAnsi="华文细黑" w:cs="华文细黑"/>
                <w:szCs w:val="21"/>
                <w:lang w:eastAsia="zh-CN"/>
              </w:rPr>
              <w:t>EO</w:t>
            </w:r>
            <w:r>
              <w:rPr>
                <w:rFonts w:hint="eastAsia" w:ascii="华文细黑" w:hAnsi="华文细黑" w:eastAsia="华文细黑" w:cs="华文细黑"/>
                <w:szCs w:val="21"/>
              </w:rPr>
              <w:t>10.2</w:t>
            </w:r>
          </w:p>
        </w:tc>
        <w:tc>
          <w:tcPr>
            <w:tcW w:w="12151" w:type="dxa"/>
            <w:vAlign w:val="center"/>
          </w:tcPr>
          <w:p>
            <w:pPr>
              <w:snapToGrid w:val="0"/>
              <w:spacing w:line="280" w:lineRule="exact"/>
              <w:ind w:firstLine="420" w:firstLineChars="200"/>
              <w:jc w:val="left"/>
              <w:rPr>
                <w:color w:val="FF0000"/>
                <w:szCs w:val="21"/>
              </w:rPr>
            </w:pPr>
            <w:r>
              <w:rPr>
                <w:rFonts w:hint="eastAsia"/>
                <w:color w:val="auto"/>
                <w:szCs w:val="21"/>
                <w:lang w:val="en-US" w:eastAsia="zh-CN"/>
              </w:rPr>
              <w:t>行政部</w:t>
            </w:r>
            <w:r>
              <w:rPr>
                <w:rFonts w:hint="eastAsia"/>
                <w:color w:val="auto"/>
                <w:szCs w:val="21"/>
              </w:rPr>
              <w:t>负责人</w:t>
            </w:r>
            <w:r>
              <w:rPr>
                <w:rFonts w:hint="eastAsia"/>
                <w:color w:val="auto"/>
                <w:szCs w:val="21"/>
                <w:lang w:val="en-US" w:eastAsia="zh-CN"/>
              </w:rPr>
              <w:t>宣雅倩</w:t>
            </w:r>
            <w:r>
              <w:rPr>
                <w:rFonts w:hint="eastAsia"/>
                <w:color w:val="auto"/>
                <w:szCs w:val="21"/>
              </w:rPr>
              <w:t>介绍</w:t>
            </w:r>
            <w:r>
              <w:rPr>
                <w:rFonts w:hint="eastAsia"/>
                <w:color w:val="auto"/>
                <w:szCs w:val="21"/>
                <w:lang w:eastAsia="zh-CN"/>
              </w:rPr>
              <w:t>：</w:t>
            </w:r>
            <w:r>
              <w:rPr>
                <w:rFonts w:hint="eastAsia"/>
                <w:color w:val="auto"/>
                <w:szCs w:val="21"/>
                <w:lang w:val="en-US" w:eastAsia="zh-CN"/>
              </w:rPr>
              <w:t>公司</w:t>
            </w:r>
            <w:r>
              <w:rPr>
                <w:rFonts w:hint="eastAsia"/>
                <w:color w:val="auto"/>
                <w:szCs w:val="21"/>
              </w:rPr>
              <w:t>在运行过程中对发现的不合格都会采取纠正、纠正措施以防止不合格或不符合再次发生，同时也会举一反三地看待其他部门或类似过程，采取预防措施以防止发生不合格或不符合。</w:t>
            </w:r>
            <w:r>
              <w:rPr>
                <w:rFonts w:hint="eastAsia"/>
                <w:color w:val="auto"/>
                <w:szCs w:val="21"/>
                <w:lang w:val="en-US" w:eastAsia="zh-CN"/>
              </w:rPr>
              <w:t>组织</w:t>
            </w:r>
            <w:r>
              <w:rPr>
                <w:rFonts w:hint="eastAsia"/>
                <w:color w:val="auto"/>
                <w:szCs w:val="21"/>
              </w:rPr>
              <w:t>内审时发现</w:t>
            </w:r>
            <w:r>
              <w:rPr>
                <w:rFonts w:hint="eastAsia"/>
                <w:color w:val="auto"/>
                <w:szCs w:val="21"/>
                <w:lang w:val="en-US" w:eastAsia="zh-CN"/>
              </w:rPr>
              <w:t>1</w:t>
            </w:r>
            <w:r>
              <w:rPr>
                <w:rFonts w:hint="eastAsia"/>
                <w:color w:val="auto"/>
                <w:szCs w:val="21"/>
              </w:rPr>
              <w:t>项不符合项</w:t>
            </w:r>
            <w:r>
              <w:rPr>
                <w:rFonts w:hint="eastAsia"/>
                <w:color w:val="auto"/>
                <w:szCs w:val="21"/>
                <w:lang w:eastAsia="zh-CN"/>
              </w:rPr>
              <w:t>：</w:t>
            </w:r>
            <w:r>
              <w:rPr>
                <w:rFonts w:hint="eastAsia"/>
                <w:color w:val="auto"/>
              </w:rPr>
              <w:t>消防器材未实现定位定制</w:t>
            </w:r>
            <w:r>
              <w:rPr>
                <w:rFonts w:hint="eastAsia"/>
                <w:color w:val="auto"/>
                <w:lang w:eastAsia="zh-CN"/>
              </w:rPr>
              <w:t>，分析原因并加以整改</w:t>
            </w:r>
            <w:r>
              <w:rPr>
                <w:rFonts w:hint="eastAsia"/>
                <w:color w:val="auto"/>
                <w:szCs w:val="21"/>
              </w:rPr>
              <w:t>。</w:t>
            </w:r>
          </w:p>
          <w:p>
            <w:pPr>
              <w:snapToGrid w:val="0"/>
              <w:spacing w:line="280" w:lineRule="exact"/>
              <w:ind w:firstLine="420" w:firstLineChars="200"/>
              <w:jc w:val="left"/>
              <w:rPr>
                <w:rFonts w:hint="eastAsia"/>
                <w:color w:val="auto"/>
                <w:szCs w:val="21"/>
                <w:lang w:val="en-US" w:eastAsia="zh-CN"/>
              </w:rPr>
            </w:pPr>
            <w:r>
              <w:rPr>
                <w:rFonts w:hint="eastAsia"/>
                <w:color w:val="auto"/>
                <w:szCs w:val="21"/>
                <w:lang w:val="en-US" w:eastAsia="zh-CN"/>
              </w:rPr>
              <w:t>现场抽查组织的内部审查记录：内容包括不合格内容、整改期限等，基本完整。询问行政部负责人宣雅倩了解到，组织的责任人在整改的基础上会根据不合格事项进行原因分析，找到消除原因的根本措施并落实，基本满足标准的要求。</w:t>
            </w:r>
          </w:p>
          <w:p>
            <w:pPr>
              <w:snapToGrid w:val="0"/>
              <w:spacing w:line="280" w:lineRule="exact"/>
              <w:ind w:firstLine="420" w:firstLineChars="200"/>
              <w:jc w:val="left"/>
              <w:rPr>
                <w:color w:val="FF0000"/>
                <w:szCs w:val="21"/>
              </w:rPr>
            </w:pPr>
            <w:r>
              <w:rPr>
                <w:rFonts w:hint="eastAsia"/>
                <w:color w:val="auto"/>
                <w:szCs w:val="21"/>
                <w:lang w:val="en-US" w:eastAsia="zh-CN"/>
              </w:rPr>
              <w:t>组织</w:t>
            </w:r>
            <w:r>
              <w:rPr>
                <w:rFonts w:hint="eastAsia"/>
                <w:color w:val="auto"/>
                <w:szCs w:val="21"/>
              </w:rPr>
              <w:t>对纠正措施的管理基本符合要求。</w:t>
            </w:r>
          </w:p>
          <w:p>
            <w:pPr>
              <w:snapToGrid w:val="0"/>
              <w:spacing w:line="280" w:lineRule="exact"/>
              <w:ind w:firstLine="420" w:firstLineChars="200"/>
              <w:jc w:val="left"/>
              <w:rPr>
                <w:rFonts w:ascii="Times New Roman" w:hAnsi="Times New Roman" w:eastAsia="华文细黑" w:cs="Times New Roman"/>
                <w:color w:val="FF0000"/>
                <w:kern w:val="2"/>
                <w:sz w:val="21"/>
                <w:szCs w:val="21"/>
                <w:lang w:val="en-US" w:eastAsia="zh-CN" w:bidi="ar-SA"/>
              </w:rPr>
            </w:pPr>
            <w:r>
              <w:rPr>
                <w:rFonts w:hint="eastAsia"/>
                <w:color w:val="auto"/>
                <w:szCs w:val="21"/>
              </w:rPr>
              <w:t>审核周期内，没有发生环境或职业健康安全方面的事故。</w:t>
            </w:r>
          </w:p>
        </w:tc>
        <w:tc>
          <w:tcPr>
            <w:tcW w:w="1045" w:type="dxa"/>
            <w:vAlign w:val="top"/>
          </w:tcPr>
          <w:p>
            <w:pPr>
              <w:rPr>
                <w:rFonts w:ascii="Times New Roman" w:hAnsi="Times New Roman" w:eastAsia="华文细黑" w:cs="Times New Roman"/>
                <w:kern w:val="2"/>
                <w:sz w:val="21"/>
                <w:lang w:val="en-US" w:eastAsia="zh-CN" w:bidi="ar-SA"/>
              </w:rPr>
            </w:pPr>
            <w:r>
              <w:rPr>
                <w:rFonts w:hint="eastAsia"/>
              </w:rPr>
              <w:t>Y</w:t>
            </w:r>
          </w:p>
        </w:tc>
      </w:tr>
    </w:tbl>
    <w:p>
      <w:pPr>
        <w:pStyle w:val="6"/>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 name="文本框 2"/>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60288;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DjWOEL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w:t>
    </w:r>
    <w:r>
      <w:rPr>
        <w:rStyle w:val="14"/>
        <w:rFonts w:hint="eastAsia"/>
        <w:w w:val="90"/>
      </w:rPr>
      <w:t>EO</w:t>
    </w:r>
    <w:r>
      <w:rPr>
        <w:rStyle w:val="14"/>
        <w:rFonts w:hint="default"/>
        <w:w w:val="90"/>
      </w:rPr>
      <w:t>ijing Int</w:t>
    </w:r>
    <w:r>
      <w:rPr>
        <w:rStyle w:val="14"/>
        <w:rFonts w:hint="eastAsia"/>
        <w:w w:val="90"/>
      </w:rPr>
      <w:t>EO</w:t>
    </w:r>
    <w:r>
      <w:rPr>
        <w:rStyle w:val="14"/>
        <w:rFonts w:hint="default"/>
        <w:w w:val="90"/>
      </w:rPr>
      <w:t>rnational Standard unit</w:t>
    </w:r>
    <w:r>
      <w:rPr>
        <w:rStyle w:val="14"/>
        <w:rFonts w:hint="eastAsia"/>
        <w:w w:val="90"/>
      </w:rPr>
      <w:t>EO</w:t>
    </w:r>
    <w:r>
      <w:rPr>
        <w:rStyle w:val="14"/>
        <w:rFonts w:hint="default"/>
        <w:w w:val="90"/>
      </w:rPr>
      <w:t>d C</w:t>
    </w:r>
    <w:r>
      <w:rPr>
        <w:rStyle w:val="14"/>
        <w:rFonts w:hint="eastAsia"/>
        <w:w w:val="90"/>
      </w:rPr>
      <w:t>EO</w:t>
    </w:r>
    <w:r>
      <w:rPr>
        <w:rStyle w:val="14"/>
        <w:rFonts w:hint="default"/>
        <w:w w:val="90"/>
      </w:rPr>
      <w:t>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ZWJiZGY2YjU2MmRhNjg4NDA1NWJhMzhhZTVmYzcifQ=="/>
  </w:docVars>
  <w:rsids>
    <w:rsidRoot w:val="00814B16"/>
    <w:rsid w:val="00011ABE"/>
    <w:rsid w:val="000476DE"/>
    <w:rsid w:val="00076C21"/>
    <w:rsid w:val="00077C88"/>
    <w:rsid w:val="000A75BA"/>
    <w:rsid w:val="000B0CD5"/>
    <w:rsid w:val="000B6409"/>
    <w:rsid w:val="000C453A"/>
    <w:rsid w:val="000F1325"/>
    <w:rsid w:val="000F14E3"/>
    <w:rsid w:val="00115E0C"/>
    <w:rsid w:val="00121BF2"/>
    <w:rsid w:val="001311B9"/>
    <w:rsid w:val="00133E72"/>
    <w:rsid w:val="00140940"/>
    <w:rsid w:val="00140A69"/>
    <w:rsid w:val="0016036E"/>
    <w:rsid w:val="0017329E"/>
    <w:rsid w:val="001937C7"/>
    <w:rsid w:val="001945D7"/>
    <w:rsid w:val="001A05B6"/>
    <w:rsid w:val="001A3B63"/>
    <w:rsid w:val="001C2319"/>
    <w:rsid w:val="001C57A3"/>
    <w:rsid w:val="001F0E7B"/>
    <w:rsid w:val="002533F4"/>
    <w:rsid w:val="00280E26"/>
    <w:rsid w:val="00287457"/>
    <w:rsid w:val="002B1F69"/>
    <w:rsid w:val="002B36EC"/>
    <w:rsid w:val="002C22A6"/>
    <w:rsid w:val="002C7A45"/>
    <w:rsid w:val="002E14F1"/>
    <w:rsid w:val="002E29A0"/>
    <w:rsid w:val="002E55EA"/>
    <w:rsid w:val="002F05BD"/>
    <w:rsid w:val="003015FB"/>
    <w:rsid w:val="003079AF"/>
    <w:rsid w:val="003273C2"/>
    <w:rsid w:val="003445A0"/>
    <w:rsid w:val="00382525"/>
    <w:rsid w:val="00384FEF"/>
    <w:rsid w:val="00397D3F"/>
    <w:rsid w:val="003C254E"/>
    <w:rsid w:val="003E434A"/>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5F0BF3"/>
    <w:rsid w:val="00607170"/>
    <w:rsid w:val="006140F3"/>
    <w:rsid w:val="00621EA2"/>
    <w:rsid w:val="006256EF"/>
    <w:rsid w:val="00646303"/>
    <w:rsid w:val="0066353B"/>
    <w:rsid w:val="00672093"/>
    <w:rsid w:val="00672CC5"/>
    <w:rsid w:val="00680222"/>
    <w:rsid w:val="006842EC"/>
    <w:rsid w:val="006A75D1"/>
    <w:rsid w:val="006E4E1C"/>
    <w:rsid w:val="006F2650"/>
    <w:rsid w:val="006F2C8A"/>
    <w:rsid w:val="00715292"/>
    <w:rsid w:val="007469D5"/>
    <w:rsid w:val="0075560B"/>
    <w:rsid w:val="00756C63"/>
    <w:rsid w:val="00761387"/>
    <w:rsid w:val="00774749"/>
    <w:rsid w:val="007861D2"/>
    <w:rsid w:val="007A0504"/>
    <w:rsid w:val="007B4E33"/>
    <w:rsid w:val="007C4E24"/>
    <w:rsid w:val="007C5A7D"/>
    <w:rsid w:val="007C6A31"/>
    <w:rsid w:val="007D7CBB"/>
    <w:rsid w:val="007E6050"/>
    <w:rsid w:val="00814B16"/>
    <w:rsid w:val="008242EA"/>
    <w:rsid w:val="008265BB"/>
    <w:rsid w:val="00834CE8"/>
    <w:rsid w:val="0085042B"/>
    <w:rsid w:val="008631F9"/>
    <w:rsid w:val="0088726D"/>
    <w:rsid w:val="00894521"/>
    <w:rsid w:val="008A1509"/>
    <w:rsid w:val="008B3B2F"/>
    <w:rsid w:val="008C01A2"/>
    <w:rsid w:val="008D2E87"/>
    <w:rsid w:val="008D3475"/>
    <w:rsid w:val="0092791F"/>
    <w:rsid w:val="00954D65"/>
    <w:rsid w:val="00955C0E"/>
    <w:rsid w:val="00976860"/>
    <w:rsid w:val="00980972"/>
    <w:rsid w:val="00991AEB"/>
    <w:rsid w:val="009977CF"/>
    <w:rsid w:val="009B1072"/>
    <w:rsid w:val="009E3AE2"/>
    <w:rsid w:val="00A01526"/>
    <w:rsid w:val="00A30F85"/>
    <w:rsid w:val="00A52229"/>
    <w:rsid w:val="00A5728B"/>
    <w:rsid w:val="00A676B7"/>
    <w:rsid w:val="00A76F84"/>
    <w:rsid w:val="00A86196"/>
    <w:rsid w:val="00A94706"/>
    <w:rsid w:val="00AE6698"/>
    <w:rsid w:val="00B007F3"/>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10BBD"/>
    <w:rsid w:val="00D41A0A"/>
    <w:rsid w:val="00D6037A"/>
    <w:rsid w:val="00D76E1D"/>
    <w:rsid w:val="00D83619"/>
    <w:rsid w:val="00D937E0"/>
    <w:rsid w:val="00DE1A2C"/>
    <w:rsid w:val="00DE2FCE"/>
    <w:rsid w:val="00DF19AB"/>
    <w:rsid w:val="00E0114F"/>
    <w:rsid w:val="00E11BD3"/>
    <w:rsid w:val="00E17655"/>
    <w:rsid w:val="00E219A3"/>
    <w:rsid w:val="00E41911"/>
    <w:rsid w:val="00E556FE"/>
    <w:rsid w:val="00E944DC"/>
    <w:rsid w:val="00E97654"/>
    <w:rsid w:val="00EA2EA2"/>
    <w:rsid w:val="00EB1A5C"/>
    <w:rsid w:val="00EB6AAC"/>
    <w:rsid w:val="00ED41DC"/>
    <w:rsid w:val="00F01F3E"/>
    <w:rsid w:val="00F05246"/>
    <w:rsid w:val="00F11424"/>
    <w:rsid w:val="00F13731"/>
    <w:rsid w:val="00F43CC1"/>
    <w:rsid w:val="00F5455B"/>
    <w:rsid w:val="00F62C59"/>
    <w:rsid w:val="00F75FE8"/>
    <w:rsid w:val="00F97810"/>
    <w:rsid w:val="00FB5026"/>
    <w:rsid w:val="00FB6FAA"/>
    <w:rsid w:val="00FF0A51"/>
    <w:rsid w:val="00FF1D21"/>
    <w:rsid w:val="01BA61B0"/>
    <w:rsid w:val="01DF16BA"/>
    <w:rsid w:val="02254EC7"/>
    <w:rsid w:val="02586A9A"/>
    <w:rsid w:val="02BC2E4D"/>
    <w:rsid w:val="02D377A8"/>
    <w:rsid w:val="032D0216"/>
    <w:rsid w:val="03336870"/>
    <w:rsid w:val="03AC52B5"/>
    <w:rsid w:val="04062E89"/>
    <w:rsid w:val="05716B50"/>
    <w:rsid w:val="05B85905"/>
    <w:rsid w:val="0602013E"/>
    <w:rsid w:val="0688195C"/>
    <w:rsid w:val="071B6C1D"/>
    <w:rsid w:val="085D5AE7"/>
    <w:rsid w:val="08A54D99"/>
    <w:rsid w:val="0A755CD1"/>
    <w:rsid w:val="0ACF703A"/>
    <w:rsid w:val="0B1108DD"/>
    <w:rsid w:val="0C530247"/>
    <w:rsid w:val="0C976FDA"/>
    <w:rsid w:val="0E131FE0"/>
    <w:rsid w:val="0E4C0412"/>
    <w:rsid w:val="108170F2"/>
    <w:rsid w:val="10A73160"/>
    <w:rsid w:val="10D135BB"/>
    <w:rsid w:val="11327424"/>
    <w:rsid w:val="11B844E6"/>
    <w:rsid w:val="11DC5CCF"/>
    <w:rsid w:val="11EE0DAF"/>
    <w:rsid w:val="125E771B"/>
    <w:rsid w:val="12CE4707"/>
    <w:rsid w:val="13E75902"/>
    <w:rsid w:val="147F4229"/>
    <w:rsid w:val="153D4CD7"/>
    <w:rsid w:val="15E23FCD"/>
    <w:rsid w:val="1723614A"/>
    <w:rsid w:val="19453F9D"/>
    <w:rsid w:val="1A2C1138"/>
    <w:rsid w:val="1A8C571F"/>
    <w:rsid w:val="1AFC6A7B"/>
    <w:rsid w:val="1B9D35F1"/>
    <w:rsid w:val="1BC31CAE"/>
    <w:rsid w:val="1BD16179"/>
    <w:rsid w:val="1BF713A7"/>
    <w:rsid w:val="1CB3762C"/>
    <w:rsid w:val="1CD5498C"/>
    <w:rsid w:val="1D7A0709"/>
    <w:rsid w:val="1D857A55"/>
    <w:rsid w:val="1EF65EF6"/>
    <w:rsid w:val="1F513B5F"/>
    <w:rsid w:val="1F647589"/>
    <w:rsid w:val="20531852"/>
    <w:rsid w:val="205B14EB"/>
    <w:rsid w:val="207565A9"/>
    <w:rsid w:val="20F677A8"/>
    <w:rsid w:val="227B471A"/>
    <w:rsid w:val="23667023"/>
    <w:rsid w:val="23FF4344"/>
    <w:rsid w:val="24575E37"/>
    <w:rsid w:val="24672435"/>
    <w:rsid w:val="249A18B6"/>
    <w:rsid w:val="24BB17FD"/>
    <w:rsid w:val="24DE310F"/>
    <w:rsid w:val="25195A95"/>
    <w:rsid w:val="2524184E"/>
    <w:rsid w:val="26AF6371"/>
    <w:rsid w:val="26D346A5"/>
    <w:rsid w:val="26D6366A"/>
    <w:rsid w:val="2773480C"/>
    <w:rsid w:val="27945E35"/>
    <w:rsid w:val="28210959"/>
    <w:rsid w:val="28E9010A"/>
    <w:rsid w:val="293F05ED"/>
    <w:rsid w:val="2A286D81"/>
    <w:rsid w:val="2B522350"/>
    <w:rsid w:val="2C6F41C6"/>
    <w:rsid w:val="2C7A03CC"/>
    <w:rsid w:val="2D481A7F"/>
    <w:rsid w:val="2DCD0C0E"/>
    <w:rsid w:val="2EE8445D"/>
    <w:rsid w:val="2EEA0C6A"/>
    <w:rsid w:val="2F87606E"/>
    <w:rsid w:val="2F8E774C"/>
    <w:rsid w:val="30F370A1"/>
    <w:rsid w:val="31187669"/>
    <w:rsid w:val="31200DC9"/>
    <w:rsid w:val="335E6591"/>
    <w:rsid w:val="33721B98"/>
    <w:rsid w:val="36E645BD"/>
    <w:rsid w:val="36E9459B"/>
    <w:rsid w:val="379543D8"/>
    <w:rsid w:val="38B86042"/>
    <w:rsid w:val="3ABB7436"/>
    <w:rsid w:val="3BF11971"/>
    <w:rsid w:val="3C28037C"/>
    <w:rsid w:val="3C44609B"/>
    <w:rsid w:val="3C7C032F"/>
    <w:rsid w:val="3DD11192"/>
    <w:rsid w:val="3E674D33"/>
    <w:rsid w:val="3F3E3276"/>
    <w:rsid w:val="3F912E70"/>
    <w:rsid w:val="3F984734"/>
    <w:rsid w:val="40200850"/>
    <w:rsid w:val="402E2229"/>
    <w:rsid w:val="40DE2ABE"/>
    <w:rsid w:val="40E01908"/>
    <w:rsid w:val="4190420C"/>
    <w:rsid w:val="41BB3D49"/>
    <w:rsid w:val="43AF7095"/>
    <w:rsid w:val="43E96A97"/>
    <w:rsid w:val="44534FFF"/>
    <w:rsid w:val="44583C20"/>
    <w:rsid w:val="4583719D"/>
    <w:rsid w:val="45FD2E6E"/>
    <w:rsid w:val="45FE1F72"/>
    <w:rsid w:val="46827F5C"/>
    <w:rsid w:val="46A97E54"/>
    <w:rsid w:val="4716126A"/>
    <w:rsid w:val="47CE0EBF"/>
    <w:rsid w:val="49B817A2"/>
    <w:rsid w:val="4A5779BA"/>
    <w:rsid w:val="4A73056F"/>
    <w:rsid w:val="4AC26056"/>
    <w:rsid w:val="4B6A0AC5"/>
    <w:rsid w:val="4BD7353E"/>
    <w:rsid w:val="4C526652"/>
    <w:rsid w:val="4C58179D"/>
    <w:rsid w:val="4CBE661B"/>
    <w:rsid w:val="4CD21F1F"/>
    <w:rsid w:val="4D000E10"/>
    <w:rsid w:val="4DED56EF"/>
    <w:rsid w:val="4F5E395C"/>
    <w:rsid w:val="4FB61711"/>
    <w:rsid w:val="50F66392"/>
    <w:rsid w:val="5357724D"/>
    <w:rsid w:val="536C1ECE"/>
    <w:rsid w:val="539B3F15"/>
    <w:rsid w:val="540864EE"/>
    <w:rsid w:val="543B096F"/>
    <w:rsid w:val="552C5634"/>
    <w:rsid w:val="55E55977"/>
    <w:rsid w:val="55E97944"/>
    <w:rsid w:val="55F50192"/>
    <w:rsid w:val="56595281"/>
    <w:rsid w:val="57623B4D"/>
    <w:rsid w:val="57F378C0"/>
    <w:rsid w:val="58FA1B64"/>
    <w:rsid w:val="5A3F58C5"/>
    <w:rsid w:val="5AF85B05"/>
    <w:rsid w:val="5B0E50C4"/>
    <w:rsid w:val="5BF168A5"/>
    <w:rsid w:val="5BFD1BD2"/>
    <w:rsid w:val="5C4C0908"/>
    <w:rsid w:val="5C653E6B"/>
    <w:rsid w:val="5CB44175"/>
    <w:rsid w:val="5D414205"/>
    <w:rsid w:val="5F794766"/>
    <w:rsid w:val="5FCB1D46"/>
    <w:rsid w:val="6024201E"/>
    <w:rsid w:val="60E70C20"/>
    <w:rsid w:val="61137C66"/>
    <w:rsid w:val="61513795"/>
    <w:rsid w:val="616E7612"/>
    <w:rsid w:val="629767E0"/>
    <w:rsid w:val="63B37A30"/>
    <w:rsid w:val="65B551A7"/>
    <w:rsid w:val="661F54A0"/>
    <w:rsid w:val="66A77424"/>
    <w:rsid w:val="670B7518"/>
    <w:rsid w:val="67272B19"/>
    <w:rsid w:val="67476E4E"/>
    <w:rsid w:val="678C06FD"/>
    <w:rsid w:val="67D813EB"/>
    <w:rsid w:val="692549DB"/>
    <w:rsid w:val="693F01DF"/>
    <w:rsid w:val="696F23B3"/>
    <w:rsid w:val="6A1615BE"/>
    <w:rsid w:val="6C031950"/>
    <w:rsid w:val="6C343791"/>
    <w:rsid w:val="6D3B6417"/>
    <w:rsid w:val="6DC252F8"/>
    <w:rsid w:val="6DE9025D"/>
    <w:rsid w:val="6E02242C"/>
    <w:rsid w:val="6E271913"/>
    <w:rsid w:val="6E413290"/>
    <w:rsid w:val="6F0B4673"/>
    <w:rsid w:val="714B092C"/>
    <w:rsid w:val="71ED62B2"/>
    <w:rsid w:val="725700A9"/>
    <w:rsid w:val="72BE2F25"/>
    <w:rsid w:val="731F400F"/>
    <w:rsid w:val="737B3EB5"/>
    <w:rsid w:val="74757AB2"/>
    <w:rsid w:val="747D06DB"/>
    <w:rsid w:val="74AE293F"/>
    <w:rsid w:val="74D1728E"/>
    <w:rsid w:val="74EB35CA"/>
    <w:rsid w:val="750F1D04"/>
    <w:rsid w:val="755525E9"/>
    <w:rsid w:val="763A1C6A"/>
    <w:rsid w:val="769A7E7D"/>
    <w:rsid w:val="77046592"/>
    <w:rsid w:val="770B1A7F"/>
    <w:rsid w:val="778D033F"/>
    <w:rsid w:val="779C230C"/>
    <w:rsid w:val="79C02F7D"/>
    <w:rsid w:val="7B6770D5"/>
    <w:rsid w:val="7B8908A3"/>
    <w:rsid w:val="7C8E5A9B"/>
    <w:rsid w:val="7C9823B4"/>
    <w:rsid w:val="7CB42A53"/>
    <w:rsid w:val="7D0C0A6E"/>
    <w:rsid w:val="7D69080A"/>
    <w:rsid w:val="7E011EBB"/>
    <w:rsid w:val="7E2161C9"/>
    <w:rsid w:val="7E826190"/>
    <w:rsid w:val="7FE360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firstLineChars="200"/>
    </w:p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rPr>
      <w:rFonts w:ascii="仿宋_GB2312" w:eastAsia="仿宋_GB2312"/>
      <w:b/>
      <w:sz w:val="32"/>
      <w:szCs w:val="32"/>
    </w:rPr>
  </w:style>
  <w:style w:type="paragraph" w:customStyle="1" w:styleId="16">
    <w:name w:val="_Style 2"/>
    <w:basedOn w:val="1"/>
    <w:qFormat/>
    <w:uiPriority w:val="34"/>
    <w:pPr>
      <w:ind w:firstLine="420" w:firstLineChars="200"/>
    </w:pPr>
    <w:rPr>
      <w:rFonts w:ascii="Calibri" w:hAnsi="Calibri"/>
      <w:sz w:val="24"/>
      <w:szCs w:val="22"/>
    </w:rPr>
  </w:style>
  <w:style w:type="character" w:customStyle="1" w:styleId="17">
    <w:name w:val="boxs"/>
    <w:basedOn w:val="10"/>
    <w:qFormat/>
    <w:uiPriority w:val="0"/>
  </w:style>
  <w:style w:type="paragraph" w:customStyle="1" w:styleId="1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6143</Words>
  <Characters>6566</Characters>
  <Lines>39</Lines>
  <Paragraphs>11</Paragraphs>
  <TotalTime>1</TotalTime>
  <ScaleCrop>false</ScaleCrop>
  <LinksUpToDate>false</LinksUpToDate>
  <CharactersWithSpaces>6765</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2021-04-29T10:46:00Z</dcterms:created>
  <dc:creator>微软用户</dc:creator>
  <cp:lastModifiedBy>春华秋实</cp:lastModifiedBy>
  <dcterms:modified xsi:type="dcterms:W3CDTF">2023-01-17T06:48:20Z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621554457884419182C7443C429D7D26</vt:lpwstr>
  </property>
</Properties>
</file>