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0111-2023-EO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河北鑫旺工程建设服务有限公司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91130104788651916B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E:25,O:25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color w:val="0000FF"/>
                <w:sz w:val="22"/>
                <w:szCs w:val="22"/>
              </w:rPr>
              <w:t>河北鑫旺工程建设服务有限公司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4" w:name="审核范围"/>
            <w:r>
              <w:rPr>
                <w:color w:val="0000FF"/>
                <w:sz w:val="22"/>
                <w:szCs w:val="22"/>
              </w:rPr>
              <w:t>E：建设项目环境影响评价所涉及场所的相关环境管理活动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O：建设项目环境影响评价所涉及场所的相关职业健康安全管理活动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河北省石家庄市桥西区红旗大街88号翰林观天下22号公寓1901-1907室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河北省石家庄鹿泉绿岛经济开发区核心碧水街81号军鼎科技园14号楼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Hebei Xinwang Engineering Construction Service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E: environmental management activities related to the site covered by the construction project Environmental Impact Assessmen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GB"/>
              </w:rPr>
              <w:t>Room 1901-1907, apartment 22, Hanlin Guantianxia, No. 88, Hongqi Street, Qiaoxi district,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O: Occupational Health and safety management activities related to the site covered by the construction project environmental impact assessment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Building 14, junding science and Technology Park, no. 81, Bishui Street, core of Luquan Ludao Economic Development Zone, Shijiazhuang,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3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3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3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bookmarkStart w:id="17" w:name="_GoBack"/>
      <w:r>
        <w:drawing>
          <wp:inline distT="0" distB="0" distL="114300" distR="114300">
            <wp:extent cx="5984240" cy="802957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424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85D39DF"/>
    <w:rsid w:val="1F2651D8"/>
    <w:rsid w:val="2BC81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558</Words>
  <Characters>1232</Characters>
  <Lines>18</Lines>
  <Paragraphs>5</Paragraphs>
  <TotalTime>0</TotalTime>
  <ScaleCrop>false</ScaleCrop>
  <LinksUpToDate>false</LinksUpToDate>
  <CharactersWithSpaces>1405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周文迋</cp:lastModifiedBy>
  <cp:lastPrinted>2019-05-13T03:13:00Z</cp:lastPrinted>
  <dcterms:modified xsi:type="dcterms:W3CDTF">2023-01-31T06:36:04Z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