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受审核部门： </w:t>
            </w:r>
            <w:r>
              <w:rPr>
                <w:rFonts w:hint="eastAsia" w:ascii="楷体" w:hAnsi="楷体" w:eastAsia="楷体"/>
                <w:lang w:val="en-US" w:eastAsia="zh-CN"/>
              </w:rPr>
              <w:t>采购部</w:t>
            </w:r>
            <w:r>
              <w:rPr>
                <w:rFonts w:hint="eastAsia" w:ascii="楷体" w:hAnsi="楷体" w:eastAsia="楷体"/>
              </w:rPr>
              <w:t xml:space="preserve">       主管领导：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黄亮  </w:t>
            </w:r>
            <w:r>
              <w:rPr>
                <w:rFonts w:hint="eastAsia"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</w:rPr>
              <w:t>陪同人员：</w:t>
            </w:r>
            <w:r>
              <w:rPr>
                <w:rFonts w:hint="eastAsia" w:ascii="楷体" w:hAnsi="楷体" w:eastAsia="楷体"/>
                <w:lang w:val="en-US" w:eastAsia="zh-CN"/>
              </w:rPr>
              <w:t>朱远东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审核员：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张磊     </w:t>
            </w:r>
            <w:r>
              <w:rPr>
                <w:rFonts w:hint="eastAsia" w:ascii="楷体" w:hAnsi="楷体" w:eastAsia="楷体"/>
              </w:rPr>
              <w:t xml:space="preserve">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.0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59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lang w:val="de-DE"/>
              </w:rPr>
              <w:t>ISO 45001：2018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bookmarkStart w:id="0" w:name="_GoBack"/>
            <w:bookmarkEnd w:id="0"/>
          </w:p>
        </w:tc>
        <w:tc>
          <w:tcPr>
            <w:tcW w:w="993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ascii="楷体" w:hAnsi="楷体" w:eastAsia="楷体"/>
              </w:rPr>
              <w:t>的岗位、职责和权限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596" w:type="dxa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</w:rPr>
              <w:t>长：</w:t>
            </w:r>
            <w:r>
              <w:rPr>
                <w:rFonts w:hint="eastAsia" w:ascii="楷体" w:hAnsi="楷体" w:eastAsia="楷体"/>
                <w:lang w:eastAsia="zh-CN"/>
              </w:rPr>
              <w:t xml:space="preserve">黄亮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查见《</w:t>
            </w:r>
            <w:r>
              <w:rPr>
                <w:rFonts w:hint="eastAsia" w:ascii="楷体" w:hAnsi="楷体" w:eastAsia="楷体"/>
                <w:lang w:eastAsia="zh-CN"/>
              </w:rPr>
              <w:t>管理手册</w:t>
            </w:r>
            <w:r>
              <w:rPr>
                <w:rFonts w:hint="eastAsia" w:ascii="楷体" w:hAnsi="楷体" w:eastAsia="楷体"/>
              </w:rPr>
              <w:t>》中人员岗位、职责和权限要求，规定了公司各个岗位的主要职责和相关要求。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</w:rPr>
              <w:t>的主要职责有：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职责和权限：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——负责公司的物资采购及供方评价工作。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——负责本部门安全环境运行控制工作。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——负责本部门危险源和环境因素的辨识调查、评价、确定重要危险源和环境因素和相应目标、指标。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——负责落实好物资采购、管理制度、做到储备合理、避免超储、积压等现象发生，压缩资金占用。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——根据各部门的需用计划，结合仓库库存编制材料采购计划，报领导批准（并备案存档）。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——对提供测量设备、辅助设备及消耗性材料的外部供方建立供方名录，并提供供方业绩资料，合格供方的评审活动，</w:t>
            </w:r>
            <w:r>
              <w:rPr>
                <w:rFonts w:hint="eastAsia" w:ascii="楷体" w:hAnsi="楷体" w:eastAsia="楷体"/>
                <w:lang w:val="en-US" w:eastAsia="zh-CN"/>
              </w:rPr>
              <w:t>进行测量设备采购和采购不合格测量设备的追溯。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——负责公司原辅料仓储管理工作。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 xml:space="preserve">黄亮 </w:t>
            </w:r>
            <w:r>
              <w:rPr>
                <w:rFonts w:hint="eastAsia" w:ascii="楷体" w:hAnsi="楷体" w:eastAsia="楷体"/>
              </w:rPr>
              <w:t>部长清楚其职责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组织的环境因素、危险源辨识和职业安全风险评价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EO：6.1.2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组织根据手册第6.1.2条款、《环境因素识别与评价控制程序》要求，由采购部负责指导各部门环境因素的调查、评价、汇总、登记、审定及更新，各部门负责组织实施，采购部负责汇总整理。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查看组织《环境因素识别、评价、控制表》，组织在办公区、厂区仓库、车间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组织按照《环境因素识别与评价控制程序》准则确定了重要环境因素，抽查组织《重要环境因素清单》内容如下：</w:t>
            </w:r>
          </w:p>
          <w:tbl>
            <w:tblPr>
              <w:tblStyle w:val="10"/>
              <w:tblW w:w="102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430"/>
              <w:gridCol w:w="2020"/>
              <w:gridCol w:w="3260"/>
              <w:gridCol w:w="28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79" w:type="dxa"/>
                  <w:tcBorders>
                    <w:top w:val="single" w:color="auto" w:sz="8" w:space="0"/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02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产品、活动和服务</w:t>
                  </w:r>
                </w:p>
              </w:tc>
              <w:tc>
                <w:tcPr>
                  <w:tcW w:w="3260" w:type="dxa"/>
                  <w:tcBorders>
                    <w:top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环境因素</w:t>
                  </w:r>
                </w:p>
              </w:tc>
              <w:tc>
                <w:tcPr>
                  <w:tcW w:w="2806" w:type="dxa"/>
                  <w:tcBorders>
                    <w:top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2" w:hRule="atLeast"/>
              </w:trPr>
              <w:tc>
                <w:tcPr>
                  <w:tcW w:w="779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430" w:type="dxa"/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各办公室、车间</w:t>
                  </w:r>
                </w:p>
              </w:tc>
              <w:tc>
                <w:tcPr>
                  <w:tcW w:w="2020" w:type="dxa"/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生产、办公活动</w:t>
                  </w:r>
                </w:p>
              </w:tc>
              <w:tc>
                <w:tcPr>
                  <w:tcW w:w="3260" w:type="dxa"/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废日光灯管、废旧电池的废弃、报废电脑零件、报废墨盒、废色带、废碳粉</w:t>
                  </w:r>
                </w:p>
              </w:tc>
              <w:tc>
                <w:tcPr>
                  <w:tcW w:w="2806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《废弃物处理管理规定》</w:t>
                  </w:r>
                </w:p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779" w:type="dxa"/>
                  <w:tcBorders>
                    <w:left w:val="single" w:color="auto" w:sz="8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各办公室、车间</w:t>
                  </w:r>
                </w:p>
              </w:tc>
              <w:tc>
                <w:tcPr>
                  <w:tcW w:w="20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生产活动、检验活动</w:t>
                  </w:r>
                </w:p>
              </w:tc>
              <w:tc>
                <w:tcPr>
                  <w:tcW w:w="32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806" w:type="dxa"/>
                  <w:tcBorders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见《消防安全管理规定》和《火警紧急预案》</w:t>
                  </w:r>
                </w:p>
              </w:tc>
            </w:tr>
          </w:tbl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重要环境因素识别、评价与实际吻合，控制措施基本能够满足控制要求。</w:t>
            </w:r>
          </w:p>
          <w:p>
            <w:pPr>
              <w:rPr>
                <w:rFonts w:hint="default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根据手册6.1.2条款、《危险源识别、风险评价控制程序》要求，由采购部负责编制《危险源辨识和风险评价登记表》，指导各职能部门（基层单位）开展危险、有害因素风险识别、评价，负责各职能部门（基层单位）风险评价记录的审查与控制效果有效性验证。组织有建立、更新《不可接受风险清单》。内容如下：</w:t>
            </w:r>
          </w:p>
          <w:tbl>
            <w:tblPr>
              <w:tblStyle w:val="10"/>
              <w:tblW w:w="102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3"/>
              <w:gridCol w:w="2300"/>
              <w:gridCol w:w="53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3" w:type="dxa"/>
                  <w:shd w:val="clear" w:color="auto" w:fill="auto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重大危险源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>
                  <w:pPr>
                    <w:rPr>
                      <w:rFonts w:hint="default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5300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明火、消防器材不全或失效</w:t>
                  </w:r>
                </w:p>
              </w:tc>
              <w:tc>
                <w:tcPr>
                  <w:tcW w:w="2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53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落实消防安全制度，配置灭火器材，制定应急预案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违规用电</w:t>
                  </w:r>
                </w:p>
              </w:tc>
              <w:tc>
                <w:tcPr>
                  <w:tcW w:w="2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触电伤亡</w:t>
                  </w:r>
                </w:p>
              </w:tc>
              <w:tc>
                <w:tcPr>
                  <w:tcW w:w="53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Times New Roman"/>
                      <w:color w:val="auto"/>
                      <w:lang w:val="en-US" w:eastAsia="zh-CN"/>
                    </w:rPr>
                    <w:t>并加强安全生产教育；加强设备保养工作时做好检查监护；配置灭火器材，制定应急方案，管理方案。</w:t>
                  </w:r>
                </w:p>
              </w:tc>
            </w:tr>
          </w:tbl>
          <w:p>
            <w:pP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lang w:val="en-US" w:eastAsia="zh-CN"/>
              </w:rPr>
              <w:t>组织的职业健康安全风险与危险源辨识清单判定的内容一致，采购部负责人在访谈时介绍，组织会在危险源和风险识别、确定和应对的过程中寻找机遇，包括：1）使工作、工作组织和工作环境适合于工作人员；2）消除危险源和降低职业健康安全风险等，基本与ISO45001和企业手册以及程序文件要求识别的机遇一致，符合要求。</w:t>
            </w:r>
          </w:p>
        </w:tc>
        <w:tc>
          <w:tcPr>
            <w:tcW w:w="993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采购部</w:t>
            </w:r>
            <w:r>
              <w:rPr>
                <w:rFonts w:ascii="楷体" w:hAnsi="楷体" w:eastAsia="楷体"/>
              </w:rPr>
              <w:t>的</w:t>
            </w:r>
            <w:r>
              <w:rPr>
                <w:rFonts w:hint="eastAsia" w:ascii="楷体" w:hAnsi="楷体" w:eastAsia="楷体"/>
              </w:rPr>
              <w:t>质量目标及完成情况</w:t>
            </w: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EO</w:t>
            </w: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596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质量目标的制定符合部门主要工作流程实际情况，有针对性，可测量。与质量方针保持一致。明确了目标考核的具体方法和频次。</w:t>
            </w:r>
          </w:p>
          <w:p>
            <w:pPr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</w:rPr>
              <w:sym w:font="Wingdings 2" w:char="F098"/>
            </w: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 xml:space="preserve"> 环境目标：                           考核结果</w:t>
            </w:r>
          </w:p>
          <w:p>
            <w:pPr>
              <w:pStyle w:val="2"/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固体废弃物100%分类，合理处理；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100</w:t>
            </w:r>
          </w:p>
          <w:p>
            <w:pPr>
              <w:pStyle w:val="2"/>
              <w:rPr>
                <w:rFonts w:hint="default" w:ascii="楷体" w:hAnsi="楷体" w:eastAsia="楷体" w:cs="宋体"/>
                <w:b/>
                <w:lang w:val="en-US" w:eastAsia="zh-CN"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废水、废气、噪声达标排放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达标</w:t>
            </w:r>
          </w:p>
          <w:p>
            <w:pPr>
              <w:pStyle w:val="2"/>
              <w:rPr>
                <w:rFonts w:hint="eastAsia" w:ascii="楷体" w:hAnsi="楷体" w:eastAsia="楷体" w:cs="宋体"/>
                <w:b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lang w:val="en-US" w:eastAsia="zh-CN"/>
              </w:rPr>
              <w:t>职业健康安全目标：</w:t>
            </w:r>
          </w:p>
          <w:p>
            <w:pPr>
              <w:pStyle w:val="2"/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全年无职业病发生                       0 </w:t>
            </w:r>
          </w:p>
          <w:p>
            <w:pPr>
              <w:pStyle w:val="2"/>
              <w:rPr>
                <w:rFonts w:ascii="楷体" w:hAnsi="楷体" w:eastAsia="楷体"/>
                <w:bCs/>
              </w:rPr>
            </w:pPr>
            <w:r>
              <w:rPr>
                <w:rFonts w:hint="default" w:ascii="楷体" w:hAnsi="楷体" w:eastAsia="楷体" w:cs="宋体"/>
                <w:b w:val="0"/>
                <w:bCs w:val="0"/>
                <w:lang w:val="en-US" w:eastAsia="zh-CN"/>
              </w:rPr>
              <w:t>火灾事故发生率为零</w:t>
            </w:r>
            <w:r>
              <w:rPr>
                <w:rFonts w:hint="eastAsia" w:ascii="楷体" w:hAnsi="楷体" w:eastAsia="楷体" w:cs="宋体"/>
                <w:b w:val="0"/>
                <w:bCs w:val="0"/>
                <w:lang w:val="en-US" w:eastAsia="zh-CN"/>
              </w:rPr>
              <w:t xml:space="preserve">                     0</w:t>
            </w:r>
            <w:r>
              <w:rPr>
                <w:rFonts w:hint="eastAsia" w:ascii="楷体" w:hAnsi="楷体" w:eastAsia="楷体"/>
                <w:bCs/>
              </w:rPr>
              <w:t xml:space="preserve">                    </w:t>
            </w:r>
          </w:p>
          <w:p>
            <w:pPr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考核期限为202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</w:rPr>
              <w:t>月-202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</w:rPr>
              <w:t>月，</w:t>
            </w:r>
            <w:r>
              <w:rPr>
                <w:rFonts w:hint="eastAsia" w:ascii="楷体" w:hAnsi="楷体" w:eastAsia="楷体"/>
                <w:lang w:val="en-US" w:eastAsia="zh-CN"/>
              </w:rPr>
              <w:t>目标完成</w:t>
            </w:r>
            <w:r>
              <w:rPr>
                <w:rFonts w:hint="eastAsia" w:ascii="楷体" w:hAnsi="楷体" w:eastAsia="楷体"/>
              </w:rPr>
              <w:t>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本部门应执行的运行控制文件：《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环境安全运行控制程序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、《噪声控制程序》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、《废弃物控制程序》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、《合规性评价控制程序》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商户、固体废弃物处理等。提供了“致相关方的公开信”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■公司为员工缴纳了工伤保险，提供了缴纳保险的证据。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■驾驶员要求遵守道路交通安全法，不违章驾车，驾驶证和车辆定期年审，确保行车安全；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■现场查看办公区域配备有符合要求的灭火器等，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综合部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■摔倒：地面及时清理和清洁；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■中暑：有空调、风扇；有冷饮、凉茶；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■触电：有过流保护器；全公司使用220V的电压；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悬挂警示标志；应急救援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default" w:ascii="楷体" w:hAnsi="楷体" w:eastAsia="楷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0596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1、查策划有《应急准备和响应控制程序》，编制有《应急预案》。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5135880</wp:posOffset>
                  </wp:positionH>
                  <wp:positionV relativeFrom="paragraph">
                    <wp:posOffset>9525</wp:posOffset>
                  </wp:positionV>
                  <wp:extent cx="1485265" cy="2183765"/>
                  <wp:effectExtent l="0" t="0" r="635" b="635"/>
                  <wp:wrapTight wrapText="bothSides">
                    <wp:wrapPolygon>
                      <wp:start x="0" y="0"/>
                      <wp:lineTo x="0" y="21481"/>
                      <wp:lineTo x="21425" y="21481"/>
                      <wp:lineTo x="21425" y="0"/>
                      <wp:lineTo x="0" y="0"/>
                    </wp:wrapPolygon>
                  </wp:wrapTight>
                  <wp:docPr id="7" name="图片 7" descr="e337104d59c8cbf277b8d6486c6b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337104d59c8cbf277b8d6486c6b6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2、应急准备工作开展以下活动：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3、该部门介绍开展了消防器材的使用和人员紧急疏散演练活动：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提供有“火灾消防演习”。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——演练时间：时间2022年8月16日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993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6"/>
        <w:rFonts w:hint="default"/>
      </w:rPr>
      <w:t>北京国标联合认证有限公司</w:t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  <w:r>
      <w:rPr>
        <w:rStyle w:val="2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3847C4"/>
    <w:rsid w:val="0000347E"/>
    <w:rsid w:val="00023952"/>
    <w:rsid w:val="00025865"/>
    <w:rsid w:val="00057662"/>
    <w:rsid w:val="00060215"/>
    <w:rsid w:val="0006532C"/>
    <w:rsid w:val="0007303B"/>
    <w:rsid w:val="000A54FE"/>
    <w:rsid w:val="000B5017"/>
    <w:rsid w:val="000B75A8"/>
    <w:rsid w:val="000C1A58"/>
    <w:rsid w:val="000C3CC2"/>
    <w:rsid w:val="000C77F1"/>
    <w:rsid w:val="000D4932"/>
    <w:rsid w:val="000E38A3"/>
    <w:rsid w:val="000E3CD9"/>
    <w:rsid w:val="000E5BAD"/>
    <w:rsid w:val="000F6FFF"/>
    <w:rsid w:val="001009C5"/>
    <w:rsid w:val="0011537B"/>
    <w:rsid w:val="00115970"/>
    <w:rsid w:val="0011724D"/>
    <w:rsid w:val="00133252"/>
    <w:rsid w:val="00163990"/>
    <w:rsid w:val="00167639"/>
    <w:rsid w:val="001811A7"/>
    <w:rsid w:val="001A3D71"/>
    <w:rsid w:val="001D7F61"/>
    <w:rsid w:val="001E42E3"/>
    <w:rsid w:val="001F1464"/>
    <w:rsid w:val="001F337E"/>
    <w:rsid w:val="001F3991"/>
    <w:rsid w:val="001F50F1"/>
    <w:rsid w:val="00201589"/>
    <w:rsid w:val="00202401"/>
    <w:rsid w:val="00204690"/>
    <w:rsid w:val="002320E7"/>
    <w:rsid w:val="00242E30"/>
    <w:rsid w:val="00262EF7"/>
    <w:rsid w:val="00263851"/>
    <w:rsid w:val="002C6FA6"/>
    <w:rsid w:val="002E6D84"/>
    <w:rsid w:val="002F2DCF"/>
    <w:rsid w:val="002F3464"/>
    <w:rsid w:val="002F43EA"/>
    <w:rsid w:val="003113F5"/>
    <w:rsid w:val="00311567"/>
    <w:rsid w:val="0032052A"/>
    <w:rsid w:val="0032094B"/>
    <w:rsid w:val="003314A0"/>
    <w:rsid w:val="0033391C"/>
    <w:rsid w:val="00335A78"/>
    <w:rsid w:val="0034669B"/>
    <w:rsid w:val="003525CD"/>
    <w:rsid w:val="003847C4"/>
    <w:rsid w:val="003C38B9"/>
    <w:rsid w:val="003C5D0C"/>
    <w:rsid w:val="003F4180"/>
    <w:rsid w:val="003F59AA"/>
    <w:rsid w:val="00401CF9"/>
    <w:rsid w:val="004041FA"/>
    <w:rsid w:val="00405DA5"/>
    <w:rsid w:val="00412C8E"/>
    <w:rsid w:val="0042110E"/>
    <w:rsid w:val="0042683A"/>
    <w:rsid w:val="004616EE"/>
    <w:rsid w:val="004641FE"/>
    <w:rsid w:val="00476D56"/>
    <w:rsid w:val="0049387C"/>
    <w:rsid w:val="00494BB0"/>
    <w:rsid w:val="004A5C76"/>
    <w:rsid w:val="004B0C2A"/>
    <w:rsid w:val="004B19FC"/>
    <w:rsid w:val="004B28E5"/>
    <w:rsid w:val="004C1BB3"/>
    <w:rsid w:val="005108B4"/>
    <w:rsid w:val="00512C14"/>
    <w:rsid w:val="00520C3A"/>
    <w:rsid w:val="005254D3"/>
    <w:rsid w:val="0053535B"/>
    <w:rsid w:val="005379CF"/>
    <w:rsid w:val="005414A8"/>
    <w:rsid w:val="005608DB"/>
    <w:rsid w:val="00561237"/>
    <w:rsid w:val="0057385A"/>
    <w:rsid w:val="00583C0B"/>
    <w:rsid w:val="00585C3A"/>
    <w:rsid w:val="005951E4"/>
    <w:rsid w:val="00597760"/>
    <w:rsid w:val="005B331E"/>
    <w:rsid w:val="005B3F14"/>
    <w:rsid w:val="005B7343"/>
    <w:rsid w:val="005C6112"/>
    <w:rsid w:val="005D4420"/>
    <w:rsid w:val="00600DC3"/>
    <w:rsid w:val="0060713F"/>
    <w:rsid w:val="006077E4"/>
    <w:rsid w:val="006152BA"/>
    <w:rsid w:val="00623D27"/>
    <w:rsid w:val="0063063C"/>
    <w:rsid w:val="00632CCD"/>
    <w:rsid w:val="006334B6"/>
    <w:rsid w:val="00635480"/>
    <w:rsid w:val="00652366"/>
    <w:rsid w:val="00654F61"/>
    <w:rsid w:val="00662809"/>
    <w:rsid w:val="00683644"/>
    <w:rsid w:val="006B3EEC"/>
    <w:rsid w:val="006E5372"/>
    <w:rsid w:val="006E5B30"/>
    <w:rsid w:val="006F0B0B"/>
    <w:rsid w:val="006F1E35"/>
    <w:rsid w:val="006F448A"/>
    <w:rsid w:val="006F5A52"/>
    <w:rsid w:val="00703F5B"/>
    <w:rsid w:val="00705A78"/>
    <w:rsid w:val="00730EE8"/>
    <w:rsid w:val="00734FDB"/>
    <w:rsid w:val="00735605"/>
    <w:rsid w:val="0073751E"/>
    <w:rsid w:val="00737C8C"/>
    <w:rsid w:val="00753EE2"/>
    <w:rsid w:val="00754826"/>
    <w:rsid w:val="00756F32"/>
    <w:rsid w:val="007573F4"/>
    <w:rsid w:val="00762184"/>
    <w:rsid w:val="00776728"/>
    <w:rsid w:val="00793A8C"/>
    <w:rsid w:val="007A739A"/>
    <w:rsid w:val="007B5F3C"/>
    <w:rsid w:val="007C0304"/>
    <w:rsid w:val="007D54C4"/>
    <w:rsid w:val="007D6292"/>
    <w:rsid w:val="007E3A13"/>
    <w:rsid w:val="007E5D8F"/>
    <w:rsid w:val="007F57B9"/>
    <w:rsid w:val="0080039D"/>
    <w:rsid w:val="00821697"/>
    <w:rsid w:val="00825A0E"/>
    <w:rsid w:val="00834C7C"/>
    <w:rsid w:val="00895671"/>
    <w:rsid w:val="008A4FBA"/>
    <w:rsid w:val="008B708C"/>
    <w:rsid w:val="008C6B1F"/>
    <w:rsid w:val="008D1AED"/>
    <w:rsid w:val="008D7855"/>
    <w:rsid w:val="008F1718"/>
    <w:rsid w:val="00905121"/>
    <w:rsid w:val="0092115F"/>
    <w:rsid w:val="009271CE"/>
    <w:rsid w:val="00930E90"/>
    <w:rsid w:val="00934CF5"/>
    <w:rsid w:val="009528CE"/>
    <w:rsid w:val="00955F6D"/>
    <w:rsid w:val="0096115C"/>
    <w:rsid w:val="00976222"/>
    <w:rsid w:val="009840FE"/>
    <w:rsid w:val="0099399D"/>
    <w:rsid w:val="00996D96"/>
    <w:rsid w:val="009A259C"/>
    <w:rsid w:val="009B114F"/>
    <w:rsid w:val="009B5A76"/>
    <w:rsid w:val="009C4202"/>
    <w:rsid w:val="009D086B"/>
    <w:rsid w:val="009D4A2D"/>
    <w:rsid w:val="009F4CA7"/>
    <w:rsid w:val="00A002C3"/>
    <w:rsid w:val="00A71171"/>
    <w:rsid w:val="00A742DD"/>
    <w:rsid w:val="00A76E95"/>
    <w:rsid w:val="00A81089"/>
    <w:rsid w:val="00A85860"/>
    <w:rsid w:val="00A97C92"/>
    <w:rsid w:val="00AC5E0D"/>
    <w:rsid w:val="00AD1FC8"/>
    <w:rsid w:val="00AF1468"/>
    <w:rsid w:val="00B025E6"/>
    <w:rsid w:val="00B1037D"/>
    <w:rsid w:val="00B105C9"/>
    <w:rsid w:val="00B2221D"/>
    <w:rsid w:val="00B4315E"/>
    <w:rsid w:val="00B44294"/>
    <w:rsid w:val="00B67D1A"/>
    <w:rsid w:val="00B83F38"/>
    <w:rsid w:val="00B86379"/>
    <w:rsid w:val="00BB0936"/>
    <w:rsid w:val="00BC058B"/>
    <w:rsid w:val="00BC20B8"/>
    <w:rsid w:val="00BC2EFC"/>
    <w:rsid w:val="00BC31D0"/>
    <w:rsid w:val="00BC5A1D"/>
    <w:rsid w:val="00BD1174"/>
    <w:rsid w:val="00BD7D50"/>
    <w:rsid w:val="00BE2064"/>
    <w:rsid w:val="00BF53A5"/>
    <w:rsid w:val="00C10C4C"/>
    <w:rsid w:val="00C12452"/>
    <w:rsid w:val="00C172DF"/>
    <w:rsid w:val="00C44474"/>
    <w:rsid w:val="00C52B1F"/>
    <w:rsid w:val="00C6307D"/>
    <w:rsid w:val="00C63AB8"/>
    <w:rsid w:val="00C6714E"/>
    <w:rsid w:val="00C70A3C"/>
    <w:rsid w:val="00C71F08"/>
    <w:rsid w:val="00C75231"/>
    <w:rsid w:val="00C9445E"/>
    <w:rsid w:val="00CB1E34"/>
    <w:rsid w:val="00CC3A46"/>
    <w:rsid w:val="00CC5E72"/>
    <w:rsid w:val="00CD0686"/>
    <w:rsid w:val="00CD1333"/>
    <w:rsid w:val="00CD7F15"/>
    <w:rsid w:val="00CE6497"/>
    <w:rsid w:val="00CF2A81"/>
    <w:rsid w:val="00D04D2F"/>
    <w:rsid w:val="00D13580"/>
    <w:rsid w:val="00D224B1"/>
    <w:rsid w:val="00D25C22"/>
    <w:rsid w:val="00D7082A"/>
    <w:rsid w:val="00D70A6F"/>
    <w:rsid w:val="00D747A7"/>
    <w:rsid w:val="00D82580"/>
    <w:rsid w:val="00D84B6C"/>
    <w:rsid w:val="00D975E5"/>
    <w:rsid w:val="00DA5622"/>
    <w:rsid w:val="00DA7002"/>
    <w:rsid w:val="00DC5940"/>
    <w:rsid w:val="00DD0CC9"/>
    <w:rsid w:val="00DD42DE"/>
    <w:rsid w:val="00DD5610"/>
    <w:rsid w:val="00DD5C76"/>
    <w:rsid w:val="00DF5B91"/>
    <w:rsid w:val="00E30D3B"/>
    <w:rsid w:val="00E40048"/>
    <w:rsid w:val="00E4285C"/>
    <w:rsid w:val="00E45019"/>
    <w:rsid w:val="00E4556C"/>
    <w:rsid w:val="00E94863"/>
    <w:rsid w:val="00EA2498"/>
    <w:rsid w:val="00EC3B82"/>
    <w:rsid w:val="00ED2231"/>
    <w:rsid w:val="00F21608"/>
    <w:rsid w:val="00F241FB"/>
    <w:rsid w:val="00F270C7"/>
    <w:rsid w:val="00F307D1"/>
    <w:rsid w:val="00F32A16"/>
    <w:rsid w:val="00F32A2E"/>
    <w:rsid w:val="00F337DF"/>
    <w:rsid w:val="00F44E61"/>
    <w:rsid w:val="00F649DE"/>
    <w:rsid w:val="00F71AC1"/>
    <w:rsid w:val="00F76756"/>
    <w:rsid w:val="00F82D59"/>
    <w:rsid w:val="00F97B79"/>
    <w:rsid w:val="00FC204B"/>
    <w:rsid w:val="00FC660E"/>
    <w:rsid w:val="00FE16FE"/>
    <w:rsid w:val="03FE4A91"/>
    <w:rsid w:val="053359C8"/>
    <w:rsid w:val="09D973F0"/>
    <w:rsid w:val="179A34E4"/>
    <w:rsid w:val="1A900232"/>
    <w:rsid w:val="327F351A"/>
    <w:rsid w:val="39881AE1"/>
    <w:rsid w:val="40F16E61"/>
    <w:rsid w:val="4BAF4744"/>
    <w:rsid w:val="4C060CDD"/>
    <w:rsid w:val="55B701B4"/>
    <w:rsid w:val="68BB17A9"/>
    <w:rsid w:val="72DA760F"/>
    <w:rsid w:val="7BD44C5F"/>
    <w:rsid w:val="7C59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  <w:rPr>
      <w:sz w:val="0"/>
      <w:szCs w:val="0"/>
      <w:bdr w:val="single" w:color="CCCCCC" w:sz="2" w:space="0"/>
      <w:shd w:val="clear" w:fill="FFFFFF"/>
    </w:rPr>
  </w:style>
  <w:style w:type="character" w:styleId="18">
    <w:name w:val="Hyperlink"/>
    <w:basedOn w:val="12"/>
    <w:semiHidden/>
    <w:unhideWhenUsed/>
    <w:qFormat/>
    <w:uiPriority w:val="99"/>
    <w:rPr>
      <w:rFonts w:hint="eastAsia" w:ascii="微软雅黑" w:hAnsi="微软雅黑" w:eastAsia="微软雅黑" w:cs="微软雅黑"/>
      <w:color w:val="146C88"/>
      <w:sz w:val="24"/>
      <w:szCs w:val="24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22">
    <w:name w:val="HTML Sample"/>
    <w:basedOn w:val="12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23">
    <w:name w:val="页眉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NormalCharacter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31">
    <w:name w:val="checked"/>
    <w:basedOn w:val="12"/>
    <w:qFormat/>
    <w:uiPriority w:val="0"/>
    <w:rPr>
      <w:vanish/>
    </w:rPr>
  </w:style>
  <w:style w:type="character" w:customStyle="1" w:styleId="32">
    <w:name w:val="checked1"/>
    <w:basedOn w:val="12"/>
    <w:qFormat/>
    <w:uiPriority w:val="0"/>
  </w:style>
  <w:style w:type="character" w:customStyle="1" w:styleId="33">
    <w:name w:val="ca-nav-next"/>
    <w:basedOn w:val="12"/>
    <w:qFormat/>
    <w:uiPriority w:val="0"/>
  </w:style>
  <w:style w:type="character" w:customStyle="1" w:styleId="34">
    <w:name w:val="button"/>
    <w:basedOn w:val="12"/>
    <w:qFormat/>
    <w:uiPriority w:val="0"/>
  </w:style>
  <w:style w:type="character" w:customStyle="1" w:styleId="35">
    <w:name w:val="last-child"/>
    <w:basedOn w:val="12"/>
    <w:qFormat/>
    <w:uiPriority w:val="0"/>
    <w:rPr>
      <w:color w:val="999999"/>
    </w:rPr>
  </w:style>
  <w:style w:type="character" w:customStyle="1" w:styleId="36">
    <w:name w:val="last-child1"/>
    <w:basedOn w:val="12"/>
    <w:qFormat/>
    <w:uiPriority w:val="0"/>
  </w:style>
  <w:style w:type="character" w:customStyle="1" w:styleId="37">
    <w:name w:val="hover19"/>
    <w:basedOn w:val="12"/>
    <w:qFormat/>
    <w:uiPriority w:val="0"/>
  </w:style>
  <w:style w:type="character" w:customStyle="1" w:styleId="38">
    <w:name w:val="hover20"/>
    <w:basedOn w:val="12"/>
    <w:qFormat/>
    <w:uiPriority w:val="0"/>
    <w:rPr>
      <w:shd w:val="clear" w:fill="F2F2F2"/>
    </w:rPr>
  </w:style>
  <w:style w:type="character" w:customStyle="1" w:styleId="39">
    <w:name w:val="hover21"/>
    <w:basedOn w:val="12"/>
    <w:qFormat/>
    <w:uiPriority w:val="0"/>
    <w:rPr>
      <w:shd w:val="clear" w:fill="F2F2F2"/>
    </w:rPr>
  </w:style>
  <w:style w:type="character" w:customStyle="1" w:styleId="40">
    <w:name w:val="active2"/>
    <w:basedOn w:val="12"/>
    <w:qFormat/>
    <w:uiPriority w:val="0"/>
    <w:rPr>
      <w:shd w:val="clear" w:fill="F2F2F2"/>
    </w:rPr>
  </w:style>
  <w:style w:type="character" w:customStyle="1" w:styleId="41">
    <w:name w:val="tmpztreemove_arrow"/>
    <w:basedOn w:val="12"/>
    <w:qFormat/>
    <w:uiPriority w:val="0"/>
  </w:style>
  <w:style w:type="character" w:customStyle="1" w:styleId="42">
    <w:name w:val="hover"/>
    <w:basedOn w:val="12"/>
    <w:qFormat/>
    <w:uiPriority w:val="0"/>
  </w:style>
  <w:style w:type="character" w:customStyle="1" w:styleId="43">
    <w:name w:val="hover1"/>
    <w:basedOn w:val="12"/>
    <w:qFormat/>
    <w:uiPriority w:val="0"/>
    <w:rPr>
      <w:shd w:val="clear" w:fill="F2F2F2"/>
    </w:rPr>
  </w:style>
  <w:style w:type="character" w:customStyle="1" w:styleId="44">
    <w:name w:val="hover2"/>
    <w:basedOn w:val="12"/>
    <w:qFormat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5994</Words>
  <Characters>6436</Characters>
  <Lines>142</Lines>
  <Paragraphs>40</Paragraphs>
  <TotalTime>0</TotalTime>
  <ScaleCrop>false</ScaleCrop>
  <LinksUpToDate>false</LinksUpToDate>
  <CharactersWithSpaces>6617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2023-01-12T05:37:47Z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CBDABF299A064D14A5DF11D9E897C68B</vt:lpwstr>
  </property>
</Properties>
</file>