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南京梅特朗测控仪表有限公司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南京市玄武区太平北路120-1号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南京市江宁区谷里工业园润谷路12号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朱远东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13851980659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271584105@qq.com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0113-2022-EO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E：资质范围内的流量计、仪器仪表的生产、销售及售后服务所涉及场所的相关环境管理活动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O：资质范围内的流量计、仪器仪表的生产、销售及售后服务所涉及场所的相关职业健康安全管理活动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2023年01月12日 上午至2023年01月13日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11"/>
        <w:gridCol w:w="8144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使用手机和电脑微信进行远程沟通）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2023.1.1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首次会议（管理层）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使用手机和电脑微信进行远程沟通）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6.1.1策划总则；6.1.4措施的策划；6.2目标及其实现的策划；7.1资源；9.1.1监视、测量、分析和评价总则；9.3管理评审；10.1改进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9.3管理评审；10.1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改进 总则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；10.3持续改进。</w:t>
            </w:r>
          </w:p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标准/规范/法规的执行情况、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一阶段审核问题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的验证、投诉或事故、监督抽查情况、体系变动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6.2目标及其实现的策划；6.1.3法律法规要求和其他要求；6.1.2危险源辨识和职业安全风险评价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；7.2能力；7.3意识；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；8.1运行策划和控制；9.2内部审核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10.2不符合和纠正措施；8.2应急准备和响应；9.1.1监视、测量、分析和评价总则；9.1.2合规性评价；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使用手机和电脑微信进行远程沟通）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冷春宇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8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2023.1.1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采购部：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销售部：</w:t>
            </w:r>
            <w:bookmarkStart w:id="36" w:name="_GoBack"/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bookmarkEnd w:id="36"/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使用手机和电脑微信进行远程沟通）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冷春宇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87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末次会议（管理层）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使用手机和电脑微信进行远程沟通）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A8B33FE"/>
    <w:rsid w:val="48636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2242</Words>
  <Characters>3136</Characters>
  <Lines>37</Lines>
  <Paragraphs>10</Paragraphs>
  <TotalTime>30</TotalTime>
  <ScaleCrop>false</ScaleCrop>
  <LinksUpToDate>false</LinksUpToDate>
  <CharactersWithSpaces>3209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2023-01-12T05:37:52Z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