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uto"/>
        <w:jc w:val="left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附录A：</w:t>
      </w:r>
    </w:p>
    <w:p>
      <w:pPr>
        <w:pStyle w:val="3"/>
        <w:spacing w:line="240" w:lineRule="auto"/>
        <w:jc w:val="center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抽油杆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抗拉强度检测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测量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8"/>
          <w:szCs w:val="28"/>
        </w:rPr>
        <w:t>不确定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度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8"/>
          <w:szCs w:val="28"/>
        </w:rPr>
        <w:t>评</w:t>
      </w:r>
      <w:r>
        <w:rPr>
          <w:rFonts w:hint="default" w:ascii="Times New Roman" w:hAnsi="Times New Roman" w:eastAsia="宋体" w:cs="Times New Roman"/>
          <w:b/>
          <w:bCs/>
          <w:snapToGrid w:val="0"/>
          <w:color w:val="000000"/>
          <w:kern w:val="0"/>
          <w:sz w:val="28"/>
          <w:szCs w:val="28"/>
        </w:rPr>
        <w:t>定报告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>1、测量过程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1.1</w:t>
      </w:r>
      <w:r>
        <w:rPr>
          <w:rFonts w:hint="default" w:ascii="Times New Roman" w:hAnsi="Times New Roman" w:eastAsia="宋体" w:cs="Times New Roman"/>
          <w:sz w:val="24"/>
          <w:szCs w:val="24"/>
        </w:rPr>
        <w:t>、测量方法：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依据GB </w:t>
      </w:r>
      <w:r>
        <w:rPr>
          <w:rFonts w:hint="eastAsia" w:cs="Times New Roman"/>
          <w:sz w:val="24"/>
          <w:szCs w:val="24"/>
          <w:lang w:val="en-US" w:eastAsia="zh-CN"/>
        </w:rPr>
        <w:t>/T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228.1</w:t>
      </w:r>
      <w:r>
        <w:rPr>
          <w:rFonts w:hint="eastAsia" w:cs="Times New Roman"/>
          <w:sz w:val="24"/>
          <w:szCs w:val="24"/>
          <w:lang w:val="en-US" w:eastAsia="zh-CN"/>
        </w:rPr>
        <w:t>-2010《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金属材料 拉伸试验第1部分</w:t>
      </w:r>
      <w:r>
        <w:rPr>
          <w:rFonts w:hint="eastAsia" w:cs="Times New Roman"/>
          <w:sz w:val="24"/>
          <w:szCs w:val="24"/>
          <w:lang w:val="en-US" w:eastAsia="zh-CN"/>
        </w:rPr>
        <w:t>: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室温试验方法</w:t>
      </w:r>
      <w:r>
        <w:rPr>
          <w:rFonts w:hint="eastAsia" w:cs="Times New Roman"/>
          <w:sz w:val="24"/>
          <w:szCs w:val="24"/>
          <w:lang w:val="en-US" w:eastAsia="zh-CN"/>
        </w:rPr>
        <w:t>》</w:t>
      </w:r>
      <w:r>
        <w:rPr>
          <w:rFonts w:hint="default" w:ascii="Times New Roman" w:hAnsi="Times New Roman" w:eastAsia="宋体" w:cs="Times New Roman"/>
          <w:sz w:val="24"/>
          <w:szCs w:val="24"/>
        </w:rPr>
        <w:t>和相关操作规范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进行测量。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1.2、环境条件：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（10-35）℃</w:t>
      </w:r>
      <w:r>
        <w:rPr>
          <w:rFonts w:hint="eastAsia"/>
          <w:bCs/>
          <w:szCs w:val="21"/>
        </w:rPr>
        <w:t>。</w:t>
      </w:r>
    </w:p>
    <w:p>
      <w:pPr>
        <w:pStyle w:val="16"/>
        <w:numPr>
          <w:ilvl w:val="0"/>
          <w:numId w:val="0"/>
        </w:numPr>
        <w:spacing w:line="360" w:lineRule="exact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1.3、检测设备：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液压万能试验机</w:t>
      </w:r>
      <w:r>
        <w:rPr>
          <w:rFonts w:hint="default" w:ascii="Times New Roman" w:hAnsi="Times New Roman" w:eastAsia="宋体" w:cs="Times New Roman"/>
          <w:sz w:val="24"/>
          <w:szCs w:val="24"/>
        </w:rPr>
        <w:t>， 测量范围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shd w:val="clear" w:color="auto" w:fill="FFFFFF"/>
        </w:rPr>
        <w:t>0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shd w:val="clear" w:color="auto" w:fill="FFFFFF"/>
          <w:lang w:val="en-US" w:eastAsia="zh-CN"/>
        </w:rPr>
        <w:t>-</w:t>
      </w:r>
      <w:r>
        <w:rPr>
          <w:rFonts w:hint="eastAsia" w:cs="Times New Roman"/>
          <w:color w:val="000000"/>
          <w:sz w:val="24"/>
          <w:szCs w:val="24"/>
          <w:shd w:val="clear" w:color="auto" w:fill="FFFFFF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shd w:val="clear" w:color="auto" w:fill="FFFFFF"/>
          <w:lang w:val="en-US" w:eastAsia="zh-CN"/>
        </w:rPr>
        <w:t>00）kN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,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最大允许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误差：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±1%</w:t>
      </w:r>
    </w:p>
    <w:p>
      <w:pPr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1.4、被测对象：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抗拉强度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（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965-1195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MPa,即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相应的最大力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（274-338）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kN</w:t>
      </w:r>
    </w:p>
    <w:p>
      <w:pPr>
        <w:pStyle w:val="16"/>
        <w:numPr>
          <w:ilvl w:val="0"/>
          <w:numId w:val="0"/>
        </w:numPr>
        <w:spacing w:line="360" w:lineRule="exact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1.5、测量过程：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开机检查试验机处于正常工作状态。将制作好的试样规范的夹</w:t>
      </w:r>
    </w:p>
    <w:p>
      <w:pPr>
        <w:spacing w:line="360" w:lineRule="auto"/>
        <w:ind w:left="480" w:hanging="480" w:hangingChars="2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持在试验机上，按照试验机的操作规程，进入试验状态，待试样拉断后记录数据，</w:t>
      </w:r>
    </w:p>
    <w:p>
      <w:pPr>
        <w:spacing w:line="360" w:lineRule="auto"/>
        <w:ind w:left="480" w:hanging="480" w:hangingChars="200"/>
        <w:rPr>
          <w:rFonts w:hint="default" w:ascii="Times New Roman" w:hAnsi="Times New Roman" w:eastAsia="宋体" w:cs="Times New Roman"/>
          <w:bCs/>
          <w:color w:val="FF0000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取下试样。</w:t>
      </w:r>
    </w:p>
    <w:p>
      <w:pPr>
        <w:autoSpaceDE w:val="0"/>
        <w:autoSpaceDN w:val="0"/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2、数学模型：   </w:t>
      </w:r>
      <m:oMath>
        <m:r>
          <m:rPr/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ΔL=L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（1）</w:t>
      </w:r>
    </w:p>
    <w:p>
      <w:pPr>
        <w:spacing w:line="360" w:lineRule="auto"/>
        <w:ind w:left="12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式中：</w:t>
      </w:r>
      <m:oMath>
        <m:r>
          <m:rPr/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---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最大力</w:t>
      </w:r>
    </w:p>
    <w:p>
      <w:pPr>
        <w:spacing w:line="360" w:lineRule="auto"/>
        <w:ind w:left="120" w:firstLine="1920" w:firstLineChars="8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L----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最大力的读数值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输入量的标准不确定度评定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输入量的不确定度来源主要是：测量重复性引起的不确定度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；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color w:val="00000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color w:val="00000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Cs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sz w:val="24"/>
          <w:szCs w:val="24"/>
        </w:rPr>
        <w:t>的评定</w:t>
      </w:r>
    </w:p>
    <w:p>
      <w:pPr>
        <w:spacing w:line="360" w:lineRule="auto"/>
        <w:ind w:right="-29" w:rightChars="-14"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lang w:val="en-US" w:eastAsia="zh-CN"/>
        </w:rPr>
        <w:t>u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vertAlign w:val="subscript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t>主要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来源于</w:t>
      </w:r>
      <w:r>
        <w:rPr>
          <w:rFonts w:hint="default" w:ascii="Times New Roman" w:hAnsi="Times New Roman" w:eastAsia="宋体" w:cs="Times New Roman"/>
          <w:sz w:val="24"/>
          <w:szCs w:val="24"/>
        </w:rPr>
        <w:t>测量重复性，通过连续测量10次，采用A类方法进行评定。在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接地电阻</w:t>
      </w:r>
      <w:r>
        <w:rPr>
          <w:rFonts w:hint="default" w:ascii="Times New Roman" w:hAnsi="Times New Roman" w:eastAsia="宋体" w:cs="Times New Roman"/>
          <w:sz w:val="24"/>
          <w:szCs w:val="24"/>
        </w:rPr>
        <w:t>测定仪的正常工作状态下，人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员、设备相同</w:t>
      </w:r>
      <w:r>
        <w:rPr>
          <w:rFonts w:hint="default" w:ascii="Times New Roman" w:hAnsi="Times New Roman" w:eastAsia="宋体" w:cs="Times New Roman"/>
          <w:sz w:val="24"/>
          <w:szCs w:val="24"/>
        </w:rPr>
        <w:t>，在相临近的时间内，连续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进行</w:t>
      </w:r>
      <w:r>
        <w:rPr>
          <w:rFonts w:hint="default" w:ascii="Times New Roman" w:hAnsi="Times New Roman" w:eastAsia="宋体" w:cs="Times New Roman"/>
          <w:sz w:val="24"/>
          <w:szCs w:val="24"/>
        </w:rPr>
        <w:t>10次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测量活动</w:t>
      </w:r>
      <w:r>
        <w:rPr>
          <w:rFonts w:hint="default" w:ascii="Times New Roman" w:hAnsi="Times New Roman" w:eastAsia="宋体" w:cs="Times New Roman"/>
          <w:sz w:val="24"/>
          <w:szCs w:val="24"/>
        </w:rPr>
        <w:t>，得到10个试验数据汇于表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sz w:val="24"/>
          <w:szCs w:val="24"/>
        </w:rPr>
        <w:t>。</w:t>
      </w:r>
    </w:p>
    <w:p>
      <w:pPr>
        <w:widowControl/>
        <w:tabs>
          <w:tab w:val="left" w:pos="8280"/>
        </w:tabs>
        <w:adjustRightInd w:val="0"/>
        <w:spacing w:line="360" w:lineRule="auto"/>
        <w:ind w:left="-720" w:leftChars="-343" w:right="-512" w:rightChars="-244" w:firstLine="359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表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    </w:t>
      </w:r>
    </w:p>
    <w:tbl>
      <w:tblPr>
        <w:tblStyle w:val="6"/>
        <w:tblW w:w="8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680"/>
        <w:gridCol w:w="681"/>
        <w:gridCol w:w="754"/>
        <w:gridCol w:w="754"/>
        <w:gridCol w:w="714"/>
        <w:gridCol w:w="714"/>
        <w:gridCol w:w="718"/>
        <w:gridCol w:w="719"/>
        <w:gridCol w:w="765"/>
        <w:gridCol w:w="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n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L(kN)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adjustRightInd w:val="0"/>
              <w:spacing w:line="360" w:lineRule="auto"/>
              <w:ind w:left="-17" w:leftChars="-60" w:right="-199" w:rightChars="-95" w:hanging="109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274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.38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adjustRightInd w:val="0"/>
              <w:spacing w:line="360" w:lineRule="auto"/>
              <w:ind w:left="-17" w:leftChars="-60" w:right="-199" w:rightChars="-95" w:hanging="109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274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.29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-17" w:leftChars="-60" w:right="-199" w:rightChars="-95" w:hanging="109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274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.52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-17" w:leftChars="-60" w:right="-199" w:rightChars="-95" w:hanging="109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274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.70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-17" w:leftChars="-60" w:right="-199" w:rightChars="-95" w:hanging="109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274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.78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-17" w:leftChars="-60" w:right="-199" w:rightChars="-95" w:hanging="109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274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.28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adjustRightInd w:val="0"/>
              <w:spacing w:line="360" w:lineRule="auto"/>
              <w:ind w:left="-17" w:leftChars="-60" w:right="-199" w:rightChars="-95" w:hanging="109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274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.78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adjustRightInd w:val="0"/>
              <w:spacing w:line="360" w:lineRule="auto"/>
              <w:ind w:left="-17" w:leftChars="-60" w:right="-199" w:rightChars="-95" w:hanging="109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27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6.78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adjustRightInd w:val="0"/>
              <w:spacing w:line="360" w:lineRule="auto"/>
              <w:ind w:left="-17" w:leftChars="-60" w:right="-199" w:rightChars="-95" w:hanging="109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274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.40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adjustRightInd w:val="0"/>
              <w:spacing w:line="360" w:lineRule="auto"/>
              <w:ind w:left="-17" w:leftChars="-60" w:right="-199" w:rightChars="-95" w:hanging="109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274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.39</w:t>
            </w:r>
          </w:p>
        </w:tc>
      </w:tr>
    </w:tbl>
    <w:p>
      <w:pPr>
        <w:spacing w:line="360" w:lineRule="auto"/>
        <w:ind w:right="-29" w:rightChars="-14" w:firstLine="540" w:firstLineChars="225"/>
        <w:jc w:val="center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position w:val="-22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测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得</w:t>
      </w:r>
      <w:r>
        <w:rPr>
          <w:rFonts w:hint="default" w:ascii="Times New Roman" w:hAnsi="Times New Roman" w:eastAsia="宋体" w:cs="Times New Roman"/>
          <w:sz w:val="24"/>
          <w:szCs w:val="24"/>
        </w:rPr>
        <w:t>值的算术平均值：</w: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object>
          <v:shape id="_x0000_i1025" o:spt="75" type="#_x0000_t75" style="height:42pt;width:159.8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单个测量值的实验标准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差：</w:t>
      </w:r>
      <w:r>
        <w:rPr>
          <w:rFonts w:hint="default" w:ascii="Times New Roman" w:hAnsi="Times New Roman" w:eastAsia="宋体" w:cs="Times New Roman"/>
          <w:kern w:val="0"/>
          <w:position w:val="-26"/>
          <w:sz w:val="24"/>
          <w:szCs w:val="24"/>
        </w:rPr>
        <w:object>
          <v:shape id="_x0000_i1026" o:spt="75" type="#_x0000_t75" style="height:42.15pt;width:160.9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被测量估计值（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7" o:spt="75" type="#_x0000_t75" style="height:17pt;width:1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）标准不确定度分量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8" o:spt="75" type="#_x0000_t75" style="height:17pt;width:1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为1组数据的平均值，</w: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取n=1）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=</w:t>
      </w:r>
      <w:r>
        <w:rPr>
          <w:rFonts w:hint="default" w:ascii="Times New Roman" w:hAnsi="Times New Roman" w:eastAsia="宋体" w:cs="Times New Roman"/>
          <w:color w:val="0D0D0D" w:themeColor="text1" w:themeTint="F2"/>
          <w:kern w:val="0"/>
          <w:position w:val="-28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object>
          <v:shape id="_x0000_i1029" o:spt="75" type="#_x0000_t75" style="height:33pt;width:105.6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2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i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测量设备引入的</w:t>
      </w:r>
      <w:r>
        <w:rPr>
          <w:rFonts w:hint="default" w:ascii="Times New Roman" w:hAnsi="Times New Roman" w:eastAsia="宋体" w:cs="Times New Roman"/>
          <w:sz w:val="24"/>
          <w:szCs w:val="24"/>
        </w:rPr>
        <w:t>标准不确定度的评定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</w:rPr>
        <w:t>2</w:t>
      </w:r>
    </w:p>
    <w:p>
      <w:pPr>
        <w:widowControl/>
        <w:adjustRightIn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依据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液压万能试验机</w:t>
      </w:r>
      <w:r>
        <w:rPr>
          <w:rFonts w:hint="default" w:ascii="Times New Roman" w:hAnsi="Times New Roman" w:eastAsia="宋体" w:cs="Times New Roman"/>
          <w:sz w:val="24"/>
          <w:szCs w:val="24"/>
        </w:rPr>
        <w:t>校准证书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给出</w:t>
      </w:r>
      <w:r>
        <w:rPr>
          <w:rFonts w:hint="default" w:ascii="Times New Roman" w:hAnsi="Times New Roman" w:eastAsia="宋体" w:cs="Times New Roman"/>
          <w:sz w:val="24"/>
          <w:szCs w:val="24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最大允许误差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±</w:t>
      </w:r>
      <w:r>
        <w:rPr>
          <w:rFonts w:hint="eastAsia" w:cs="Times New Roman"/>
          <w:i w:val="0"/>
          <w:iCs w:val="0"/>
          <w:sz w:val="24"/>
          <w:szCs w:val="24"/>
          <w:lang w:val="en-US" w:eastAsia="zh-CN"/>
        </w:rPr>
        <w:t>1%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, 服从均匀分布，取包含因子k=</w:t>
      </w:r>
      <w:r>
        <w:rPr>
          <w:rFonts w:hint="default" w:ascii="Times New Roman" w:hAnsi="Times New Roman" w:eastAsia="宋体" w:cs="Times New Roman"/>
          <w:i w:val="0"/>
          <w:iCs w:val="0"/>
          <w:position w:val="-8"/>
          <w:sz w:val="24"/>
          <w:szCs w:val="24"/>
          <w:lang w:val="en-US" w:eastAsia="zh-CN"/>
        </w:rPr>
        <w:object>
          <v:shape id="_x0000_i1030" o:spt="75" type="#_x0000_t75" style="height:18pt;width:18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,则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引入的标准不确定度分量为：</w:t>
      </w: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 w:firstLine="2880" w:firstLineChars="1200"/>
        <w:rPr>
          <w:rFonts w:hint="default" w:ascii="Times New Roman" w:hAnsi="Times New Roman" w:eastAsia="宋体" w:cs="Times New Roman"/>
          <w:sz w:val="24"/>
          <w:szCs w:val="24"/>
        </w:rPr>
      </w:pPr>
      <m:oMath>
        <m:sSub>
          <m:sSubP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ub>
        </m:sSub>
        <m:r>
          <m:rPr/>
          <w:rPr>
            <w:rFonts w:hint="default" w:ascii="Cambria Math" w:hAnsi="Cambria Math" w:eastAsia="宋体" w:cs="Times New Roman"/>
            <w:kern w:val="0"/>
            <w:sz w:val="24"/>
            <w:szCs w:val="24"/>
            <w:lang w:val="en-US" w:eastAsia="zh-CN"/>
          </w:rPr>
          <m:t>=</m:t>
        </m:r>
      </m:oMath>
      <w:r>
        <w:rPr>
          <w:rFonts w:hint="default" w:ascii="Times New Roman" w:hAnsi="Times New Roman" w:eastAsia="宋体" w:cs="Times New Roman"/>
          <w:kern w:val="0"/>
          <w:position w:val="-28"/>
          <w:sz w:val="24"/>
          <w:szCs w:val="24"/>
        </w:rPr>
        <w:object>
          <v:shape id="_x0000_i1031" o:spt="75" alt="" type="#_x0000_t75" style="height:33pt;width:124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6">
            <o:LockedField>false</o:LockedField>
          </o:OLEObject>
        </w:object>
      </w: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4、标准不确定度一览表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4.1标准不确定度汇</w:t>
      </w:r>
      <w:r>
        <w:rPr>
          <w:rFonts w:hint="default" w:ascii="Times New Roman" w:hAnsi="Times New Roman" w:eastAsia="宋体" w:cs="Times New Roman"/>
          <w:position w:val="-28"/>
          <w:sz w:val="24"/>
          <w:szCs w:val="24"/>
        </w:rPr>
        <w:t>总</w:t>
      </w:r>
      <w:r>
        <w:rPr>
          <w:rFonts w:hint="default" w:ascii="Times New Roman" w:hAnsi="Times New Roman" w:eastAsia="宋体" w:cs="Times New Roman"/>
          <w:sz w:val="24"/>
          <w:szCs w:val="24"/>
        </w:rPr>
        <w:t>表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输入量的标准不确定度汇总于表2。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表2   标准不确定度汇总表</w:t>
      </w:r>
    </w:p>
    <w:tbl>
      <w:tblPr>
        <w:tblStyle w:val="6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4400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标准不确定度分量</w:t>
            </w:r>
          </w:p>
        </w:tc>
        <w:tc>
          <w:tcPr>
            <w:tcW w:w="440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不确定度来源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测量重复性所引入的标准不确定度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0.74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kN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测量设备引入的不确定度</w:t>
            </w:r>
          </w:p>
        </w:tc>
        <w:tc>
          <w:tcPr>
            <w:tcW w:w="187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1.59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kN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4.2合成标准不确定度的计算</w:t>
      </w:r>
    </w:p>
    <w:p>
      <w:pPr>
        <w:widowControl/>
        <w:adjustRightInd w:val="0"/>
        <w:spacing w:line="360" w:lineRule="auto"/>
        <w:ind w:firstLine="849" w:firstLineChars="354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position w:val="-12"/>
          <w:sz w:val="24"/>
          <w:szCs w:val="24"/>
          <w:vertAlign w:val="subscript"/>
        </w:rPr>
        <w:object>
          <v:shape id="_x0000_i1033" o:spt="75" alt="" type="#_x0000_t75" style="height:21.8pt;width:200.6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3" DrawAspect="Content" ObjectID="_1468075732" r:id="rId18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5、扩展不确定度的计算</w:t>
      </w:r>
    </w:p>
    <w:p>
      <w:pPr>
        <w:spacing w:line="360" w:lineRule="auto"/>
        <w:ind w:left="36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取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包含因子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 2，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得</w:t>
      </w:r>
      <w:bookmarkStart w:id="0" w:name="_GoBack"/>
      <w:bookmarkEnd w:id="0"/>
    </w:p>
    <w:p>
      <w:pPr>
        <w:widowControl/>
        <w:adjustRightInd w:val="0"/>
        <w:spacing w:line="360" w:lineRule="auto"/>
        <w:ind w:firstLine="960" w:firstLineChars="400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·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</w:rPr>
        <w:t>c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=2×</w:t>
      </w:r>
      <w:r>
        <w:rPr>
          <w:rFonts w:hint="eastAsia" w:cs="Times New Roman"/>
          <w:sz w:val="24"/>
          <w:szCs w:val="24"/>
          <w:lang w:val="en-US" w:eastAsia="zh-CN"/>
        </w:rPr>
        <w:t>1.75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=</w:t>
      </w:r>
      <w:r>
        <w:rPr>
          <w:rFonts w:hint="eastAsia" w:cs="Times New Roman"/>
          <w:sz w:val="24"/>
          <w:szCs w:val="24"/>
          <w:lang w:val="en-US" w:eastAsia="zh-CN"/>
        </w:rPr>
        <w:t>3.50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kN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 xml:space="preserve">6、测量不确定度的报告与表示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</w:p>
    <w:p>
      <w:pPr>
        <w:widowControl/>
        <w:adjustRightIn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eastAsia" w:cs="Times New Roman"/>
          <w:sz w:val="24"/>
          <w:szCs w:val="24"/>
          <w:lang w:val="en-US" w:eastAsia="zh-CN"/>
        </w:rPr>
        <w:t>3.50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kN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=2</w:t>
      </w:r>
      <w:r>
        <w:rPr>
          <w:rFonts w:hint="eastAsia" w:cs="Times New Roman"/>
          <w:sz w:val="24"/>
          <w:szCs w:val="24"/>
          <w:lang w:val="en-US" w:eastAsia="zh-CN"/>
        </w:rPr>
        <w:t xml:space="preserve">                     评定人：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drawing>
          <wp:inline distT="0" distB="0" distL="114300" distR="114300">
            <wp:extent cx="588645" cy="355600"/>
            <wp:effectExtent l="0" t="0" r="1905" b="6350"/>
            <wp:docPr id="1" name="图片 1" descr="202544bb72ce58cd0068c07fc17bb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544bb72ce58cd0068c07fc17bbba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88645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32B07E"/>
    <w:multiLevelType w:val="singleLevel"/>
    <w:tmpl w:val="9032B07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ZjZGExZGEzM2I3NmQzYmU5Nzc3YTgwYjllMTVmOTUifQ=="/>
  </w:docVars>
  <w:rsids>
    <w:rsidRoot w:val="002674CB"/>
    <w:rsid w:val="00016E6D"/>
    <w:rsid w:val="0003227F"/>
    <w:rsid w:val="00056EA1"/>
    <w:rsid w:val="000A4AA5"/>
    <w:rsid w:val="000A6049"/>
    <w:rsid w:val="000A63D2"/>
    <w:rsid w:val="000F53AC"/>
    <w:rsid w:val="001011C2"/>
    <w:rsid w:val="0010623A"/>
    <w:rsid w:val="00122F68"/>
    <w:rsid w:val="0012715F"/>
    <w:rsid w:val="001A51CD"/>
    <w:rsid w:val="00201DB4"/>
    <w:rsid w:val="0020782B"/>
    <w:rsid w:val="002107AF"/>
    <w:rsid w:val="002674CB"/>
    <w:rsid w:val="002903BC"/>
    <w:rsid w:val="00305008"/>
    <w:rsid w:val="00374941"/>
    <w:rsid w:val="003867FC"/>
    <w:rsid w:val="003A0CDC"/>
    <w:rsid w:val="003D2700"/>
    <w:rsid w:val="003D3F9B"/>
    <w:rsid w:val="003E7DB7"/>
    <w:rsid w:val="003F1FBF"/>
    <w:rsid w:val="00457A38"/>
    <w:rsid w:val="00474314"/>
    <w:rsid w:val="00485659"/>
    <w:rsid w:val="004F72D6"/>
    <w:rsid w:val="0051393E"/>
    <w:rsid w:val="00536037"/>
    <w:rsid w:val="005B1001"/>
    <w:rsid w:val="005B31F7"/>
    <w:rsid w:val="005D6B5E"/>
    <w:rsid w:val="005F29E5"/>
    <w:rsid w:val="00635031"/>
    <w:rsid w:val="00666500"/>
    <w:rsid w:val="006C42A7"/>
    <w:rsid w:val="007431A9"/>
    <w:rsid w:val="007A4563"/>
    <w:rsid w:val="007B5237"/>
    <w:rsid w:val="007E6AF4"/>
    <w:rsid w:val="007E6D4D"/>
    <w:rsid w:val="00853C4D"/>
    <w:rsid w:val="00864046"/>
    <w:rsid w:val="00890D70"/>
    <w:rsid w:val="00892990"/>
    <w:rsid w:val="00895F34"/>
    <w:rsid w:val="008D08BF"/>
    <w:rsid w:val="00905CBF"/>
    <w:rsid w:val="00917AB6"/>
    <w:rsid w:val="00927048"/>
    <w:rsid w:val="00931C27"/>
    <w:rsid w:val="00945422"/>
    <w:rsid w:val="0096432D"/>
    <w:rsid w:val="009646DF"/>
    <w:rsid w:val="009663CA"/>
    <w:rsid w:val="00977C49"/>
    <w:rsid w:val="00982870"/>
    <w:rsid w:val="00996BFC"/>
    <w:rsid w:val="009A08D6"/>
    <w:rsid w:val="009C212D"/>
    <w:rsid w:val="009C3F03"/>
    <w:rsid w:val="00A10C98"/>
    <w:rsid w:val="00A4183F"/>
    <w:rsid w:val="00A606E4"/>
    <w:rsid w:val="00A92912"/>
    <w:rsid w:val="00A9589B"/>
    <w:rsid w:val="00A97DF1"/>
    <w:rsid w:val="00AB6CFC"/>
    <w:rsid w:val="00AC0468"/>
    <w:rsid w:val="00AC232C"/>
    <w:rsid w:val="00AE3E03"/>
    <w:rsid w:val="00AE52B0"/>
    <w:rsid w:val="00AE6A78"/>
    <w:rsid w:val="00B10034"/>
    <w:rsid w:val="00B30F82"/>
    <w:rsid w:val="00B3623F"/>
    <w:rsid w:val="00B539D0"/>
    <w:rsid w:val="00B73F07"/>
    <w:rsid w:val="00BB4A6D"/>
    <w:rsid w:val="00BB4E03"/>
    <w:rsid w:val="00BE50EA"/>
    <w:rsid w:val="00C27B1B"/>
    <w:rsid w:val="00C6586D"/>
    <w:rsid w:val="00C73C6A"/>
    <w:rsid w:val="00CA154F"/>
    <w:rsid w:val="00CB02A2"/>
    <w:rsid w:val="00CE13FD"/>
    <w:rsid w:val="00D264C4"/>
    <w:rsid w:val="00D31301"/>
    <w:rsid w:val="00D428D6"/>
    <w:rsid w:val="00E40954"/>
    <w:rsid w:val="00E527D8"/>
    <w:rsid w:val="00EA1332"/>
    <w:rsid w:val="00EA5452"/>
    <w:rsid w:val="00EA70DA"/>
    <w:rsid w:val="00EB3EBC"/>
    <w:rsid w:val="00F015B8"/>
    <w:rsid w:val="00F645B9"/>
    <w:rsid w:val="00F95B2B"/>
    <w:rsid w:val="00FC5633"/>
    <w:rsid w:val="01030AE2"/>
    <w:rsid w:val="019B7F02"/>
    <w:rsid w:val="03073513"/>
    <w:rsid w:val="044770B2"/>
    <w:rsid w:val="04C847BB"/>
    <w:rsid w:val="05042B49"/>
    <w:rsid w:val="05304523"/>
    <w:rsid w:val="053447EE"/>
    <w:rsid w:val="05820BB2"/>
    <w:rsid w:val="05C570E8"/>
    <w:rsid w:val="067D47F0"/>
    <w:rsid w:val="07F3591A"/>
    <w:rsid w:val="084E4ADD"/>
    <w:rsid w:val="08B33882"/>
    <w:rsid w:val="0A7B5858"/>
    <w:rsid w:val="0CAF6225"/>
    <w:rsid w:val="0CC633F0"/>
    <w:rsid w:val="0CDC1E1E"/>
    <w:rsid w:val="0CE36747"/>
    <w:rsid w:val="0D143E07"/>
    <w:rsid w:val="0D3120CE"/>
    <w:rsid w:val="0E073CAF"/>
    <w:rsid w:val="103546B6"/>
    <w:rsid w:val="106F3DD8"/>
    <w:rsid w:val="12AD7BDB"/>
    <w:rsid w:val="13892171"/>
    <w:rsid w:val="15411FC1"/>
    <w:rsid w:val="158C5419"/>
    <w:rsid w:val="17111B0C"/>
    <w:rsid w:val="17AB0FB9"/>
    <w:rsid w:val="18314EA2"/>
    <w:rsid w:val="18791403"/>
    <w:rsid w:val="18E46A61"/>
    <w:rsid w:val="1A4B39BB"/>
    <w:rsid w:val="1A653E1C"/>
    <w:rsid w:val="1B305B37"/>
    <w:rsid w:val="1B9D388C"/>
    <w:rsid w:val="1CD47AA8"/>
    <w:rsid w:val="1CE90F86"/>
    <w:rsid w:val="1D50069B"/>
    <w:rsid w:val="1DD30F8F"/>
    <w:rsid w:val="1ECB3F4B"/>
    <w:rsid w:val="1F4C4200"/>
    <w:rsid w:val="20060080"/>
    <w:rsid w:val="200E7B6C"/>
    <w:rsid w:val="204B5DC3"/>
    <w:rsid w:val="20D55196"/>
    <w:rsid w:val="20E14ED0"/>
    <w:rsid w:val="219E79DF"/>
    <w:rsid w:val="21EF0DC2"/>
    <w:rsid w:val="21F236F3"/>
    <w:rsid w:val="234F4DEF"/>
    <w:rsid w:val="243056A1"/>
    <w:rsid w:val="24D25743"/>
    <w:rsid w:val="25312398"/>
    <w:rsid w:val="25650389"/>
    <w:rsid w:val="25BD5B23"/>
    <w:rsid w:val="264877D0"/>
    <w:rsid w:val="27BE054C"/>
    <w:rsid w:val="293A41F3"/>
    <w:rsid w:val="29F21D26"/>
    <w:rsid w:val="2A525CA9"/>
    <w:rsid w:val="2A885368"/>
    <w:rsid w:val="2AB31CD3"/>
    <w:rsid w:val="2AB8578C"/>
    <w:rsid w:val="2B045FEE"/>
    <w:rsid w:val="2B4B4BD4"/>
    <w:rsid w:val="2C28712E"/>
    <w:rsid w:val="2C620D55"/>
    <w:rsid w:val="2E304A36"/>
    <w:rsid w:val="2E736B0E"/>
    <w:rsid w:val="2ECF1DA3"/>
    <w:rsid w:val="2F160B64"/>
    <w:rsid w:val="2F4449F8"/>
    <w:rsid w:val="2F584477"/>
    <w:rsid w:val="2FAD6E44"/>
    <w:rsid w:val="2FE72CCC"/>
    <w:rsid w:val="30461732"/>
    <w:rsid w:val="30C42F61"/>
    <w:rsid w:val="316B00DD"/>
    <w:rsid w:val="33010797"/>
    <w:rsid w:val="343B7C73"/>
    <w:rsid w:val="35193C19"/>
    <w:rsid w:val="351957ED"/>
    <w:rsid w:val="35AE7103"/>
    <w:rsid w:val="360719D2"/>
    <w:rsid w:val="360F49D2"/>
    <w:rsid w:val="369C7F69"/>
    <w:rsid w:val="36CA27CF"/>
    <w:rsid w:val="37091477"/>
    <w:rsid w:val="373A5911"/>
    <w:rsid w:val="38B22018"/>
    <w:rsid w:val="38B31447"/>
    <w:rsid w:val="38B72B67"/>
    <w:rsid w:val="39A35F89"/>
    <w:rsid w:val="3A5F7CB0"/>
    <w:rsid w:val="3AC43AD0"/>
    <w:rsid w:val="3B3B6DF8"/>
    <w:rsid w:val="3CE81254"/>
    <w:rsid w:val="3CF30480"/>
    <w:rsid w:val="3D562D95"/>
    <w:rsid w:val="408F2819"/>
    <w:rsid w:val="41805F70"/>
    <w:rsid w:val="41EB24EA"/>
    <w:rsid w:val="42094463"/>
    <w:rsid w:val="422904BD"/>
    <w:rsid w:val="42732272"/>
    <w:rsid w:val="43D85F10"/>
    <w:rsid w:val="454C4A39"/>
    <w:rsid w:val="45B914EF"/>
    <w:rsid w:val="463069A0"/>
    <w:rsid w:val="475164DA"/>
    <w:rsid w:val="47562704"/>
    <w:rsid w:val="47A42EAC"/>
    <w:rsid w:val="47AC5657"/>
    <w:rsid w:val="47E65026"/>
    <w:rsid w:val="490E5D78"/>
    <w:rsid w:val="4A02072C"/>
    <w:rsid w:val="4A546E21"/>
    <w:rsid w:val="4C720CFF"/>
    <w:rsid w:val="4CCB7763"/>
    <w:rsid w:val="4D5542B6"/>
    <w:rsid w:val="4D63663A"/>
    <w:rsid w:val="4E19754E"/>
    <w:rsid w:val="4F745F83"/>
    <w:rsid w:val="515D607F"/>
    <w:rsid w:val="517D5F39"/>
    <w:rsid w:val="520E18AC"/>
    <w:rsid w:val="52181816"/>
    <w:rsid w:val="524E59A4"/>
    <w:rsid w:val="538066BD"/>
    <w:rsid w:val="54A57465"/>
    <w:rsid w:val="54CE5D06"/>
    <w:rsid w:val="55300465"/>
    <w:rsid w:val="5563290F"/>
    <w:rsid w:val="55A64E1F"/>
    <w:rsid w:val="55B96904"/>
    <w:rsid w:val="55FD1495"/>
    <w:rsid w:val="56AD424A"/>
    <w:rsid w:val="56E83C11"/>
    <w:rsid w:val="57A37DA9"/>
    <w:rsid w:val="58211A46"/>
    <w:rsid w:val="587D25F1"/>
    <w:rsid w:val="58D11376"/>
    <w:rsid w:val="594C53C0"/>
    <w:rsid w:val="59F10F93"/>
    <w:rsid w:val="5A4763F3"/>
    <w:rsid w:val="5A5A1D05"/>
    <w:rsid w:val="5A873B4A"/>
    <w:rsid w:val="5B061C74"/>
    <w:rsid w:val="5B9642B7"/>
    <w:rsid w:val="5D15269A"/>
    <w:rsid w:val="5D873B9A"/>
    <w:rsid w:val="5DD75F7C"/>
    <w:rsid w:val="607523C1"/>
    <w:rsid w:val="609F7046"/>
    <w:rsid w:val="613910C3"/>
    <w:rsid w:val="627D3DDC"/>
    <w:rsid w:val="62D26564"/>
    <w:rsid w:val="640E0FC4"/>
    <w:rsid w:val="656D0DF7"/>
    <w:rsid w:val="65833FB4"/>
    <w:rsid w:val="65F63FF7"/>
    <w:rsid w:val="67160E42"/>
    <w:rsid w:val="671C48E0"/>
    <w:rsid w:val="67921160"/>
    <w:rsid w:val="679A2D2E"/>
    <w:rsid w:val="67E72F19"/>
    <w:rsid w:val="68EE565B"/>
    <w:rsid w:val="695828FB"/>
    <w:rsid w:val="6A53373D"/>
    <w:rsid w:val="6B4C2E34"/>
    <w:rsid w:val="6BD477EC"/>
    <w:rsid w:val="6BFD7692"/>
    <w:rsid w:val="6C251012"/>
    <w:rsid w:val="6CEF600F"/>
    <w:rsid w:val="6DB66F29"/>
    <w:rsid w:val="6DE35DBB"/>
    <w:rsid w:val="6E114D5C"/>
    <w:rsid w:val="6E827F52"/>
    <w:rsid w:val="6F651BCF"/>
    <w:rsid w:val="6FB613F0"/>
    <w:rsid w:val="6FCE3C4B"/>
    <w:rsid w:val="72484DC4"/>
    <w:rsid w:val="72D85456"/>
    <w:rsid w:val="73950332"/>
    <w:rsid w:val="739A109D"/>
    <w:rsid w:val="7415715D"/>
    <w:rsid w:val="744F372E"/>
    <w:rsid w:val="74592C40"/>
    <w:rsid w:val="74683550"/>
    <w:rsid w:val="751E4BE0"/>
    <w:rsid w:val="75354F8A"/>
    <w:rsid w:val="75915A0E"/>
    <w:rsid w:val="75D43E41"/>
    <w:rsid w:val="76782D4F"/>
    <w:rsid w:val="772F7EBB"/>
    <w:rsid w:val="7869696E"/>
    <w:rsid w:val="78901F63"/>
    <w:rsid w:val="78E1576B"/>
    <w:rsid w:val="7AB02F7C"/>
    <w:rsid w:val="7ABC47A1"/>
    <w:rsid w:val="7ACB25C8"/>
    <w:rsid w:val="7B835F53"/>
    <w:rsid w:val="7D2B6D03"/>
    <w:rsid w:val="7DC32556"/>
    <w:rsid w:val="7DF27960"/>
    <w:rsid w:val="7E475F63"/>
    <w:rsid w:val="7E5C07A9"/>
    <w:rsid w:val="7E652938"/>
    <w:rsid w:val="7EFA2D8E"/>
    <w:rsid w:val="7F9E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qFormat/>
    <w:uiPriority w:val="0"/>
    <w:pPr>
      <w:spacing w:line="240" w:lineRule="exact"/>
    </w:pPr>
    <w:rPr>
      <w:sz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link w:val="4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0">
    <w:name w:val="页眉 字符"/>
    <w:link w:val="5"/>
    <w:qFormat/>
    <w:uiPriority w:val="0"/>
    <w:rPr>
      <w:kern w:val="2"/>
      <w:sz w:val="18"/>
      <w:szCs w:val="18"/>
    </w:rPr>
  </w:style>
  <w:style w:type="paragraph" w:customStyle="1" w:styleId="11">
    <w:name w:val="MTDisplayEquation"/>
    <w:basedOn w:val="1"/>
    <w:next w:val="1"/>
    <w:qFormat/>
    <w:uiPriority w:val="0"/>
    <w:pPr>
      <w:widowControl/>
      <w:tabs>
        <w:tab w:val="center" w:pos="4360"/>
        <w:tab w:val="right" w:pos="8300"/>
      </w:tabs>
      <w:ind w:left="420"/>
    </w:pPr>
    <w:rPr>
      <w:kern w:val="0"/>
      <w:sz w:val="24"/>
    </w:rPr>
  </w:style>
  <w:style w:type="character" w:customStyle="1" w:styleId="12">
    <w:name w:val="正文文本 字符"/>
    <w:link w:val="3"/>
    <w:qFormat/>
    <w:uiPriority w:val="0"/>
    <w:rPr>
      <w:kern w:val="2"/>
      <w:sz w:val="18"/>
      <w:szCs w:val="24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标题 3 字符"/>
    <w:link w:val="2"/>
    <w:qFormat/>
    <w:uiPriority w:val="9"/>
    <w:rPr>
      <w:rFonts w:ascii="宋体" w:hAnsi="宋体"/>
      <w:b/>
      <w:sz w:val="27"/>
      <w:szCs w:val="27"/>
    </w:rPr>
  </w:style>
  <w:style w:type="character" w:styleId="15">
    <w:name w:val="Placeholder Text"/>
    <w:basedOn w:val="8"/>
    <w:unhideWhenUsed/>
    <w:qFormat/>
    <w:uiPriority w:val="99"/>
    <w:rPr>
      <w:color w:val="808080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image" Target="media/image8.jpeg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8.bin"/><Relationship Id="rId17" Type="http://schemas.openxmlformats.org/officeDocument/2006/relationships/image" Target="media/image6.wmf"/><Relationship Id="rId16" Type="http://schemas.openxmlformats.org/officeDocument/2006/relationships/oleObject" Target="embeddings/oleObject7.bin"/><Relationship Id="rId15" Type="http://schemas.openxmlformats.org/officeDocument/2006/relationships/image" Target="media/image5.wmf"/><Relationship Id="rId14" Type="http://schemas.openxmlformats.org/officeDocument/2006/relationships/oleObject" Target="embeddings/oleObject6.bin"/><Relationship Id="rId13" Type="http://schemas.openxmlformats.org/officeDocument/2006/relationships/image" Target="media/image4.wmf"/><Relationship Id="rId12" Type="http://schemas.openxmlformats.org/officeDocument/2006/relationships/oleObject" Target="embeddings/oleObject5.bin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</Pages>
  <Words>755</Words>
  <Characters>930</Characters>
  <Lines>9</Lines>
  <Paragraphs>2</Paragraphs>
  <TotalTime>4</TotalTime>
  <ScaleCrop>false</ScaleCrop>
  <LinksUpToDate>false</LinksUpToDate>
  <CharactersWithSpaces>1083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2020-05-05T03:15:00Z</dcterms:created>
  <dc:creator>MC SYSTEM</dc:creator>
  <cp:lastModifiedBy>hp</cp:lastModifiedBy>
  <cp:lastPrinted>2019-11-25T08:04:00Z</cp:lastPrinted>
  <dcterms:modified xsi:type="dcterms:W3CDTF">2023-01-14T01:10:18Z</dcterms:modified>
  <dc:title>直读光谱仪测量中低合金钢中锰含量的测量不确定度评定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F4EE01D70B734DCAA454999CF788F23F</vt:lpwstr>
  </property>
</Properties>
</file>