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F1B" w:rsidRDefault="00460A23">
      <w:pPr>
        <w:wordWrap w:val="0"/>
        <w:jc w:val="right"/>
        <w:rPr>
          <w:b/>
          <w:sz w:val="30"/>
        </w:rPr>
      </w:pPr>
      <w:r>
        <w:rPr>
          <w:rFonts w:ascii="宋体" w:hAnsi="宋体" w:hint="eastAsia"/>
          <w:szCs w:val="21"/>
        </w:rPr>
        <w:t>项</w:t>
      </w:r>
      <w:r>
        <w:rPr>
          <w:rFonts w:ascii="宋体" w:hAnsi="宋体"/>
          <w:szCs w:val="21"/>
        </w:rPr>
        <w:t>目编号：</w:t>
      </w:r>
      <w:bookmarkStart w:id="0" w:name="合同编号"/>
      <w:r>
        <w:rPr>
          <w:rFonts w:ascii="宋体" w:hAnsi="宋体" w:hint="eastAsia"/>
          <w:szCs w:val="21"/>
          <w:u w:val="single"/>
        </w:rPr>
        <w:t>0114-2022</w:t>
      </w:r>
      <w:bookmarkEnd w:id="0"/>
    </w:p>
    <w:p w:rsidR="00685F1B" w:rsidRDefault="00460A23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审核记录</w:t>
      </w:r>
    </w:p>
    <w:p w:rsidR="00685F1B" w:rsidRDefault="00460A2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企业名称：</w:t>
      </w:r>
      <w:bookmarkStart w:id="1" w:name="组织名称"/>
      <w:r>
        <w:rPr>
          <w:rFonts w:ascii="宋体" w:hAnsi="宋体" w:hint="eastAsia"/>
          <w:sz w:val="24"/>
          <w:szCs w:val="24"/>
        </w:rPr>
        <w:t>南京梅特朗测控仪表有限公司</w:t>
      </w:r>
      <w:bookmarkEnd w:id="1"/>
    </w:p>
    <w:p w:rsidR="00685F1B" w:rsidRDefault="00460A2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审核员：吕华                                           审核日期：2023年 1月 13日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349"/>
        <w:gridCol w:w="3552"/>
        <w:gridCol w:w="1409"/>
        <w:gridCol w:w="1290"/>
      </w:tblGrid>
      <w:tr w:rsidR="00685F1B">
        <w:trPr>
          <w:trHeight w:val="504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685F1B" w:rsidRDefault="00460A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685F1B" w:rsidRDefault="00460A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552" w:type="dxa"/>
            <w:vAlign w:val="center"/>
          </w:tcPr>
          <w:p w:rsidR="00685F1B" w:rsidRDefault="00460A23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685F1B" w:rsidRDefault="00460A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685F1B">
        <w:trPr>
          <w:trHeight w:val="90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企业的计量管理机构是那个部门？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 w:rsidR="00685F1B" w:rsidRDefault="00460A23">
            <w:pPr>
              <w:ind w:rightChars="-13" w:right="-2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本部门计量职能有哪些？相关人员是否了解自身职责？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5.1 </w:t>
            </w:r>
            <w:r>
              <w:rPr>
                <w:rFonts w:hint="eastAsia"/>
                <w:color w:val="000000"/>
                <w:kern w:val="0"/>
                <w:szCs w:val="21"/>
              </w:rPr>
              <w:t>计量职能</w:t>
            </w:r>
          </w:p>
        </w:tc>
        <w:tc>
          <w:tcPr>
            <w:tcW w:w="3552" w:type="dxa"/>
            <w:vAlign w:val="center"/>
          </w:tcPr>
          <w:p w:rsidR="00685F1B" w:rsidRDefault="00460A23" w:rsidP="00157559">
            <w:pPr>
              <w:ind w:rightChars="-13" w:right="-2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企业计量职能部门是质检部，</w:t>
            </w:r>
            <w:r>
              <w:rPr>
                <w:rFonts w:ascii="宋体" w:hAnsi="宋体" w:cs="宋体" w:hint="eastAsia"/>
                <w:szCs w:val="21"/>
                <w:highlight w:val="white"/>
              </w:rPr>
              <w:t>负责测量管理体系的策划、建立、运行和持续改进，</w:t>
            </w:r>
            <w:r w:rsidR="009868C0">
              <w:rPr>
                <w:rFonts w:ascii="宋体" w:hAnsi="宋体" w:cs="宋体" w:hint="eastAsia"/>
                <w:szCs w:val="21"/>
                <w:highlight w:val="white"/>
              </w:rPr>
              <w:t>综合部负责</w:t>
            </w:r>
            <w:r>
              <w:rPr>
                <w:rFonts w:ascii="宋体" w:hAnsi="宋体" w:cs="宋体" w:hint="eastAsia"/>
                <w:szCs w:val="21"/>
                <w:highlight w:val="white"/>
              </w:rPr>
              <w:t>人力资源管理工作，确保各类人员能力满足要求。</w:t>
            </w:r>
            <w:r>
              <w:rPr>
                <w:rFonts w:ascii="宋体" w:hAnsi="宋体" w:cs="宋体" w:hint="eastAsia"/>
                <w:szCs w:val="21"/>
              </w:rPr>
              <w:t>审核中询问质检部</w:t>
            </w:r>
            <w:r w:rsidR="00157559">
              <w:rPr>
                <w:rFonts w:ascii="宋体" w:hAnsi="宋体" w:cs="宋体" w:hint="eastAsia"/>
                <w:szCs w:val="21"/>
              </w:rPr>
              <w:t>邹</w:t>
            </w:r>
            <w:r>
              <w:rPr>
                <w:rFonts w:ascii="宋体" w:hAnsi="宋体" w:cs="宋体" w:hint="eastAsia"/>
                <w:szCs w:val="21"/>
              </w:rPr>
              <w:t>倩 、综合部汪晶，管理人员清楚</w:t>
            </w:r>
            <w:r w:rsidR="009868C0">
              <w:rPr>
                <w:rFonts w:ascii="宋体" w:hAnsi="宋体" w:cs="宋体" w:hint="eastAsia"/>
                <w:szCs w:val="21"/>
              </w:rPr>
              <w:t>自己</w:t>
            </w:r>
            <w:r>
              <w:rPr>
                <w:rFonts w:ascii="宋体" w:hAnsi="宋体" w:cs="宋体" w:hint="eastAsia"/>
                <w:szCs w:val="21"/>
              </w:rPr>
              <w:t>的工作职责，职责分明。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综合部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90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企业是否识别顾客的测量要求并转化为计量要求。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了解并满足顾客的计量要求。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是否提供满足顾客要求的证据。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5.2顾客为关注焦点</w:t>
            </w:r>
          </w:p>
          <w:p w:rsidR="00685F1B" w:rsidRDefault="00685F1B">
            <w:pPr>
              <w:ind w:rightChars="-13" w:right="-27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685F1B" w:rsidRDefault="00460A23" w:rsidP="009868C0">
            <w:pPr>
              <w:ind w:rightChars="-13" w:right="-27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</w:t>
            </w:r>
            <w:r w:rsidR="009868C0"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>已组织识别企业的顾客的测量要求、法律法规要求，建立了部门《测量过程控制及一览表》及关键测量过程控制监视。物料交接、能源、安全、现场管理等方面未发现有顾客投诉、纠纷、处理等状况。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90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企业是否制定质量目标。是否分解到各部门。是否有具体指标，是否可测量和考核？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查考核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记录。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5.3质量目标</w:t>
            </w:r>
          </w:p>
        </w:tc>
        <w:tc>
          <w:tcPr>
            <w:tcW w:w="3552" w:type="dxa"/>
            <w:vAlign w:val="center"/>
          </w:tcPr>
          <w:p w:rsidR="00685F1B" w:rsidRPr="007709C3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公司提供了《2022年度测量管理体系年度质量目标分解计划》、《2022年度测量管理体系目标完成情况统计表》及考核方法。测量目标、要求、考核方式、责任部门、时间要求等明确、完整，目标均达标。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91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企业</w:t>
            </w:r>
            <w:r>
              <w:rPr>
                <w:rFonts w:ascii="宋体" w:hAnsi="宋体" w:cs="宋体" w:hint="eastAsia"/>
                <w:bCs/>
                <w:kern w:val="0"/>
              </w:rPr>
              <w:t>人员职责</w:t>
            </w:r>
            <w:r>
              <w:rPr>
                <w:rFonts w:ascii="宋体" w:hAnsi="宋体" w:cs="宋体"/>
                <w:bCs/>
                <w:kern w:val="0"/>
              </w:rPr>
              <w:t>是否</w:t>
            </w:r>
            <w:r>
              <w:rPr>
                <w:rFonts w:ascii="宋体" w:hAnsi="宋体" w:cs="宋体" w:hint="eastAsia"/>
                <w:bCs/>
                <w:kern w:val="0"/>
              </w:rPr>
              <w:t>清晰、分配到位？企业</w:t>
            </w:r>
            <w:r>
              <w:rPr>
                <w:rFonts w:ascii="宋体" w:hAnsi="宋体" w:cs="宋体"/>
                <w:bCs/>
                <w:kern w:val="0"/>
              </w:rPr>
              <w:t>人员能力</w:t>
            </w:r>
            <w:r>
              <w:rPr>
                <w:rFonts w:ascii="宋体" w:hAnsi="宋体" w:cs="宋体" w:hint="eastAsia"/>
                <w:bCs/>
                <w:kern w:val="0"/>
              </w:rPr>
              <w:t>是否达到岗位要求</w:t>
            </w:r>
            <w:r>
              <w:rPr>
                <w:rFonts w:ascii="宋体" w:hAnsi="宋体" w:cs="宋体"/>
                <w:bCs/>
                <w:kern w:val="0"/>
              </w:rPr>
              <w:t>？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培训实施情况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企业是否有计量人员教育、培训经验和技能档案。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企业有否人力资</w:t>
            </w:r>
            <w:r>
              <w:rPr>
                <w:rFonts w:ascii="宋体" w:hAnsi="宋体" w:cs="宋体"/>
                <w:bCs/>
                <w:kern w:val="0"/>
              </w:rPr>
              <w:lastRenderedPageBreak/>
              <w:t>源管理流程图和实施人力资源改进。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lastRenderedPageBreak/>
              <w:t>6.1人力资源</w:t>
            </w:r>
          </w:p>
        </w:tc>
        <w:tc>
          <w:tcPr>
            <w:tcW w:w="3552" w:type="dxa"/>
            <w:vAlign w:val="center"/>
          </w:tcPr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公司体系管理人员共9人，其中体系负责人1个，质检员2人、内审员</w:t>
            </w:r>
            <w:r w:rsidR="007709C3">
              <w:rPr>
                <w:rFonts w:ascii="宋体" w:hAnsi="宋体" w:cs="宋体" w:hint="eastAsia"/>
                <w:bCs/>
                <w:kern w:val="0"/>
              </w:rPr>
              <w:t>3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人。管理手册中规定了相应的体系管理人员职责和能力要求，2022年6月组织相关人员进行了委外培训，抽查人员培训合格证书两份，吕剑，证件号51110219830528571X,管磊，证件号341125199001252916，证书有效期至2026年5月。抽查计量检定人员证</w:t>
            </w:r>
            <w:r w:rsidR="007709C3">
              <w:rPr>
                <w:rFonts w:ascii="宋体" w:hAnsi="宋体" w:cs="宋体" w:hint="eastAsia"/>
                <w:bCs/>
                <w:kern w:val="0"/>
              </w:rPr>
              <w:t>2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份，皱</w:t>
            </w:r>
            <w:proofErr w:type="gramStart"/>
            <w:r w:rsidRPr="007709C3">
              <w:rPr>
                <w:rFonts w:ascii="宋体" w:hAnsi="宋体" w:cs="宋体" w:hint="eastAsia"/>
                <w:bCs/>
                <w:kern w:val="0"/>
              </w:rPr>
              <w:t>倩</w:t>
            </w:r>
            <w:proofErr w:type="gramEnd"/>
            <w:r w:rsidRPr="007709C3">
              <w:rPr>
                <w:rFonts w:ascii="宋体" w:hAnsi="宋体" w:cs="宋体" w:hint="eastAsia"/>
                <w:bCs/>
                <w:kern w:val="0"/>
              </w:rPr>
              <w:t>，项目：电磁流量计，</w:t>
            </w:r>
            <w:proofErr w:type="gramStart"/>
            <w:r w:rsidRPr="007709C3">
              <w:rPr>
                <w:rFonts w:ascii="宋体" w:hAnsi="宋体" w:cs="宋体" w:hint="eastAsia"/>
                <w:bCs/>
                <w:kern w:val="0"/>
              </w:rPr>
              <w:t>证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lastRenderedPageBreak/>
              <w:t>书号苏</w:t>
            </w:r>
            <w:proofErr w:type="gramEnd"/>
            <w:r w:rsidRPr="007709C3">
              <w:rPr>
                <w:rFonts w:ascii="宋体" w:hAnsi="宋体" w:cs="宋体" w:hint="eastAsia"/>
                <w:bCs/>
                <w:kern w:val="0"/>
              </w:rPr>
              <w:t>-AQ-21120015,取证日期：2021年12月20日</w:t>
            </w:r>
            <w:r w:rsidR="007709C3">
              <w:rPr>
                <w:rFonts w:ascii="宋体" w:hAnsi="宋体" w:cs="宋体" w:hint="eastAsia"/>
                <w:bCs/>
                <w:kern w:val="0"/>
              </w:rPr>
              <w:t>；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吴启萍，项目：电磁流量计，</w:t>
            </w:r>
            <w:proofErr w:type="gramStart"/>
            <w:r w:rsidRPr="007709C3">
              <w:rPr>
                <w:rFonts w:ascii="宋体" w:hAnsi="宋体" w:cs="宋体" w:hint="eastAsia"/>
                <w:bCs/>
                <w:kern w:val="0"/>
              </w:rPr>
              <w:t>证书号苏</w:t>
            </w:r>
            <w:proofErr w:type="gramEnd"/>
            <w:r w:rsidRPr="007709C3">
              <w:rPr>
                <w:rFonts w:ascii="宋体" w:hAnsi="宋体" w:cs="宋体" w:hint="eastAsia"/>
                <w:bCs/>
                <w:kern w:val="0"/>
              </w:rPr>
              <w:t>-AQ-21120005,取证日期：2021年12月20日人员能力有效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综合部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 w:rsidTr="009868C0">
        <w:trPr>
          <w:trHeight w:val="1097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抽查企业(4-5)台件测量设备是否处于有效的校准状态？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是否有计量确认状态标识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使用环境条件是否满足要求？是否需要修正？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证书台账信息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一致。测量设备使用环境条件是否满足要求？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6.2.4标识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6.3.1测量设备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6.3.2环境</w:t>
            </w:r>
          </w:p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7.3.2溯源性</w:t>
            </w:r>
          </w:p>
        </w:tc>
        <w:tc>
          <w:tcPr>
            <w:tcW w:w="3552" w:type="dxa"/>
            <w:vAlign w:val="center"/>
          </w:tcPr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查见《测量设备台账》有测量设备2</w:t>
            </w:r>
            <w:r w:rsidR="007709C3" w:rsidRPr="007709C3">
              <w:rPr>
                <w:rFonts w:ascii="宋体" w:hAnsi="宋体" w:cs="宋体" w:hint="eastAsia"/>
                <w:bCs/>
                <w:kern w:val="0"/>
              </w:rPr>
              <w:t>5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台件测量设备，进行了分类管理。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质检</w:t>
            </w:r>
            <w:r w:rsidR="009868C0" w:rsidRPr="007709C3">
              <w:rPr>
                <w:rFonts w:ascii="宋体" w:hAnsi="宋体" w:cs="宋体" w:hint="eastAsia"/>
                <w:bCs/>
                <w:kern w:val="0"/>
              </w:rPr>
              <w:t>部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使用的气体容积式流量计，型号：IRM-3 DUO G650，编号：20540397、校准日期2022年7月12日，有效期2023年7月11日，上海市计量测试技术研究所</w:t>
            </w:r>
            <w:r w:rsidR="000D13BF" w:rsidRPr="007709C3">
              <w:rPr>
                <w:rFonts w:ascii="宋体" w:hAnsi="宋体" w:cs="宋体" w:hint="eastAsia"/>
                <w:bCs/>
                <w:kern w:val="0"/>
              </w:rPr>
              <w:t>校准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质检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部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使用的气体涡轮流量计，型号：SM-RI-X G2500，编号：10528546、校准日期2022年7月12日，有效期2023年7月11日，上海市计量测试技术研究所</w:t>
            </w:r>
            <w:r w:rsidR="000D13BF" w:rsidRPr="007709C3">
              <w:rPr>
                <w:rFonts w:ascii="宋体" w:hAnsi="宋体" w:cs="宋体" w:hint="eastAsia"/>
                <w:bCs/>
                <w:kern w:val="0"/>
              </w:rPr>
              <w:t>校准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质检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部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使用的标准表法气体流量标准装置，型号：iTF-5000，编号：TD20220501、校准日期2022年7月12日，有效期2023年7月11日，上海市计量测试技术研究所</w:t>
            </w:r>
            <w:r w:rsidR="000D13BF" w:rsidRPr="007709C3">
              <w:rPr>
                <w:rFonts w:ascii="宋体" w:hAnsi="宋体" w:cs="宋体" w:hint="eastAsia"/>
                <w:bCs/>
                <w:kern w:val="0"/>
              </w:rPr>
              <w:t>校准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质检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部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使用的焊接检验尺，型号：HJC40，编号：20073056、检定日期2022年11月03日，有效期2023年11月02日，南京市计量监督检测院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检定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。</w:t>
            </w:r>
          </w:p>
          <w:p w:rsidR="00685F1B" w:rsidRPr="007709C3" w:rsidRDefault="00460A23" w:rsidP="000D13BF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质检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部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使用的高度游标卡尺，型号：(0～300)mm，编号：18070594WL、检定日期2022年11月17日，有效期2023年11月16日，南京市计量监督检测院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检定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。现场测量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设备标识正常，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环境条件均满足要求。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955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抽查(2-3) 台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件关键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7.1.计量确认</w:t>
            </w:r>
          </w:p>
        </w:tc>
        <w:tc>
          <w:tcPr>
            <w:tcW w:w="3552" w:type="dxa"/>
            <w:vAlign w:val="center"/>
          </w:tcPr>
          <w:p w:rsidR="00685F1B" w:rsidRPr="007709C3" w:rsidRDefault="00460A23" w:rsidP="000D13BF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公司关键测量过程1个，抽查关键测量过程通径尺寸测量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使用的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测量设备游标卡尺(1811463）测量范围（0-150）mm，编号：1811463，检定日期：2022.11.17，计量确认日期：2022.11.20</w:t>
            </w:r>
            <w:r w:rsidR="000D13BF">
              <w:rPr>
                <w:rFonts w:ascii="宋体" w:hAnsi="宋体" w:cs="宋体" w:hint="eastAsia"/>
                <w:bCs/>
                <w:kern w:val="0"/>
              </w:rPr>
              <w:t>；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游标卡尺，测量范围（0-500）mm，编号：16110011，检定日期：2022.11.17，计量确认日期：2022.11.20，计量验证人：朱远东，验证方法：对比法，验证方法有效。2022年未发现验证不合格测量设备。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1522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企业识别的测量过程是否满足了顾客、组织及法规要求，抽查(1-2)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关键测量过程，是否按照控制规范进行控制、是否进行有效性确认？抽查企业质量、安全、环保、液位等过程是否可控？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7.2测量过程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552" w:type="dxa"/>
            <w:vAlign w:val="center"/>
          </w:tcPr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企业对测量过程进行了识别，采用《测量过程及控制一览表》进行汇总，信息量齐全。共识别了26个测量过程，1个关键测量过程。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重点抽查了关键测量过程：“通径尺寸测量过程”进行了测量不确定度评定，对测量过程中的测量人员、测量方法、测量环境条件、测量设备进行了控制，企业按控制规范规定的频次进行监视。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详见《测量过程控制检查表》及附件。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91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是否对关键过程进行了测量不确定度评定？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7.3.1测量不确定度</w:t>
            </w:r>
          </w:p>
        </w:tc>
        <w:tc>
          <w:tcPr>
            <w:tcW w:w="3552" w:type="dxa"/>
            <w:vAlign w:val="center"/>
          </w:tcPr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查“通径尺寸测量过程”测量不确定度评定，评定方法正确。</w:t>
            </w:r>
          </w:p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详见附件《测量不确定度评定报告》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0D13BF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3707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8.2.4测量管理体系的监视</w:t>
            </w:r>
          </w:p>
        </w:tc>
        <w:tc>
          <w:tcPr>
            <w:tcW w:w="3552" w:type="dxa"/>
            <w:vAlign w:val="center"/>
          </w:tcPr>
          <w:p w:rsidR="00685F1B" w:rsidRPr="007709C3" w:rsidRDefault="00460A2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企业提供了《通径尺寸测量过程控制规范》，测量过程名称通径尺寸测量，监视设备型号：(0-150)mm的游标卡尺，编号：1811463，检定日期：2022.11.17，有效期2023.11.16，计量确认日期2022.11.20监视方法采用同类测量设备进行测试进行定期比对，方法正确，监视有效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1380"/>
          <w:jc w:val="center"/>
        </w:trPr>
        <w:tc>
          <w:tcPr>
            <w:tcW w:w="675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843" w:type="dxa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企业对审核中发现的不符合是否进行纠正？是否制定纠正措施？验证是否满足要求。检查不合格控制的有效性。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8.3不合格控制</w:t>
            </w:r>
          </w:p>
        </w:tc>
        <w:tc>
          <w:tcPr>
            <w:tcW w:w="3552" w:type="dxa"/>
            <w:vAlign w:val="center"/>
          </w:tcPr>
          <w:p w:rsidR="00685F1B" w:rsidRDefault="00460A23" w:rsidP="00FD26EB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公司编制了《</w:t>
            </w:r>
            <w:r w:rsidR="007709C3" w:rsidRPr="007709C3">
              <w:rPr>
                <w:rFonts w:ascii="宋体" w:hAnsi="宋体" w:cs="宋体" w:hint="eastAsia"/>
                <w:bCs/>
                <w:kern w:val="0"/>
              </w:rPr>
              <w:t>不符合、纠正措施控制程序</w:t>
            </w:r>
            <w:r w:rsidRPr="007709C3">
              <w:rPr>
                <w:rFonts w:ascii="宋体" w:hAnsi="宋体" w:cs="宋体" w:hint="eastAsia"/>
                <w:bCs/>
                <w:kern w:val="0"/>
              </w:rPr>
              <w:t>》对测量管理体系内的不合格进行识别和控制，防止非预期使用和交付，确保测量过程和测量设备的符合规定要求。目前没有发现不合格测量设备、不合格测量过程。</w:t>
            </w:r>
          </w:p>
          <w:p w:rsidR="00FD26EB" w:rsidRPr="007709C3" w:rsidRDefault="00FD26EB" w:rsidP="00FD26EB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查内审报告中在质检部发现的两个不符合项，于10月25日已完成整改。</w:t>
            </w: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质检部</w:t>
            </w:r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  <w:tr w:rsidR="00685F1B">
        <w:trPr>
          <w:trHeight w:val="91"/>
          <w:jc w:val="center"/>
        </w:trPr>
        <w:tc>
          <w:tcPr>
            <w:tcW w:w="675" w:type="dxa"/>
            <w:vAlign w:val="center"/>
          </w:tcPr>
          <w:p w:rsidR="00685F1B" w:rsidRDefault="00460A23" w:rsidP="007709C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709C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企业能源主要品种？年消耗标煤？是否是重点用能单位？ 计量器具的配备、准确度等级是否符合要求</w:t>
            </w:r>
          </w:p>
        </w:tc>
        <w:tc>
          <w:tcPr>
            <w:tcW w:w="134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GB17167-2006</w:t>
            </w:r>
          </w:p>
        </w:tc>
        <w:tc>
          <w:tcPr>
            <w:tcW w:w="3552" w:type="dxa"/>
            <w:vAlign w:val="center"/>
          </w:tcPr>
          <w:p w:rsidR="00685F1B" w:rsidRPr="007709C3" w:rsidRDefault="00460A23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  <w:r w:rsidRPr="007709C3">
              <w:rPr>
                <w:rFonts w:ascii="宋体" w:hAnsi="宋体" w:cs="宋体" w:hint="eastAsia"/>
                <w:bCs/>
                <w:kern w:val="0"/>
              </w:rPr>
              <w:t>企业能源主要消耗品种为电能、水，2022年全年能耗4.79吨标准煤，用电38525千瓦时，用水248吨。 不是重点耗能企业。</w:t>
            </w:r>
          </w:p>
          <w:p w:rsidR="00685F1B" w:rsidRPr="007709C3" w:rsidRDefault="00685F1B" w:rsidP="007709C3">
            <w:pPr>
              <w:ind w:rightChars="-13" w:right="-27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409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综合部</w:t>
            </w:r>
            <w:bookmarkStart w:id="2" w:name="_GoBack"/>
            <w:bookmarkEnd w:id="2"/>
          </w:p>
        </w:tc>
        <w:tc>
          <w:tcPr>
            <w:tcW w:w="1290" w:type="dxa"/>
            <w:vAlign w:val="center"/>
          </w:tcPr>
          <w:p w:rsidR="00685F1B" w:rsidRDefault="00460A23">
            <w:pPr>
              <w:ind w:rightChars="-13" w:right="-27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</w:tr>
    </w:tbl>
    <w:p w:rsidR="00685F1B" w:rsidRDefault="00685F1B">
      <w:pPr>
        <w:spacing w:line="360" w:lineRule="auto"/>
        <w:rPr>
          <w:rFonts w:ascii="宋体" w:hAnsi="宋体"/>
          <w:szCs w:val="21"/>
        </w:rPr>
      </w:pPr>
    </w:p>
    <w:sectPr w:rsidR="00685F1B" w:rsidSect="00685F1B">
      <w:headerReference w:type="default" r:id="rId8"/>
      <w:footerReference w:type="default" r:id="rId9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BF" w:rsidRDefault="003421BF" w:rsidP="00685F1B">
      <w:r>
        <w:separator/>
      </w:r>
    </w:p>
  </w:endnote>
  <w:endnote w:type="continuationSeparator" w:id="0">
    <w:p w:rsidR="003421BF" w:rsidRDefault="003421BF" w:rsidP="0068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B" w:rsidRDefault="00460A23">
    <w:pPr>
      <w:pStyle w:val="a6"/>
      <w:jc w:val="center"/>
    </w:pPr>
    <w:r>
      <w:rPr>
        <w:lang w:val="zh-CN"/>
      </w:rPr>
      <w:t xml:space="preserve"> </w:t>
    </w:r>
    <w:r w:rsidR="004E0D7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E0D79">
      <w:rPr>
        <w:b/>
        <w:bCs/>
        <w:sz w:val="24"/>
        <w:szCs w:val="24"/>
      </w:rPr>
      <w:fldChar w:fldCharType="separate"/>
    </w:r>
    <w:r w:rsidR="00D80AFB">
      <w:rPr>
        <w:b/>
        <w:bCs/>
        <w:noProof/>
      </w:rPr>
      <w:t>3</w:t>
    </w:r>
    <w:r w:rsidR="004E0D7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4E0D7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E0D79">
      <w:rPr>
        <w:b/>
        <w:bCs/>
        <w:sz w:val="24"/>
        <w:szCs w:val="24"/>
      </w:rPr>
      <w:fldChar w:fldCharType="separate"/>
    </w:r>
    <w:r w:rsidR="00D80AFB">
      <w:rPr>
        <w:b/>
        <w:bCs/>
        <w:noProof/>
      </w:rPr>
      <w:t>3</w:t>
    </w:r>
    <w:r w:rsidR="004E0D79">
      <w:rPr>
        <w:b/>
        <w:bCs/>
        <w:sz w:val="24"/>
        <w:szCs w:val="24"/>
      </w:rPr>
      <w:fldChar w:fldCharType="end"/>
    </w:r>
  </w:p>
  <w:p w:rsidR="00685F1B" w:rsidRDefault="00685F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BF" w:rsidRDefault="003421BF" w:rsidP="00685F1B">
      <w:r>
        <w:separator/>
      </w:r>
    </w:p>
  </w:footnote>
  <w:footnote w:type="continuationSeparator" w:id="0">
    <w:p w:rsidR="003421BF" w:rsidRDefault="003421BF" w:rsidP="00685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B" w:rsidRDefault="00460A2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59690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:rsidR="00685F1B" w:rsidRDefault="004E0D79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 w:rsidRPr="004E0D7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327.15pt;margin-top:11pt;width:177.15pt;height:20.6pt;z-index:251657728" stroked="f">
          <v:textbox>
            <w:txbxContent>
              <w:p w:rsidR="00685F1B" w:rsidRPr="00427CC1" w:rsidRDefault="00427CC1" w:rsidP="00427CC1">
                <w:pPr>
                  <w:rPr>
                    <w:szCs w:val="18"/>
                  </w:rPr>
                </w:pPr>
                <w:r>
                  <w:rPr>
                    <w:szCs w:val="21"/>
                  </w:rPr>
                  <w:t>ISC-A-I-13</w:t>
                </w:r>
                <w:r>
                  <w:rPr>
                    <w:rFonts w:hint="eastAsia"/>
                    <w:szCs w:val="21"/>
                  </w:rPr>
                  <w:t>审核员审核记录（</w:t>
                </w:r>
                <w:r>
                  <w:rPr>
                    <w:szCs w:val="21"/>
                  </w:rPr>
                  <w:t>07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60A23">
      <w:rPr>
        <w:rStyle w:val="CharChar1"/>
        <w:rFonts w:hint="default"/>
        <w:szCs w:val="21"/>
      </w:rPr>
      <w:t xml:space="preserve">        北</w:t>
    </w:r>
    <w:r w:rsidR="00460A23">
      <w:rPr>
        <w:rStyle w:val="CharChar1"/>
        <w:rFonts w:ascii="Times New Roman" w:hAnsi="Times New Roman" w:hint="default"/>
        <w:szCs w:val="21"/>
      </w:rPr>
      <w:t>京国标联合认证有限公司</w:t>
    </w:r>
  </w:p>
  <w:p w:rsidR="00685F1B" w:rsidRDefault="004E0D79">
    <w:pPr>
      <w:pStyle w:val="a7"/>
      <w:pBdr>
        <w:bottom w:val="none" w:sz="0" w:space="1" w:color="auto"/>
      </w:pBdr>
      <w:spacing w:line="320" w:lineRule="exact"/>
      <w:jc w:val="left"/>
    </w:pPr>
    <w:r w:rsidRPr="004E0D79">
      <w:rPr>
        <w:sz w:val="21"/>
        <w:szCs w:val="21"/>
      </w:rPr>
      <w:pict>
        <v:line id="直线 4" o:spid="_x0000_s4098" style="position:absolute;flip:y;z-index:251658752" from="-.45pt,16.35pt" to="496.75pt,17.05pt"/>
      </w:pict>
    </w:r>
    <w:r w:rsidR="00460A23">
      <w:rPr>
        <w:rStyle w:val="CharChar1"/>
        <w:rFonts w:ascii="Times New Roman" w:hAnsi="Times New Roman" w:hint="default"/>
        <w:szCs w:val="21"/>
      </w:rPr>
      <w:t xml:space="preserve">        </w:t>
    </w:r>
    <w:r w:rsidR="00460A23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 w:rsidR="00460A23"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 w:rsidR="00460A23"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 w:rsidR="00460A23">
      <w:rPr>
        <w:rStyle w:val="CharChar1"/>
        <w:rFonts w:ascii="Times New Roman" w:hAnsi="Times New Roman" w:hint="default"/>
        <w:w w:val="80"/>
        <w:szCs w:val="21"/>
      </w:rPr>
      <w:t xml:space="preserve">. </w:t>
    </w:r>
    <w:r w:rsidR="00460A23">
      <w:rPr>
        <w:rStyle w:val="CharChar1"/>
        <w:rFonts w:hint="default"/>
        <w:w w:val="90"/>
        <w:sz w:val="18"/>
      </w:rPr>
      <w:t xml:space="preserve">                     </w:t>
    </w:r>
  </w:p>
  <w:p w:rsidR="00685F1B" w:rsidRDefault="00685F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zNzNlNDAxNzJkMjEyZmI0ZjczYTJkZDI4YjFkZDcifQ=="/>
  </w:docVars>
  <w:rsids>
    <w:rsidRoot w:val="006669BF"/>
    <w:rsid w:val="00021367"/>
    <w:rsid w:val="00026399"/>
    <w:rsid w:val="000530CD"/>
    <w:rsid w:val="000B2C40"/>
    <w:rsid w:val="000C0AF8"/>
    <w:rsid w:val="000D13BF"/>
    <w:rsid w:val="000D68CE"/>
    <w:rsid w:val="00110E25"/>
    <w:rsid w:val="001274EB"/>
    <w:rsid w:val="0013446F"/>
    <w:rsid w:val="001367C4"/>
    <w:rsid w:val="00157559"/>
    <w:rsid w:val="00212902"/>
    <w:rsid w:val="00244860"/>
    <w:rsid w:val="00284586"/>
    <w:rsid w:val="002D03B2"/>
    <w:rsid w:val="002F5F79"/>
    <w:rsid w:val="00314802"/>
    <w:rsid w:val="003421BF"/>
    <w:rsid w:val="003612DE"/>
    <w:rsid w:val="00363FB8"/>
    <w:rsid w:val="003644C5"/>
    <w:rsid w:val="00382341"/>
    <w:rsid w:val="003951EA"/>
    <w:rsid w:val="003F73B9"/>
    <w:rsid w:val="0040592B"/>
    <w:rsid w:val="00427BF5"/>
    <w:rsid w:val="00427CC1"/>
    <w:rsid w:val="0043003C"/>
    <w:rsid w:val="00460A23"/>
    <w:rsid w:val="004657FF"/>
    <w:rsid w:val="004E0D79"/>
    <w:rsid w:val="004E4848"/>
    <w:rsid w:val="0052312F"/>
    <w:rsid w:val="0052392A"/>
    <w:rsid w:val="005264E8"/>
    <w:rsid w:val="00543EA1"/>
    <w:rsid w:val="00573F58"/>
    <w:rsid w:val="00583239"/>
    <w:rsid w:val="00584197"/>
    <w:rsid w:val="00590422"/>
    <w:rsid w:val="00594B63"/>
    <w:rsid w:val="005A1773"/>
    <w:rsid w:val="005C4F2B"/>
    <w:rsid w:val="005F25E9"/>
    <w:rsid w:val="005F2A3F"/>
    <w:rsid w:val="00603DAF"/>
    <w:rsid w:val="006209AB"/>
    <w:rsid w:val="006400DE"/>
    <w:rsid w:val="00654415"/>
    <w:rsid w:val="006669BF"/>
    <w:rsid w:val="00685F1B"/>
    <w:rsid w:val="00690B29"/>
    <w:rsid w:val="00733304"/>
    <w:rsid w:val="00745069"/>
    <w:rsid w:val="007709C3"/>
    <w:rsid w:val="00773AD0"/>
    <w:rsid w:val="007A3C4D"/>
    <w:rsid w:val="007F16FB"/>
    <w:rsid w:val="00821879"/>
    <w:rsid w:val="008264B3"/>
    <w:rsid w:val="008533F8"/>
    <w:rsid w:val="00877021"/>
    <w:rsid w:val="00883222"/>
    <w:rsid w:val="00891ECE"/>
    <w:rsid w:val="008951A2"/>
    <w:rsid w:val="00915057"/>
    <w:rsid w:val="009265D4"/>
    <w:rsid w:val="00933AEC"/>
    <w:rsid w:val="0097311C"/>
    <w:rsid w:val="009868C0"/>
    <w:rsid w:val="009C0467"/>
    <w:rsid w:val="00A13AC1"/>
    <w:rsid w:val="00A57D8F"/>
    <w:rsid w:val="00A82DE3"/>
    <w:rsid w:val="00AC12C0"/>
    <w:rsid w:val="00AE58A4"/>
    <w:rsid w:val="00AF1CE7"/>
    <w:rsid w:val="00B05895"/>
    <w:rsid w:val="00B25978"/>
    <w:rsid w:val="00B95335"/>
    <w:rsid w:val="00BF189C"/>
    <w:rsid w:val="00C70343"/>
    <w:rsid w:val="00C70B17"/>
    <w:rsid w:val="00CC65AA"/>
    <w:rsid w:val="00CD0BEA"/>
    <w:rsid w:val="00D12E2B"/>
    <w:rsid w:val="00D276F7"/>
    <w:rsid w:val="00D34C26"/>
    <w:rsid w:val="00D46C68"/>
    <w:rsid w:val="00D75E58"/>
    <w:rsid w:val="00D80AFB"/>
    <w:rsid w:val="00D90D26"/>
    <w:rsid w:val="00DB046A"/>
    <w:rsid w:val="00DC0B77"/>
    <w:rsid w:val="00DC1C09"/>
    <w:rsid w:val="00DC3D3F"/>
    <w:rsid w:val="00DE0BC2"/>
    <w:rsid w:val="00E01098"/>
    <w:rsid w:val="00E26A81"/>
    <w:rsid w:val="00E7628B"/>
    <w:rsid w:val="00EB33AD"/>
    <w:rsid w:val="00EB72A9"/>
    <w:rsid w:val="00EF371D"/>
    <w:rsid w:val="00F32DE2"/>
    <w:rsid w:val="00F47322"/>
    <w:rsid w:val="00F724BA"/>
    <w:rsid w:val="00F86797"/>
    <w:rsid w:val="00FD26EB"/>
    <w:rsid w:val="00FE437C"/>
    <w:rsid w:val="00FF1B91"/>
    <w:rsid w:val="00FF4C99"/>
    <w:rsid w:val="00FF56DF"/>
    <w:rsid w:val="0A3A7B48"/>
    <w:rsid w:val="0C237DA9"/>
    <w:rsid w:val="15284E9A"/>
    <w:rsid w:val="387A0A67"/>
    <w:rsid w:val="4B644064"/>
    <w:rsid w:val="4BCE588F"/>
    <w:rsid w:val="4F2D22CB"/>
    <w:rsid w:val="5422555C"/>
    <w:rsid w:val="669906D7"/>
    <w:rsid w:val="6718741B"/>
    <w:rsid w:val="6C7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0"/>
    <w:rsid w:val="00685F1B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Plain Text"/>
    <w:basedOn w:val="a"/>
    <w:link w:val="Char2"/>
    <w:rsid w:val="00685F1B"/>
    <w:rPr>
      <w:rFonts w:ascii="宋体" w:hAnsi="Courier New"/>
      <w:szCs w:val="21"/>
    </w:rPr>
  </w:style>
  <w:style w:type="paragraph" w:styleId="a5">
    <w:name w:val="Balloon Text"/>
    <w:basedOn w:val="a"/>
    <w:rsid w:val="00685F1B"/>
    <w:rPr>
      <w:sz w:val="18"/>
    </w:rPr>
  </w:style>
  <w:style w:type="paragraph" w:styleId="a6">
    <w:name w:val="footer"/>
    <w:basedOn w:val="a"/>
    <w:link w:val="Char3"/>
    <w:uiPriority w:val="99"/>
    <w:rsid w:val="00685F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4"/>
    <w:uiPriority w:val="99"/>
    <w:qFormat/>
    <w:rsid w:val="00685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First Indent 2"/>
    <w:basedOn w:val="a3"/>
    <w:link w:val="2Char"/>
    <w:qFormat/>
    <w:rsid w:val="00685F1B"/>
    <w:pPr>
      <w:ind w:firstLineChars="200" w:firstLine="200"/>
    </w:pPr>
    <w:rPr>
      <w:rFonts w:ascii="宋体" w:eastAsia="宋体" w:hAnsi="Times New Roman"/>
      <w:sz w:val="21"/>
    </w:rPr>
  </w:style>
  <w:style w:type="table" w:styleId="a8">
    <w:name w:val="Table Grid"/>
    <w:basedOn w:val="a1"/>
    <w:qFormat/>
    <w:rsid w:val="00685F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685F1B"/>
    <w:rPr>
      <w:color w:val="0000FF"/>
      <w:u w:val="single"/>
    </w:rPr>
  </w:style>
  <w:style w:type="character" w:customStyle="1" w:styleId="FontStyle99">
    <w:name w:val="Font Style99"/>
    <w:rsid w:val="00685F1B"/>
    <w:rPr>
      <w:rFonts w:ascii="黑体" w:eastAsia="黑体" w:cs="黑体"/>
      <w:sz w:val="20"/>
      <w:szCs w:val="20"/>
    </w:rPr>
  </w:style>
  <w:style w:type="character" w:customStyle="1" w:styleId="Char10">
    <w:name w:val="纯文本 Char1"/>
    <w:uiPriority w:val="99"/>
    <w:semiHidden/>
    <w:qFormat/>
    <w:rsid w:val="00685F1B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页脚 Char"/>
    <w:link w:val="a6"/>
    <w:uiPriority w:val="99"/>
    <w:rsid w:val="00685F1B"/>
    <w:rPr>
      <w:kern w:val="2"/>
      <w:sz w:val="18"/>
    </w:rPr>
  </w:style>
  <w:style w:type="character" w:customStyle="1" w:styleId="Char2">
    <w:name w:val="纯文本 Char"/>
    <w:link w:val="a4"/>
    <w:rsid w:val="00685F1B"/>
    <w:rPr>
      <w:rFonts w:ascii="宋体" w:hAnsi="Courier New" w:cs="Courier New"/>
      <w:kern w:val="2"/>
      <w:sz w:val="21"/>
      <w:szCs w:val="21"/>
    </w:rPr>
  </w:style>
  <w:style w:type="character" w:customStyle="1" w:styleId="CharChar">
    <w:name w:val="Char Char"/>
    <w:qFormat/>
    <w:rsid w:val="00685F1B"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sid w:val="00685F1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4">
    <w:name w:val="页眉 Char"/>
    <w:link w:val="a7"/>
    <w:uiPriority w:val="99"/>
    <w:qFormat/>
    <w:rsid w:val="00685F1B"/>
    <w:rPr>
      <w:kern w:val="2"/>
      <w:sz w:val="18"/>
    </w:rPr>
  </w:style>
  <w:style w:type="paragraph" w:customStyle="1" w:styleId="Char">
    <w:name w:val="Char"/>
    <w:basedOn w:val="a"/>
    <w:qFormat/>
    <w:rsid w:val="00685F1B"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rsid w:val="00685F1B"/>
    <w:pPr>
      <w:numPr>
        <w:numId w:val="2"/>
      </w:numPr>
    </w:pPr>
  </w:style>
  <w:style w:type="character" w:customStyle="1" w:styleId="FontStyle137">
    <w:name w:val="Font Style137"/>
    <w:qFormat/>
    <w:rsid w:val="00685F1B"/>
    <w:rPr>
      <w:rFonts w:ascii="黑体" w:eastAsia="黑体" w:cs="黑体"/>
      <w:sz w:val="20"/>
      <w:szCs w:val="20"/>
    </w:rPr>
  </w:style>
  <w:style w:type="character" w:customStyle="1" w:styleId="Char0">
    <w:name w:val="正文文本缩进 Char"/>
    <w:basedOn w:val="a0"/>
    <w:link w:val="a3"/>
    <w:qFormat/>
    <w:rsid w:val="00685F1B"/>
    <w:rPr>
      <w:rFonts w:ascii="仿宋_GB2312" w:eastAsia="仿宋_GB2312"/>
      <w:sz w:val="24"/>
    </w:rPr>
  </w:style>
  <w:style w:type="character" w:customStyle="1" w:styleId="2Char">
    <w:name w:val="正文首行缩进 2 Char"/>
    <w:basedOn w:val="Char0"/>
    <w:link w:val="2"/>
    <w:qFormat/>
    <w:rsid w:val="00685F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ASUS</cp:lastModifiedBy>
  <cp:revision>16</cp:revision>
  <cp:lastPrinted>2016-03-24T09:28:00Z</cp:lastPrinted>
  <dcterms:created xsi:type="dcterms:W3CDTF">2023-01-10T01:21:00Z</dcterms:created>
  <dcterms:modified xsi:type="dcterms:W3CDTF">2023-01-16T07:45:00Z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745A299407FB438EBB8377602B5E4254</vt:lpwstr>
  </property>
</Properties>
</file>