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四川得丰电气有限公司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武胜县街子工业园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武胜县街子工业园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杨大万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13208223362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sz w:val="21"/>
                <w:szCs w:val="21"/>
              </w:rPr>
              <w:t>谢兴敏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0133-2022-EO-2023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：10KV及以下电力变压器（需3C许可范围内除外）、低压成套开关设备（产品认证证书范围内）、中置柜、环网柜、电缆分支箱、箱式变电站、智能化户外开闭所、全绝缘充气柜的设计生产；一体式交（直）流充电机的生产（需3C许可范围内除外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10KV及以下电力变压器（需3C许可范围内除外）、低压成套开关设备（产品认证证书范围内）、中置柜、环网柜、电缆分支箱、箱式变电站、智能化户外开闭所、全绝缘充气柜的设计生产；一体式交（直）流充电机的生产（需3C许可范围内除外）所涉及场所的相关职业健康安全管理活动。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E：19.09.01;19.09.02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O：19.09.01;19.09.02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2023年02月15日 上午至2023年02月15日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E:19.09.01,19.09.02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O:19.09.01,19.09.02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2023.2.11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2023.2.11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9"/>
      </w:pPr>
    </w:p>
    <w:p>
      <w:pPr>
        <w:pStyle w:val="9"/>
        <w:jc w:val="center"/>
        <w:rPr>
          <w:rFonts w:hint="default" w:eastAsia="宋体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现场审核日程安排表</w:t>
      </w:r>
    </w:p>
    <w:tbl>
      <w:tblPr>
        <w:tblStyle w:val="6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515"/>
        <w:gridCol w:w="1266"/>
        <w:gridCol w:w="5722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80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12" w:type="dxa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15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66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22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12" w:type="dxa"/>
            <w:vMerge w:val="restart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515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6988" w:type="dxa"/>
            <w:gridSpan w:val="2"/>
            <w:noWrap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5" w:hRule="atLeast"/>
          <w:jc w:val="center"/>
        </w:trPr>
        <w:tc>
          <w:tcPr>
            <w:tcW w:w="812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  <w:noWrap/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9:00-12:00</w:t>
            </w:r>
          </w:p>
        </w:tc>
        <w:tc>
          <w:tcPr>
            <w:tcW w:w="1266" w:type="dxa"/>
            <w:noWrap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含管代、安全事务代表）</w:t>
            </w:r>
          </w:p>
        </w:tc>
        <w:tc>
          <w:tcPr>
            <w:tcW w:w="5722" w:type="dxa"/>
            <w:noWrap/>
          </w:tcPr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4.1组织及其环境;4.2相关方需求与期望;4.3确定体系范围;4.4体系;5.1领导作用与承诺;5.2方针;5.3组织的角色、职责和权限；6.1.1策划总则；6.1.4措施的策划；6.2目标及其实现的策划；7.1资源；9.3管理评审；10.1改进 总则；10.3持续改进。</w:t>
            </w:r>
          </w:p>
          <w:p>
            <w:pPr>
              <w:pStyle w:val="9"/>
              <w:rPr>
                <w:rFonts w:hint="eastAsia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6.1.4措施的策划；6.2目标及其实现的策划；7.1资源；9.3管理评审；10.1改进 总则；10.3持续改进。</w:t>
            </w:r>
          </w:p>
          <w:p>
            <w:pPr>
              <w:pStyle w:val="9"/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范围的确认，资质的确认，</w:t>
            </w:r>
            <w:r>
              <w:rPr>
                <w:rFonts w:hint="eastAsia"/>
                <w:sz w:val="18"/>
                <w:szCs w:val="18"/>
              </w:rPr>
              <w:t>管理体系变化情况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法律法规执行情况，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环境和职业健康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安全投诉，</w:t>
            </w:r>
            <w:r>
              <w:rPr>
                <w:rFonts w:hint="eastAsia"/>
                <w:sz w:val="18"/>
                <w:szCs w:val="18"/>
              </w:rPr>
              <w:t>认证证书及标识使用情况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上次不符合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验证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行政部EO7.3条款）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4" w:hRule="atLeast"/>
          <w:jc w:val="center"/>
        </w:trPr>
        <w:tc>
          <w:tcPr>
            <w:tcW w:w="812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  <w:noWrap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9:00-12:00</w:t>
            </w:r>
          </w:p>
        </w:tc>
        <w:tc>
          <w:tcPr>
            <w:tcW w:w="1266" w:type="dxa"/>
            <w:noWrap/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行政部（含财务）</w:t>
            </w:r>
          </w:p>
        </w:tc>
        <w:tc>
          <w:tcPr>
            <w:tcW w:w="5722" w:type="dxa"/>
            <w:noWrap/>
          </w:tcPr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5.3组织的角色、职责和权限;6.1.2环境因素；6.1.3合规义务；6.2目标及其达成的策划；7.3意识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上次不符合项验证）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；8.1运行策划和控制；8.2应急准备和响应；9.1监视、测量、分析与评估；9.1.2符合性评估；9.2内部审核；10.2不符合和纠正措施/EMS运行控制相关财务支出证据</w:t>
            </w:r>
          </w:p>
          <w:p>
            <w:pPr>
              <w:pStyle w:val="9"/>
              <w:rPr>
                <w:rFonts w:hint="eastAsia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5.3组织的角色、职责和权限；6.1.2危险源辨识和职业安全风险评价；6.1.3法律法规要求和其他要求；6.2目标及其实现的策划；7.3意识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上次不符合项验证）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；8.1运行策划和控制；8.2应急准备和响应；9.1监视、测量、分析与评估；9.1.2法律法规要求和其他要求的合规性评价；9.2内部审核；10.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sz w:val="18"/>
                <w:szCs w:val="18"/>
              </w:rPr>
              <w:t>事件、不符合和纠正措施/OHSMS运行控制财务支出证据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12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568" w:type="dxa"/>
            <w:gridSpan w:val="4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  <w:jc w:val="center"/>
        </w:trPr>
        <w:tc>
          <w:tcPr>
            <w:tcW w:w="812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  <w:noWrap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0-16:30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66" w:type="dxa"/>
            <w:tcBorders>
              <w:right w:val="single" w:color="auto" w:sz="4" w:space="0"/>
            </w:tcBorders>
            <w:noWrap/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生技部</w:t>
            </w:r>
          </w:p>
        </w:tc>
        <w:tc>
          <w:tcPr>
            <w:tcW w:w="5722" w:type="dxa"/>
            <w:tcBorders>
              <w:right w:val="single" w:color="auto" w:sz="4" w:space="0"/>
            </w:tcBorders>
            <w:noWrap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EMS:5.3组织的角色、职责和权限；6.2目标及其实现的策划； 6.1.2环境因素；8.1运行策划和控制；8.2应急准备和响应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bookmarkStart w:id="36" w:name="_GoBack"/>
            <w:bookmarkEnd w:id="36"/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5.3组织的角色、职责和权限、6.1.2危险源辨识和职业安全风险评价；6.2目标及其达成的策划；8.1运行策划和控制；8.2应急准备和响应；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812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  <w:noWrap/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13:00-16:30</w:t>
            </w:r>
          </w:p>
        </w:tc>
        <w:tc>
          <w:tcPr>
            <w:tcW w:w="1266" w:type="dxa"/>
            <w:noWrap/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5722" w:type="dxa"/>
            <w:noWrap/>
          </w:tcPr>
          <w:p>
            <w:pP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EMS:5.3组织的角色、职责和权限；6.2目标及其实现的策划； 6.1.2环境因素；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7.4沟通；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5.3组织的角色、职责和权限、6.1.2危险源辨识和职业安全风险评价；6.2目标及其达成的策划；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7.4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信息和沟通；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12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  <w:noWrap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988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2ED04EC"/>
    <w:rsid w:val="05A8504D"/>
    <w:rsid w:val="0EEF4FBF"/>
    <w:rsid w:val="22E73C30"/>
    <w:rsid w:val="356D25CC"/>
    <w:rsid w:val="359B0108"/>
    <w:rsid w:val="36963DEF"/>
    <w:rsid w:val="56D77D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2218</Words>
  <Characters>3094</Characters>
  <Lines>37</Lines>
  <Paragraphs>10</Paragraphs>
  <TotalTime>32</TotalTime>
  <ScaleCrop>false</ScaleCrop>
  <LinksUpToDate>false</LinksUpToDate>
  <CharactersWithSpaces>3153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2023-02-15T01:51:50Z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