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2019-N1QMS-3031946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2019-N1OHSMS-2031946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ISC-31946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安涛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2017-N1QMS-1211720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甘肃卓远品牌咨询管理有限公司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ISC-211720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杨震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副高级工程师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甘肃中商食品质量检验检测有限公司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Q:03.07.01,30.05.00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O:03.07.01,30.05.00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ISC-JSZJ-091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兰州民生早餐食品有限公司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甘肃兰州市城关区九州东环路主食厨房工业园区C2-2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730000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甘肃兰州市城关区九州东环路主食厨房工业园区C2-2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730000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甘肃兰州市城关区九州东环路主食厨房工业园区C2-2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730000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雒凯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13359409150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吕旭博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谢小河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2020年01月14日 上午至2020年01月15日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Q：03.07.01;30.05.00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O：03.07.01;30.05.00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