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5"/>
        <w:rPr>
          <w:rFonts w:hint="eastAsia"/>
        </w:rPr>
      </w:pP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管理层    </w:t>
            </w:r>
            <w:r>
              <w:rPr>
                <w:rFonts w:hint="eastAsia"/>
                <w:sz w:val="24"/>
                <w:szCs w:val="24"/>
              </w:rPr>
              <w:t>主管领导：</w:t>
            </w:r>
            <w:r>
              <w:rPr>
                <w:rFonts w:hint="eastAsia"/>
                <w:sz w:val="24"/>
                <w:szCs w:val="24"/>
                <w:lang w:val="en-US" w:eastAsia="zh-CN"/>
              </w:rPr>
              <w:t xml:space="preserve">总经理卓林双 管代吕美博    </w:t>
            </w:r>
            <w:r>
              <w:rPr>
                <w:rFonts w:hint="eastAsia"/>
                <w:sz w:val="24"/>
                <w:szCs w:val="24"/>
              </w:rPr>
              <w:t>陪同人员：</w:t>
            </w:r>
            <w:r>
              <w:rPr>
                <w:rFonts w:hint="eastAsia"/>
                <w:sz w:val="24"/>
                <w:szCs w:val="24"/>
                <w:lang w:val="en-US" w:eastAsia="zh-CN"/>
              </w:rPr>
              <w:t>王佳楠</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吉洁          </w:t>
            </w:r>
            <w:r>
              <w:rPr>
                <w:rFonts w:hint="eastAsia"/>
                <w:sz w:val="24"/>
                <w:szCs w:val="24"/>
              </w:rPr>
              <w:t>审核时间：</w:t>
            </w:r>
            <w:r>
              <w:rPr>
                <w:rFonts w:hint="eastAsia"/>
                <w:sz w:val="24"/>
                <w:szCs w:val="24"/>
                <w:lang w:val="en-US" w:eastAsia="zh-CN"/>
              </w:rPr>
              <w:t>2023.2.11</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default" w:ascii="Times New Roman" w:hAnsi="Times New Roman" w:cs="Times New Roman"/>
                <w:sz w:val="21"/>
                <w:szCs w:val="21"/>
                <w:lang w:val="en-US" w:eastAsia="zh-CN"/>
              </w:rPr>
            </w:pPr>
            <w:r>
              <w:rPr>
                <w:rFonts w:hint="eastAsia"/>
                <w:sz w:val="24"/>
                <w:szCs w:val="24"/>
              </w:rPr>
              <w:t>审核条款：</w:t>
            </w:r>
            <w:r>
              <w:rPr>
                <w:rFonts w:hint="eastAsia"/>
                <w:sz w:val="21"/>
                <w:szCs w:val="21"/>
                <w:lang w:val="en-US" w:eastAsia="zh-CN"/>
              </w:rPr>
              <w:t>QEO</w:t>
            </w:r>
            <w:r>
              <w:rPr>
                <w:rFonts w:hint="eastAsia"/>
                <w:sz w:val="21"/>
                <w:szCs w:val="21"/>
              </w:rPr>
              <w:t>4.1/4.2/4.3/4.4/</w:t>
            </w:r>
            <w:r>
              <w:rPr>
                <w:rFonts w:hint="default" w:ascii="Times New Roman" w:hAnsi="Times New Roman" w:eastAsia="宋体" w:cs="Times New Roman"/>
                <w:b w:val="0"/>
                <w:bCs/>
                <w:sz w:val="21"/>
                <w:szCs w:val="21"/>
              </w:rPr>
              <w:t>5.1/5.2/5.3/6.1/6.2/7.1</w:t>
            </w:r>
            <w:r>
              <w:rPr>
                <w:rFonts w:hint="eastAsia" w:ascii="Times New Roman" w:hAnsi="Times New Roman" w:cs="Times New Roman"/>
                <w:b w:val="0"/>
                <w:bCs/>
                <w:sz w:val="21"/>
                <w:szCs w:val="21"/>
                <w:lang w:val="en-US" w:eastAsia="zh-CN"/>
              </w:rPr>
              <w:t>/</w:t>
            </w:r>
            <w:r>
              <w:rPr>
                <w:rFonts w:hint="eastAsia"/>
                <w:sz w:val="21"/>
                <w:szCs w:val="21"/>
                <w:lang w:val="en-US" w:eastAsia="zh-CN"/>
              </w:rPr>
              <w:t>9.3</w:t>
            </w:r>
            <w:r>
              <w:rPr>
                <w:rFonts w:hint="default" w:ascii="Times New Roman" w:hAnsi="Times New Roman" w:eastAsia="宋体" w:cs="Times New Roman"/>
                <w:b w:val="0"/>
                <w:bCs/>
                <w:sz w:val="21"/>
                <w:szCs w:val="21"/>
              </w:rPr>
              <w:t>/10.1/10.3</w:t>
            </w:r>
            <w:r>
              <w:rPr>
                <w:rFonts w:hint="eastAsia" w:ascii="Times New Roman" w:hAnsi="Times New Roman" w:cs="Times New Roman"/>
                <w:b w:val="0"/>
                <w:bCs/>
                <w:sz w:val="21"/>
                <w:szCs w:val="21"/>
                <w:lang w:eastAsia="zh-CN"/>
              </w:rPr>
              <w:t>；</w:t>
            </w:r>
            <w:r>
              <w:rPr>
                <w:rFonts w:hint="eastAsia" w:ascii="Times New Roman" w:hAnsi="Times New Roman" w:cs="Times New Roman"/>
                <w:b w:val="0"/>
                <w:bCs/>
                <w:sz w:val="21"/>
                <w:szCs w:val="21"/>
                <w:lang w:val="en-US" w:eastAsia="zh-CN"/>
              </w:rPr>
              <w:t>Q6.3</w:t>
            </w:r>
          </w:p>
          <w:p>
            <w:pPr>
              <w:snapToGrid w:val="0"/>
              <w:spacing w:line="260" w:lineRule="exact"/>
              <w:ind w:firstLine="1200" w:firstLineChars="500"/>
              <w:rPr>
                <w:sz w:val="24"/>
                <w:szCs w:val="24"/>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trPr>
        <w:tc>
          <w:tcPr>
            <w:tcW w:w="2160" w:type="dxa"/>
          </w:tcPr>
          <w:p>
            <w:pPr>
              <w:rPr>
                <w:rFonts w:hint="default" w:eastAsia="宋体"/>
                <w:lang w:val="en-US" w:eastAsia="zh-CN"/>
              </w:rPr>
            </w:pPr>
            <w:r>
              <w:rPr>
                <w:rFonts w:hint="eastAsia" w:asciiTheme="minorEastAsia" w:hAnsiTheme="minorEastAsia" w:eastAsiaTheme="minorEastAsia" w:cstheme="minorEastAsia"/>
                <w:color w:val="auto"/>
                <w:sz w:val="21"/>
                <w:szCs w:val="21"/>
                <w:lang w:val="en-US" w:eastAsia="zh-CN"/>
              </w:rPr>
              <w:t>请管代介绍近一年来的情况。</w:t>
            </w:r>
          </w:p>
        </w:tc>
        <w:tc>
          <w:tcPr>
            <w:tcW w:w="960" w:type="dxa"/>
          </w:tcPr>
          <w:p/>
        </w:tc>
        <w:tc>
          <w:tcPr>
            <w:tcW w:w="10004" w:type="dxa"/>
          </w:tcPr>
          <w:p>
            <w:pPr>
              <w:keepNext w:val="0"/>
              <w:keepLines w:val="0"/>
              <w:widowControl/>
              <w:suppressLineNumbers w:val="0"/>
              <w:jc w:val="left"/>
              <w:rPr>
                <w:rFonts w:hint="eastAsia"/>
                <w:lang w:val="en-US" w:eastAsia="zh-CN"/>
              </w:rPr>
            </w:pPr>
            <w:r>
              <w:rPr>
                <w:rFonts w:hint="eastAsia"/>
                <w:lang w:val="en-US" w:eastAsia="zh-CN"/>
              </w:rPr>
              <w:t>1、提供企业营业执照（副本），统一社会信用代码：91130108MAOCM9WT38，成立日期：2018年8月29日，营业期间至2038年8月28日。</w:t>
            </w:r>
          </w:p>
          <w:p>
            <w:pPr>
              <w:keepNext w:val="0"/>
              <w:keepLines w:val="0"/>
              <w:widowControl/>
              <w:suppressLineNumbers w:val="0"/>
              <w:jc w:val="left"/>
              <w:rPr>
                <w:rFonts w:hint="default"/>
                <w:lang w:val="en-US" w:eastAsia="zh-CN"/>
              </w:rPr>
            </w:pPr>
            <w:r>
              <w:rPr>
                <w:rFonts w:hint="eastAsia"/>
                <w:lang w:val="en-US" w:eastAsia="zh-CN"/>
              </w:rPr>
              <w:t>2、排污许可证：企业排污许可以登记备案形式。提供全国排污许可证信息管理平台截图，河北省彤博士健康产业河北有限公司，等级状态：审批通过，提交时间：2019年10月24日。</w:t>
            </w:r>
          </w:p>
          <w:p>
            <w:pPr>
              <w:keepNext w:val="0"/>
              <w:keepLines w:val="0"/>
              <w:widowControl/>
              <w:suppressLineNumbers w:val="0"/>
              <w:jc w:val="left"/>
              <w:rPr>
                <w:rFonts w:hint="eastAsia"/>
                <w:lang w:val="en-US" w:eastAsia="zh-CN"/>
              </w:rPr>
            </w:pPr>
            <w:r>
              <w:rPr>
                <w:rFonts w:hint="eastAsia"/>
                <w:lang w:val="en-US" w:eastAsia="zh-CN"/>
              </w:rPr>
              <w:t>3、食品生产经营许可证：许可证编号：SC10613010900416，发证日期：202.10.19，有效期至2024.9.18</w:t>
            </w:r>
          </w:p>
          <w:p>
            <w:pPr>
              <w:keepNext w:val="0"/>
              <w:keepLines w:val="0"/>
              <w:widowControl/>
              <w:suppressLineNumbers w:val="0"/>
              <w:jc w:val="left"/>
              <w:rPr>
                <w:rFonts w:hint="eastAsia"/>
                <w:lang w:val="en-US" w:eastAsia="zh-CN"/>
              </w:rPr>
            </w:pPr>
            <w:r>
              <w:rPr>
                <w:rFonts w:hint="eastAsia"/>
                <w:lang w:val="en-US" w:eastAsia="zh-CN"/>
              </w:rPr>
              <w:t>4、食品生产许可品种明细表：饮料；食用油、油脂及其制品；调味剂。</w:t>
            </w:r>
          </w:p>
          <w:p>
            <w:pPr>
              <w:keepNext w:val="0"/>
              <w:keepLines w:val="0"/>
              <w:widowControl/>
              <w:suppressLineNumbers w:val="0"/>
              <w:jc w:val="left"/>
              <w:rPr>
                <w:rFonts w:hint="default"/>
                <w:lang w:val="en-US" w:eastAsia="zh-CN"/>
              </w:rPr>
            </w:pPr>
            <w:r>
              <w:rPr>
                <w:rFonts w:hint="eastAsia"/>
                <w:lang w:val="en-US" w:eastAsia="zh-CN"/>
              </w:rPr>
              <w:t>5、近一年来未发生重大质量事故，重大顾客投诉、行政处罚等。接受了上级质量主管部门的抽查，合格。</w:t>
            </w:r>
          </w:p>
          <w:p>
            <w:pPr>
              <w:keepNext w:val="0"/>
              <w:keepLines w:val="0"/>
              <w:widowControl/>
              <w:suppressLineNumbers w:val="0"/>
              <w:jc w:val="left"/>
              <w:rPr>
                <w:rFonts w:hint="eastAsia"/>
                <w:lang w:val="en-US" w:eastAsia="zh-CN"/>
              </w:rPr>
            </w:pPr>
            <w:r>
              <w:rPr>
                <w:rFonts w:hint="eastAsia"/>
                <w:lang w:val="en-US" w:eastAsia="zh-CN"/>
              </w:rPr>
              <w:t>6、上次监督审核不符合项已经改正，无类似问题发生。</w:t>
            </w:r>
          </w:p>
          <w:p>
            <w:pPr>
              <w:bidi w:val="0"/>
              <w:rPr>
                <w:rFonts w:hint="default"/>
                <w:lang w:val="en-US" w:eastAsia="zh-CN"/>
              </w:rPr>
            </w:pPr>
            <w:r>
              <w:rPr>
                <w:rFonts w:hint="eastAsia"/>
                <w:lang w:val="en-US" w:eastAsia="zh-CN"/>
              </w:rPr>
              <w:t>7、证书用于投标及向客户展示，未发现违规使用情况。</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ascii="Times New Roman" w:hAnsi="Times New Roman" w:eastAsia="宋体" w:cs="Times New Roman"/>
                <w:kern w:val="2"/>
                <w:sz w:val="21"/>
                <w:lang w:val="en-US" w:eastAsia="zh-CN" w:bidi="ar-SA"/>
              </w:rPr>
            </w:pPr>
            <w:r>
              <w:rPr>
                <w:rFonts w:hint="eastAsia"/>
                <w:sz w:val="21"/>
                <w:szCs w:val="21"/>
              </w:rPr>
              <w:t>管理体系策划情况</w:t>
            </w:r>
            <w:r>
              <w:rPr>
                <w:rFonts w:hint="eastAsia"/>
                <w:sz w:val="21"/>
                <w:szCs w:val="21"/>
                <w:lang w:eastAsia="zh-CN"/>
              </w:rPr>
              <w:t>；</w:t>
            </w:r>
            <w:r>
              <w:rPr>
                <w:rFonts w:hint="eastAsia"/>
                <w:sz w:val="21"/>
                <w:szCs w:val="21"/>
              </w:rPr>
              <w:t>过程识别和策划的充分性（包括外包过程）</w:t>
            </w:r>
          </w:p>
        </w:tc>
        <w:tc>
          <w:tcPr>
            <w:tcW w:w="960" w:type="dxa"/>
            <w:vAlign w:val="top"/>
          </w:tcPr>
          <w:p>
            <w:pPr>
              <w:rPr>
                <w:rFonts w:hint="eastAsia"/>
                <w:sz w:val="21"/>
                <w:szCs w:val="21"/>
                <w:lang w:val="en-US" w:eastAsia="zh-CN"/>
              </w:rPr>
            </w:pPr>
            <w:r>
              <w:rPr>
                <w:rFonts w:hint="eastAsia"/>
                <w:sz w:val="21"/>
                <w:szCs w:val="21"/>
                <w:lang w:val="en-US" w:eastAsia="zh-CN"/>
              </w:rPr>
              <w:t>Q</w:t>
            </w:r>
            <w:r>
              <w:rPr>
                <w:rFonts w:hint="eastAsia"/>
                <w:sz w:val="21"/>
                <w:szCs w:val="21"/>
              </w:rPr>
              <w:t>E</w:t>
            </w:r>
            <w:r>
              <w:rPr>
                <w:rFonts w:hint="eastAsia"/>
                <w:sz w:val="21"/>
                <w:szCs w:val="21"/>
                <w:lang w:val="en-US" w:eastAsia="zh-CN"/>
              </w:rPr>
              <w:t>O</w:t>
            </w:r>
          </w:p>
          <w:p>
            <w:pPr>
              <w:rPr>
                <w:rFonts w:hint="default" w:ascii="Times New Roman" w:hAnsi="Times New Roman" w:eastAsia="宋体" w:cs="Times New Roman"/>
                <w:kern w:val="2"/>
                <w:sz w:val="21"/>
                <w:lang w:val="en-US" w:eastAsia="zh-CN" w:bidi="ar-SA"/>
              </w:rPr>
            </w:pPr>
            <w:r>
              <w:rPr>
                <w:rFonts w:hint="eastAsia"/>
                <w:sz w:val="21"/>
                <w:szCs w:val="21"/>
              </w:rPr>
              <w:t>4.1/4.4</w:t>
            </w:r>
          </w:p>
        </w:tc>
        <w:tc>
          <w:tcPr>
            <w:tcW w:w="10004" w:type="dxa"/>
            <w:vAlign w:val="top"/>
          </w:tcPr>
          <w:p>
            <w:pPr>
              <w:keepNext w:val="0"/>
              <w:keepLines w:val="0"/>
              <w:widowControl/>
              <w:suppressLineNumbers w:val="0"/>
              <w:jc w:val="left"/>
              <w:rPr>
                <w:rFonts w:hint="default"/>
                <w:lang w:val="en-US" w:eastAsia="zh-CN"/>
              </w:rPr>
            </w:pPr>
            <w:r>
              <w:rPr>
                <w:rFonts w:hint="eastAsia"/>
                <w:lang w:val="en-US" w:eastAsia="zh-CN"/>
              </w:rPr>
              <w:t>企业策划了质量、环境和职业健康安全管理体系的建设工作，</w:t>
            </w:r>
            <w:r>
              <w:rPr>
                <w:rFonts w:hint="eastAsia" w:cs="Times New Roman"/>
                <w:szCs w:val="22"/>
                <w:lang w:val="en-US" w:eastAsia="zh-CN"/>
              </w:rPr>
              <w:t>各层级已识别确定与公司宗旨和战略方向相关的并影响实现公司质量、环境、职业健康安全管理体系预期结果能力的外部和内部问题（因素），包括受公司影响或者能够影响公司的环境状况。外部、内部问题（因素）分析结果为确定建立管理体系、确定应对风险和机遇的措施、</w:t>
            </w:r>
            <w:r>
              <w:rPr>
                <w:rFonts w:hint="eastAsia"/>
                <w:lang w:val="en-US" w:eastAsia="zh-CN"/>
              </w:rPr>
              <w:t>策划识别风险及控制措施的要求，策划了QES管理体系的范围及体系，编制了QES管理体系手册，法律法规的收集及评价、开展了标准的培训，内部审核、管理评审等</w:t>
            </w:r>
            <w:r>
              <w:rPr>
                <w:rFonts w:hint="eastAsia" w:cs="Times New Roman"/>
                <w:szCs w:val="22"/>
                <w:lang w:val="en-US" w:eastAsia="zh-CN"/>
              </w:rPr>
              <w:t>活动。策划了包括控制程序、管理制度、管理办法、操作规程、实施记录等文件化信息。</w:t>
            </w:r>
          </w:p>
          <w:p>
            <w:pPr>
              <w:rPr>
                <w:rFonts w:hint="eastAsia" w:ascii="Times New Roman" w:hAnsi="Times New Roman" w:eastAsia="宋体" w:cs="Times New Roman"/>
                <w:kern w:val="2"/>
                <w:sz w:val="21"/>
                <w:lang w:val="en-US" w:eastAsia="zh-CN" w:bidi="ar-SA"/>
              </w:rPr>
            </w:pPr>
            <w:r>
              <w:rPr>
                <w:rFonts w:hint="eastAsia"/>
                <w:highlight w:val="none"/>
                <w:lang w:val="en-US" w:eastAsia="zh-CN"/>
              </w:rPr>
              <w:t>企业本项目外包过程——运输过程。提供《运输协议》，乙方：高新区盛博货运服务部，甲方指定乙方代理其航空、海运、陆运、快递等运输服务，约定了双方的责任和义务。</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widowControl/>
              <w:suppressLineNumbers w:val="0"/>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相关方的需求和期望</w:t>
            </w:r>
          </w:p>
        </w:tc>
        <w:tc>
          <w:tcPr>
            <w:tcW w:w="960" w:type="dxa"/>
            <w:vAlign w:val="top"/>
          </w:tcPr>
          <w:p>
            <w:pPr>
              <w:keepNext w:val="0"/>
              <w:keepLines w:val="0"/>
              <w:widowControl/>
              <w:suppressLineNumbers w:val="0"/>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QE</w:t>
            </w:r>
            <w:r>
              <w:rPr>
                <w:rFonts w:hint="eastAsia" w:cs="Times New Roman"/>
                <w:szCs w:val="22"/>
                <w:lang w:val="en-US" w:eastAsia="zh-CN"/>
              </w:rPr>
              <w:t>O</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4.2</w:t>
            </w:r>
          </w:p>
        </w:tc>
        <w:tc>
          <w:tcPr>
            <w:tcW w:w="10004" w:type="dxa"/>
            <w:vAlign w:val="top"/>
          </w:tcPr>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理解相关方的需求和期望：企业编制了《组织环境与相关方要求控制程序》，公司按程序的要求确定： </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a）与质量和环境管理体系有关的相关方，如顾客、供应商、公司高层管理者、员工及监管部门等； </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b）按相关文件的规定要求，确定这些相关方的需求和期望（即要求）。 </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c）这些相关方的需求和期望中哪些将成为其合规义务。 </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公司各部门按相关文件规定对这些相关方及其要求的相关信息进行定期的监视和评审，以便及时调整公司战略，适应市场的需求。 </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相关方及其需求和期望的分析结果为以下方面提供输入： </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a）确定管理体系范围； </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b）建立管理体系； </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c）确定应对风险和机遇的措施； </w:t>
            </w:r>
          </w:p>
          <w:p>
            <w:pPr>
              <w:keepNext w:val="0"/>
              <w:keepLines w:val="0"/>
              <w:widowControl/>
              <w:suppressLineNumbers w:val="0"/>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d）管理评审输入</w:t>
            </w:r>
          </w:p>
          <w:p>
            <w:pPr>
              <w:keepNext w:val="0"/>
              <w:keepLines w:val="0"/>
              <w:widowControl/>
              <w:suppressLineNumbers w:val="0"/>
              <w:jc w:val="left"/>
              <w:rPr>
                <w:rFonts w:hint="default"/>
                <w:lang w:val="en-US" w:eastAsia="zh-CN"/>
              </w:rPr>
            </w:pPr>
            <w:r>
              <w:rPr>
                <w:rFonts w:hint="eastAsia" w:ascii="Times New Roman" w:hAnsi="Times New Roman" w:eastAsia="宋体" w:cs="Times New Roman"/>
                <w:szCs w:val="22"/>
                <w:lang w:val="en-US" w:eastAsia="zh-CN"/>
              </w:rPr>
              <w:t>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160" w:type="dxa"/>
          </w:tcPr>
          <w:p>
            <w:r>
              <w:rPr>
                <w:rFonts w:hint="eastAsia" w:asciiTheme="minorEastAsia" w:hAnsiTheme="minorEastAsia" w:eastAsiaTheme="minorEastAsia" w:cstheme="minorEastAsia"/>
                <w:color w:val="auto"/>
                <w:sz w:val="21"/>
                <w:szCs w:val="21"/>
              </w:rPr>
              <w:t>范围确认</w:t>
            </w:r>
          </w:p>
        </w:tc>
        <w:tc>
          <w:tcPr>
            <w:tcW w:w="960" w:type="dxa"/>
            <w:vAlign w:val="top"/>
          </w:tcPr>
          <w:p>
            <w:pPr>
              <w:rPr>
                <w:rFonts w:hint="default" w:ascii="Times New Roman" w:hAnsi="Times New Roman" w:eastAsia="宋体" w:cs="Times New Roman"/>
                <w:kern w:val="2"/>
                <w:sz w:val="21"/>
                <w:lang w:val="en-US" w:eastAsia="zh-CN" w:bidi="ar-SA"/>
              </w:rPr>
            </w:pPr>
            <w:r>
              <w:rPr>
                <w:rFonts w:hint="eastAsia"/>
                <w:sz w:val="21"/>
                <w:szCs w:val="21"/>
                <w:lang w:val="en-US" w:eastAsia="zh-CN"/>
              </w:rPr>
              <w:t>QEO</w:t>
            </w:r>
            <w:r>
              <w:rPr>
                <w:rFonts w:hint="eastAsia"/>
                <w:sz w:val="21"/>
                <w:szCs w:val="21"/>
              </w:rPr>
              <w:t xml:space="preserve"> </w:t>
            </w:r>
            <w:r>
              <w:rPr>
                <w:rFonts w:hint="eastAsia"/>
                <w:lang w:val="en-US" w:eastAsia="zh-CN"/>
              </w:rPr>
              <w:t>4.3</w:t>
            </w:r>
          </w:p>
        </w:tc>
        <w:tc>
          <w:tcPr>
            <w:tcW w:w="10004" w:type="dxa"/>
            <w:vAlign w:val="top"/>
          </w:tcPr>
          <w:p>
            <w:pPr>
              <w:rPr>
                <w:rFonts w:hint="eastAsia" w:cs="Times New Roman"/>
                <w:szCs w:val="22"/>
                <w:lang w:val="en-US" w:eastAsia="zh-CN"/>
              </w:rPr>
            </w:pPr>
            <w:r>
              <w:rPr>
                <w:rFonts w:hint="eastAsia" w:cs="Times New Roman"/>
                <w:szCs w:val="22"/>
                <w:lang w:val="en-US" w:eastAsia="zh-CN"/>
              </w:rPr>
              <w:t>营业执照经营范围：生物技术推广应用，企业形象策划......；饮料、糖果制品、乳制品、保健食品、婴幼儿配方食品、特殊医学用途配方食品......食用油、油脂及其制品、化妆品、卫生用品、日用品的生产和销售等。</w:t>
            </w:r>
          </w:p>
          <w:p>
            <w:pPr>
              <w:keepNext w:val="0"/>
              <w:keepLines w:val="0"/>
              <w:widowControl/>
              <w:suppressLineNumbers w:val="0"/>
              <w:jc w:val="left"/>
              <w:rPr>
                <w:rFonts w:hint="eastAsia" w:cs="Times New Roman"/>
                <w:szCs w:val="22"/>
                <w:lang w:val="en-US" w:eastAsia="zh-CN"/>
              </w:rPr>
            </w:pPr>
            <w:r>
              <w:rPr>
                <w:rFonts w:hint="eastAsia" w:cs="Times New Roman"/>
                <w:szCs w:val="22"/>
                <w:lang w:val="en-US" w:eastAsia="zh-CN"/>
              </w:rPr>
              <w:t>提供的管理手册适用范围：适用于公司饮料、食用油、油脂及其制品、调味品等生产及销售服务的质量管理以及所涉及的环境管理。</w:t>
            </w:r>
          </w:p>
          <w:p>
            <w:pPr>
              <w:rPr>
                <w:rFonts w:hint="eastAsia" w:ascii="Times New Roman" w:hAnsi="Times New Roman" w:eastAsia="宋体" w:cs="Times New Roman"/>
                <w:szCs w:val="22"/>
                <w:lang w:val="zh-CN" w:eastAsia="zh-CN"/>
              </w:rPr>
            </w:pPr>
            <w:r>
              <w:rPr>
                <w:rFonts w:hint="eastAsia" w:cs="Times New Roman"/>
                <w:szCs w:val="22"/>
                <w:lang w:val="en-US" w:eastAsia="zh-CN"/>
              </w:rPr>
              <w:t>本次</w:t>
            </w:r>
            <w:r>
              <w:rPr>
                <w:rFonts w:hint="eastAsia" w:ascii="Times New Roman" w:hAnsi="Times New Roman" w:eastAsia="宋体" w:cs="Times New Roman"/>
                <w:szCs w:val="22"/>
                <w:lang w:val="zh-CN" w:eastAsia="zh-CN"/>
              </w:rPr>
              <w:t>管理体系</w:t>
            </w:r>
            <w:r>
              <w:rPr>
                <w:rFonts w:hint="eastAsia" w:cs="Times New Roman"/>
                <w:szCs w:val="22"/>
                <w:lang w:val="en-US" w:eastAsia="zh-CN"/>
              </w:rPr>
              <w:t>审核</w:t>
            </w:r>
            <w:r>
              <w:rPr>
                <w:rFonts w:hint="eastAsia" w:ascii="Times New Roman" w:hAnsi="Times New Roman" w:eastAsia="宋体" w:cs="Times New Roman"/>
                <w:szCs w:val="22"/>
                <w:lang w:val="zh-CN" w:eastAsia="zh-CN"/>
              </w:rPr>
              <w:t>的范围：</w:t>
            </w:r>
          </w:p>
          <w:p>
            <w:pPr>
              <w:rPr>
                <w:b w:val="0"/>
                <w:bCs w:val="0"/>
                <w:sz w:val="21"/>
                <w:szCs w:val="21"/>
              </w:rPr>
            </w:pPr>
            <w:r>
              <w:rPr>
                <w:b w:val="0"/>
                <w:bCs w:val="0"/>
                <w:sz w:val="21"/>
                <w:szCs w:val="21"/>
              </w:rPr>
              <w:t>Q：许可范围内的饮料、食用油、油脂及其制品、调味品的生产及销售.</w:t>
            </w:r>
          </w:p>
          <w:p>
            <w:pPr>
              <w:rPr>
                <w:b w:val="0"/>
                <w:bCs w:val="0"/>
                <w:sz w:val="21"/>
                <w:szCs w:val="21"/>
              </w:rPr>
            </w:pPr>
            <w:r>
              <w:rPr>
                <w:b w:val="0"/>
                <w:bCs w:val="0"/>
                <w:sz w:val="21"/>
                <w:szCs w:val="21"/>
              </w:rPr>
              <w:t>E：许可范围内的饮料、食用油、油脂及其制品、调味品的生产及销售所涉及场所的相关环境管理活动.</w:t>
            </w:r>
          </w:p>
          <w:p>
            <w:pPr>
              <w:rPr>
                <w:rFonts w:hint="eastAsia" w:ascii="宋体" w:hAnsi="宋体" w:eastAsia="宋体" w:cs="宋体"/>
                <w:sz w:val="21"/>
                <w:szCs w:val="21"/>
              </w:rPr>
            </w:pPr>
            <w:r>
              <w:rPr>
                <w:b w:val="0"/>
                <w:bCs w:val="0"/>
                <w:sz w:val="21"/>
                <w:szCs w:val="21"/>
              </w:rPr>
              <w:t>O：许可范围内的饮料、食用油、油脂及其制品、调味品的生产及销售所涉及场所的相关职业健康安全管理活动</w:t>
            </w:r>
          </w:p>
          <w:p>
            <w:pPr>
              <w:rPr>
                <w:rFonts w:hint="default" w:ascii="Times New Roman" w:hAnsi="Times New Roman" w:eastAsia="宋体" w:cs="Times New Roman"/>
                <w:kern w:val="2"/>
                <w:sz w:val="21"/>
                <w:lang w:val="en-US" w:eastAsia="zh-CN" w:bidi="ar-SA"/>
              </w:rPr>
            </w:pPr>
            <w:r>
              <w:rPr>
                <w:rFonts w:hint="eastAsia" w:cs="Times New Roman"/>
                <w:szCs w:val="22"/>
                <w:lang w:val="en-US" w:eastAsia="zh-CN"/>
              </w:rPr>
              <w:t>与企业营业执照范围一致。</w:t>
            </w:r>
            <w:r>
              <w:rPr>
                <w:rFonts w:hint="eastAsia"/>
                <w:lang w:val="en-US" w:eastAsia="zh-CN"/>
              </w:rPr>
              <w:t>认证范围适宜，无变化。</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160" w:type="dxa"/>
            <w:vAlign w:val="top"/>
          </w:tcPr>
          <w:p>
            <w:pPr>
              <w:rPr>
                <w:rFonts w:hint="eastAsia" w:ascii="Times New Roman" w:hAnsi="Times New Roman" w:eastAsia="宋体" w:cs="Times New Roman"/>
                <w:kern w:val="2"/>
                <w:sz w:val="21"/>
                <w:szCs w:val="22"/>
                <w:lang w:val="en-US" w:eastAsia="zh-CN" w:bidi="ar-SA"/>
              </w:rPr>
            </w:pPr>
            <w:r>
              <w:rPr>
                <w:rFonts w:hint="eastAsia"/>
                <w:szCs w:val="22"/>
                <w:lang w:val="en-US" w:eastAsia="zh-CN"/>
              </w:rPr>
              <w:t>组织机构领导承诺及职责权限</w:t>
            </w:r>
          </w:p>
        </w:tc>
        <w:tc>
          <w:tcPr>
            <w:tcW w:w="960" w:type="dxa"/>
            <w:vAlign w:val="top"/>
          </w:tcPr>
          <w:p>
            <w:pPr>
              <w:rPr>
                <w:rFonts w:hint="default"/>
                <w:szCs w:val="22"/>
                <w:lang w:val="en-US" w:eastAsia="zh-CN"/>
              </w:rPr>
            </w:pPr>
            <w:r>
              <w:rPr>
                <w:rFonts w:hint="eastAsia"/>
                <w:szCs w:val="22"/>
                <w:lang w:val="en-US" w:eastAsia="zh-CN"/>
              </w:rPr>
              <w:t>QEO</w:t>
            </w:r>
          </w:p>
          <w:p>
            <w:pPr>
              <w:rPr>
                <w:rFonts w:hint="eastAsia" w:ascii="Times New Roman" w:hAnsi="Times New Roman" w:eastAsia="宋体" w:cs="Times New Roman"/>
                <w:kern w:val="2"/>
                <w:sz w:val="21"/>
                <w:szCs w:val="22"/>
                <w:lang w:val="en-US" w:eastAsia="zh-CN" w:bidi="ar-SA"/>
              </w:rPr>
            </w:pPr>
            <w:r>
              <w:rPr>
                <w:rFonts w:hint="eastAsia"/>
                <w:szCs w:val="22"/>
                <w:lang w:val="en-US" w:eastAsia="zh-CN"/>
              </w:rPr>
              <w:t>5.1/5.3</w:t>
            </w:r>
          </w:p>
        </w:tc>
        <w:tc>
          <w:tcPr>
            <w:tcW w:w="10004" w:type="dxa"/>
            <w:vAlign w:val="top"/>
          </w:tcPr>
          <w:p>
            <w:pPr>
              <w:rPr>
                <w:rFonts w:hint="eastAsia"/>
                <w:szCs w:val="22"/>
                <w:lang w:val="en-US" w:eastAsia="zh-CN"/>
              </w:rPr>
            </w:pPr>
            <w:r>
              <w:rPr>
                <w:rFonts w:hint="eastAsia"/>
                <w:szCs w:val="22"/>
                <w:lang w:val="en-US" w:eastAsia="zh-CN"/>
              </w:rPr>
              <w:t xml:space="preserve">明确了企业高层领导和各专业的职责和权限，最高管理者对质量、环境、职业健康安全管理体系的领导作用和承诺,确保制定质量、环境、职业健康安全管理体系的管理方针和目标,并与组织环境和战略方向相一致；确保质量、环境、职业健康安全管理体系要求融入与组织的业务过程；促进使用过程方法和基于风险的思维；确保获得质量、环境、职业健康安全管理体系所需的资源；沟通有效的质量管理和符合质量、环境、职业健康安全管理体系要求的重要性；确保实现质量、环境、职业健康安全管理体系的预期结果；促使、指导和支持员工努力提高质量、环境、职业健康安全管理体系的有效性；推动改进；支持其他管理者履行其相关领域的职责；按策划的要求进行管理评审。 </w:t>
            </w:r>
          </w:p>
          <w:p>
            <w:pPr>
              <w:rPr>
                <w:rFonts w:hint="eastAsia"/>
                <w:lang w:val="zh-CN" w:eastAsia="zh-CN"/>
              </w:rPr>
            </w:pPr>
            <w:r>
              <w:rPr>
                <w:rFonts w:hint="eastAsia"/>
                <w:szCs w:val="22"/>
                <w:lang w:val="en-US" w:eastAsia="zh-CN"/>
              </w:rPr>
              <w:t>根据部门设置，对质量、环境、职业健康安全管理职责进行分工，制定“管理职能分配表”和管理手册附录B“质量、环境、职业健康安全管理职能分配表”。</w:t>
            </w:r>
          </w:p>
          <w:p>
            <w:pPr>
              <w:rPr>
                <w:rFonts w:hint="eastAsia" w:ascii="Times New Roman" w:hAnsi="Times New Roman" w:eastAsia="宋体" w:cs="Times New Roman"/>
                <w:kern w:val="2"/>
                <w:sz w:val="21"/>
                <w:szCs w:val="22"/>
                <w:lang w:val="en-US" w:eastAsia="zh-CN" w:bidi="ar-SA"/>
              </w:rPr>
            </w:pPr>
            <w:r>
              <w:rPr>
                <w:rFonts w:hint="eastAsia"/>
                <w:szCs w:val="22"/>
                <w:lang w:val="en-US" w:eastAsia="zh-CN"/>
              </w:rPr>
              <w:t>各单位职责明确，各负其责。</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160" w:type="dxa"/>
            <w:vAlign w:val="top"/>
          </w:tcPr>
          <w:p>
            <w:pPr>
              <w:rPr>
                <w:rFonts w:hint="eastAsia" w:ascii="Times New Roman" w:hAnsi="Times New Roman" w:eastAsia="宋体" w:cs="Times New Roman"/>
                <w:kern w:val="2"/>
                <w:sz w:val="21"/>
                <w:szCs w:val="21"/>
                <w:lang w:val="en-US" w:eastAsia="zh-CN" w:bidi="ar-SA"/>
              </w:rPr>
            </w:pPr>
            <w:r>
              <w:rPr>
                <w:rFonts w:hint="eastAsia"/>
                <w:sz w:val="21"/>
                <w:szCs w:val="21"/>
              </w:rPr>
              <w:t>管理方针</w:t>
            </w:r>
          </w:p>
        </w:tc>
        <w:tc>
          <w:tcPr>
            <w:tcW w:w="960" w:type="dxa"/>
            <w:vAlign w:val="top"/>
          </w:tcPr>
          <w:p>
            <w:pPr>
              <w:rPr>
                <w:rFonts w:hint="default"/>
                <w:lang w:val="en-US" w:eastAsia="zh-CN"/>
              </w:rPr>
            </w:pPr>
            <w:r>
              <w:rPr>
                <w:rFonts w:hint="eastAsia"/>
                <w:lang w:val="en-US" w:eastAsia="zh-CN"/>
              </w:rPr>
              <w:t>QEO</w:t>
            </w:r>
          </w:p>
          <w:p>
            <w:pPr>
              <w:rPr>
                <w:rFonts w:hint="eastAsia" w:ascii="Times New Roman" w:hAnsi="Times New Roman" w:eastAsia="宋体" w:cs="Times New Roman"/>
                <w:kern w:val="2"/>
                <w:sz w:val="21"/>
                <w:lang w:val="en-US" w:eastAsia="zh-CN" w:bidi="ar-SA"/>
              </w:rPr>
            </w:pPr>
            <w:r>
              <w:rPr>
                <w:rFonts w:hint="eastAsia"/>
                <w:lang w:val="en-US" w:eastAsia="zh-CN"/>
              </w:rPr>
              <w:t>5.2</w:t>
            </w:r>
          </w:p>
        </w:tc>
        <w:tc>
          <w:tcPr>
            <w:tcW w:w="10004" w:type="dxa"/>
            <w:vAlign w:val="top"/>
          </w:tcPr>
          <w:p>
            <w:pPr>
              <w:rPr>
                <w:rFonts w:hint="eastAsia"/>
              </w:rPr>
            </w:pPr>
            <w:r>
              <w:rPr>
                <w:rFonts w:hint="eastAsia"/>
              </w:rPr>
              <w:t>●企业策划并制定了质量方针：</w:t>
            </w:r>
          </w:p>
          <w:p>
            <w:pPr>
              <w:rPr>
                <w:rFonts w:hint="eastAsia"/>
              </w:rPr>
            </w:pPr>
            <w:r>
              <w:rPr>
                <w:rFonts w:hint="eastAsia"/>
              </w:rPr>
              <w:t>“</w:t>
            </w:r>
            <w:r>
              <w:rPr>
                <w:rFonts w:hint="eastAsia"/>
                <w:lang w:val="en-US" w:eastAsia="zh-CN"/>
              </w:rPr>
              <w:t>以质量求生存。以</w:t>
            </w:r>
            <w:r>
              <w:rPr>
                <w:rFonts w:hint="eastAsia"/>
                <w:lang w:val="zh-CN" w:eastAsia="zh-CN"/>
              </w:rPr>
              <w:t>创新</w:t>
            </w:r>
            <w:r>
              <w:rPr>
                <w:rFonts w:hint="eastAsia"/>
                <w:lang w:val="en-US" w:eastAsia="zh-CN"/>
              </w:rPr>
              <w:t>谋发展</w:t>
            </w:r>
            <w:r>
              <w:rPr>
                <w:rFonts w:hint="eastAsia"/>
                <w:lang w:val="zh-CN" w:eastAsia="zh-CN"/>
              </w:rPr>
              <w:t>，</w:t>
            </w:r>
            <w:r>
              <w:rPr>
                <w:rFonts w:hint="eastAsia"/>
                <w:lang w:val="en-US" w:eastAsia="zh-CN"/>
              </w:rPr>
              <w:t>以健康筑未来</w:t>
            </w:r>
            <w:r>
              <w:rPr>
                <w:rFonts w:hint="eastAsia"/>
                <w:lang w:val="zh-CN" w:eastAsia="zh-CN"/>
              </w:rPr>
              <w:t>。</w:t>
            </w:r>
            <w:r>
              <w:rPr>
                <w:rFonts w:hint="eastAsia"/>
              </w:rPr>
              <w:t>”</w:t>
            </w:r>
          </w:p>
          <w:p>
            <w:pPr>
              <w:rPr>
                <w:rFonts w:hint="eastAsia"/>
              </w:rPr>
            </w:pPr>
            <w:r>
              <w:rPr>
                <w:rFonts w:hint="eastAsia"/>
              </w:rPr>
              <w:t>●方针在</w:t>
            </w:r>
            <w:r>
              <w:rPr>
                <w:rFonts w:hint="eastAsia"/>
                <w:lang w:val="en-US" w:eastAsia="zh-CN"/>
              </w:rPr>
              <w:t>管理</w:t>
            </w:r>
            <w:r>
              <w:rPr>
                <w:rFonts w:hint="eastAsia"/>
              </w:rPr>
              <w:t>手册中予以规定，经总经理批准实施。</w:t>
            </w:r>
          </w:p>
          <w:p>
            <w:pPr>
              <w:rPr>
                <w:rFonts w:hint="eastAsia"/>
                <w:lang w:val="en-US" w:eastAsia="zh-CN"/>
              </w:rPr>
            </w:pPr>
            <w:r>
              <w:rPr>
                <w:rFonts w:hint="eastAsia"/>
              </w:rPr>
              <w:t>●方针体现了标准的要求，包括：公司的宗旨和环境并支持其战略方向，为目标制定了框架，满足适用要求的承诺，持续改进管理体系的承诺，通过会议、文件、网络宣传等形式进行贯彻，可为相关方获取。</w:t>
            </w:r>
            <w:r>
              <w:rPr>
                <w:rFonts w:hint="eastAsia"/>
                <w:lang w:val="en-US" w:eastAsia="zh-CN"/>
              </w:rPr>
              <w:t>管理</w:t>
            </w:r>
            <w:r>
              <w:rPr>
                <w:rFonts w:hint="eastAsia"/>
              </w:rPr>
              <w:t>方针基本适宜。</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eastAsia="宋体"/>
                <w:sz w:val="21"/>
                <w:szCs w:val="21"/>
                <w:lang w:val="en-US" w:eastAsia="zh-CN"/>
              </w:rPr>
            </w:pPr>
            <w:r>
              <w:rPr>
                <w:rFonts w:hint="eastAsia"/>
                <w:sz w:val="21"/>
                <w:szCs w:val="21"/>
                <w:lang w:val="en-US" w:eastAsia="zh-CN"/>
              </w:rPr>
              <w:t>风险管控的策划和实施</w:t>
            </w:r>
          </w:p>
        </w:tc>
        <w:tc>
          <w:tcPr>
            <w:tcW w:w="960" w:type="dxa"/>
            <w:vAlign w:val="top"/>
          </w:tcPr>
          <w:p>
            <w:pPr>
              <w:rPr>
                <w:rFonts w:hint="default"/>
                <w:lang w:val="en-US" w:eastAsia="zh-CN"/>
              </w:rPr>
            </w:pPr>
            <w:r>
              <w:rPr>
                <w:rFonts w:hint="eastAsia"/>
                <w:lang w:val="en-US" w:eastAsia="zh-CN"/>
              </w:rPr>
              <w:t>QEO6.1</w:t>
            </w:r>
          </w:p>
        </w:tc>
        <w:tc>
          <w:tcPr>
            <w:tcW w:w="10004" w:type="dxa"/>
            <w:vAlign w:val="top"/>
          </w:tcPr>
          <w:p>
            <w:pPr>
              <w:rPr>
                <w:rFonts w:hint="eastAsia"/>
                <w:lang w:val="en-US" w:eastAsia="zh-CN"/>
              </w:rPr>
            </w:pPr>
            <w:r>
              <w:rPr>
                <w:rFonts w:hint="eastAsia"/>
                <w:lang w:val="en-US" w:eastAsia="zh-CN"/>
              </w:rPr>
              <w:t xml:space="preserve">公司编制和实施了《风险与机遇应对控制程序》。 </w:t>
            </w:r>
          </w:p>
          <w:p>
            <w:pPr>
              <w:rPr>
                <w:rFonts w:hint="eastAsia"/>
                <w:lang w:val="en-US" w:eastAsia="zh-CN"/>
              </w:rPr>
            </w:pPr>
            <w:r>
              <w:rPr>
                <w:rFonts w:hint="eastAsia"/>
                <w:lang w:val="en-US" w:eastAsia="zh-CN"/>
              </w:rPr>
              <w:t>各部门对识别的风险制定风险控制措施，制定“风险控制矩阵表”， 行政部将公 司风险识别进行汇总，定期检查控制情况。</w:t>
            </w:r>
          </w:p>
          <w:p>
            <w:pPr>
              <w:rPr>
                <w:rFonts w:hint="eastAsia"/>
                <w:lang w:val="en-US" w:eastAsia="zh-CN"/>
              </w:rPr>
            </w:pPr>
            <w:r>
              <w:rPr>
                <w:rFonts w:hint="eastAsia"/>
                <w:lang w:val="en-US" w:eastAsia="zh-CN"/>
              </w:rPr>
              <w:t>风险管理流程：风险识别——风险评估——风险响应——风险控制。</w:t>
            </w:r>
          </w:p>
          <w:p>
            <w:pPr>
              <w:rPr>
                <w:rFonts w:hint="eastAsia"/>
                <w:lang w:val="en-US" w:eastAsia="zh-CN"/>
              </w:rPr>
            </w:pPr>
            <w:r>
              <w:rPr>
                <w:rFonts w:hint="eastAsia"/>
                <w:lang w:val="en-US" w:eastAsia="zh-CN"/>
              </w:rPr>
              <w:t>提供《风险和机遇评估分析表》包括：质量部、行政部、研发部、生产部、采购部、营销部等部门的风险和机遇的分析。</w:t>
            </w:r>
          </w:p>
          <w:p>
            <w:pPr>
              <w:rPr>
                <w:rFonts w:hint="eastAsia"/>
                <w:lang w:val="en-US" w:eastAsia="zh-CN"/>
              </w:rPr>
            </w:pPr>
            <w:r>
              <w:rPr>
                <w:rFonts w:hint="eastAsia"/>
                <w:lang w:val="en-US" w:eastAsia="zh-CN"/>
              </w:rPr>
              <w:t>生产部风险10项，其中一般风险2项（新技术和生产过程），低风险8项；</w:t>
            </w:r>
          </w:p>
          <w:p>
            <w:pPr>
              <w:rPr>
                <w:rFonts w:hint="eastAsia"/>
                <w:lang w:val="en-US" w:eastAsia="zh-CN"/>
              </w:rPr>
            </w:pPr>
            <w:r>
              <w:rPr>
                <w:rFonts w:hint="eastAsia"/>
                <w:lang w:val="en-US" w:eastAsia="zh-CN"/>
              </w:rPr>
              <w:t>行政部/财务部风险15项，其中一般风险1项（人力资源），低风险14项；</w:t>
            </w:r>
          </w:p>
          <w:p>
            <w:pPr>
              <w:rPr>
                <w:rFonts w:hint="eastAsia"/>
                <w:lang w:val="en-US" w:eastAsia="zh-CN"/>
              </w:rPr>
            </w:pPr>
            <w:r>
              <w:rPr>
                <w:rFonts w:hint="eastAsia"/>
                <w:lang w:val="en-US" w:eastAsia="zh-CN"/>
              </w:rPr>
              <w:t>质量部风险14项，其中一般风险1项（原材料和产品检验），低风险13项；</w:t>
            </w:r>
          </w:p>
          <w:p>
            <w:pPr>
              <w:rPr>
                <w:rFonts w:hint="eastAsia"/>
                <w:lang w:val="en-US" w:eastAsia="zh-CN"/>
              </w:rPr>
            </w:pPr>
            <w:r>
              <w:rPr>
                <w:rFonts w:hint="eastAsia"/>
                <w:lang w:val="en-US" w:eastAsia="zh-CN"/>
              </w:rPr>
              <w:t>采购部风险6项，其中一般风险0项，低风险6项；</w:t>
            </w:r>
          </w:p>
          <w:p>
            <w:pPr>
              <w:rPr>
                <w:rFonts w:hint="eastAsia"/>
                <w:lang w:val="en-US" w:eastAsia="zh-CN"/>
              </w:rPr>
            </w:pPr>
            <w:r>
              <w:rPr>
                <w:rFonts w:hint="eastAsia"/>
                <w:lang w:val="en-US" w:eastAsia="zh-CN"/>
              </w:rPr>
              <w:t>营销部风险5项，其中一般风险1项（市场占有率和价格），低风险4项；</w:t>
            </w:r>
          </w:p>
          <w:p>
            <w:pPr>
              <w:rPr>
                <w:rFonts w:hint="eastAsia"/>
                <w:lang w:val="en-US" w:eastAsia="zh-CN"/>
              </w:rPr>
            </w:pPr>
            <w:r>
              <w:rPr>
                <w:rFonts w:hint="eastAsia"/>
                <w:lang w:val="en-US" w:eastAsia="zh-CN"/>
              </w:rPr>
              <w:t>研发部风险6项，其中一般风险1项（新技术、新材料），低风险5项；</w:t>
            </w:r>
          </w:p>
          <w:p>
            <w:pPr>
              <w:pStyle w:val="9"/>
              <w:rPr>
                <w:rFonts w:hint="default"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企业</w:t>
            </w:r>
            <w:r>
              <w:rPr>
                <w:rFonts w:hint="eastAsia" w:cs="Times New Roman"/>
                <w:bCs w:val="0"/>
                <w:spacing w:val="0"/>
                <w:kern w:val="2"/>
                <w:sz w:val="21"/>
                <w:szCs w:val="22"/>
                <w:lang w:val="en-US" w:eastAsia="zh-CN" w:bidi="ar-SA"/>
              </w:rPr>
              <w:t>针对识别的风险和机遇制定了控制措施，并进行了评价，显示有效</w:t>
            </w:r>
            <w:r>
              <w:rPr>
                <w:rFonts w:hint="eastAsia" w:ascii="Times New Roman" w:hAnsi="Times New Roman" w:eastAsia="宋体" w:cs="Times New Roman"/>
                <w:bCs w:val="0"/>
                <w:spacing w:val="0"/>
                <w:kern w:val="2"/>
                <w:sz w:val="21"/>
                <w:szCs w:val="22"/>
                <w:lang w:val="en-US" w:eastAsia="zh-CN" w:bidi="ar-SA"/>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default"/>
                <w:lang w:val="en-US" w:eastAsia="zh-CN"/>
              </w:rPr>
            </w:pPr>
            <w:r>
              <w:rPr>
                <w:rFonts w:hint="eastAsia"/>
                <w:lang w:val="en-US" w:eastAsia="zh-CN"/>
              </w:rPr>
              <w:t>目标</w:t>
            </w:r>
          </w:p>
        </w:tc>
        <w:tc>
          <w:tcPr>
            <w:tcW w:w="960" w:type="dxa"/>
            <w:vAlign w:val="top"/>
          </w:tcPr>
          <w:p>
            <w:pPr>
              <w:rPr>
                <w:rFonts w:hint="default"/>
                <w:lang w:val="en-US" w:eastAsia="zh-CN"/>
              </w:rPr>
            </w:pPr>
            <w:r>
              <w:rPr>
                <w:rFonts w:hint="eastAsia"/>
                <w:lang w:val="en-US" w:eastAsia="zh-CN"/>
              </w:rPr>
              <w:t>QEO6.2</w:t>
            </w:r>
          </w:p>
        </w:tc>
        <w:tc>
          <w:tcPr>
            <w:tcW w:w="10004" w:type="dxa"/>
            <w:vAlign w:val="top"/>
          </w:tcPr>
          <w:p>
            <w:pPr>
              <w:rPr>
                <w:rFonts w:hint="eastAsia"/>
                <w:lang w:val="en-US" w:eastAsia="zh-CN"/>
              </w:rPr>
            </w:pPr>
            <w:r>
              <w:rPr>
                <w:rFonts w:hint="eastAsia"/>
                <w:lang w:val="en-US" w:eastAsia="zh-CN"/>
              </w:rPr>
              <w:t>公司：</w:t>
            </w:r>
          </w:p>
          <w:p>
            <w:pPr>
              <w:rPr>
                <w:rFonts w:hint="eastAsia"/>
                <w:lang w:val="en-US" w:eastAsia="zh-CN"/>
              </w:rPr>
            </w:pPr>
            <w:r>
              <w:rPr>
                <w:rFonts w:hint="eastAsia"/>
                <w:lang w:val="en-US" w:eastAsia="zh-CN"/>
              </w:rPr>
              <w:t>质量目标</w:t>
            </w:r>
          </w:p>
          <w:p>
            <w:pPr>
              <w:rPr>
                <w:rFonts w:hint="eastAsia"/>
                <w:lang w:val="en-US" w:eastAsia="zh-CN"/>
              </w:rPr>
            </w:pPr>
            <w:r>
              <w:rPr>
                <w:rFonts w:hint="eastAsia"/>
                <w:lang w:val="en-US" w:eastAsia="zh-CN"/>
              </w:rPr>
              <w:t>产品出厂合格率100%；</w:t>
            </w:r>
          </w:p>
          <w:p>
            <w:pPr>
              <w:rPr>
                <w:rFonts w:hint="eastAsia"/>
                <w:lang w:val="en-US" w:eastAsia="zh-CN"/>
              </w:rPr>
            </w:pPr>
            <w:r>
              <w:rPr>
                <w:rFonts w:hint="eastAsia"/>
                <w:lang w:val="en-US" w:eastAsia="zh-CN"/>
              </w:rPr>
              <w:t>产品抽检合格率100%；</w:t>
            </w:r>
          </w:p>
          <w:p>
            <w:pPr>
              <w:rPr>
                <w:rFonts w:hint="eastAsia"/>
                <w:lang w:val="en-US" w:eastAsia="zh-CN"/>
              </w:rPr>
            </w:pPr>
            <w:r>
              <w:rPr>
                <w:rFonts w:hint="eastAsia"/>
                <w:lang w:val="en-US" w:eastAsia="zh-CN"/>
              </w:rPr>
              <w:t>客户投诉处理率100%；</w:t>
            </w:r>
          </w:p>
          <w:p>
            <w:pPr>
              <w:rPr>
                <w:rFonts w:hint="eastAsia"/>
                <w:lang w:val="en-US" w:eastAsia="zh-CN"/>
              </w:rPr>
            </w:pPr>
            <w:r>
              <w:rPr>
                <w:rFonts w:hint="eastAsia"/>
                <w:lang w:val="en-US" w:eastAsia="zh-CN"/>
              </w:rPr>
              <w:t>重大质量事故为0。</w:t>
            </w:r>
          </w:p>
          <w:p>
            <w:pPr>
              <w:rPr>
                <w:rFonts w:hint="eastAsia"/>
                <w:lang w:val="en-US" w:eastAsia="zh-CN"/>
              </w:rPr>
            </w:pPr>
            <w:r>
              <w:rPr>
                <w:rFonts w:hint="eastAsia"/>
                <w:lang w:val="en-US" w:eastAsia="zh-CN"/>
              </w:rPr>
              <w:t>环境目标、指标</w:t>
            </w:r>
          </w:p>
          <w:p>
            <w:pPr>
              <w:rPr>
                <w:rFonts w:hint="eastAsia"/>
                <w:lang w:val="en-US" w:eastAsia="zh-CN"/>
              </w:rPr>
            </w:pPr>
            <w:r>
              <w:rPr>
                <w:rFonts w:hint="eastAsia"/>
                <w:lang w:val="en-US" w:eastAsia="zh-CN"/>
              </w:rPr>
              <w:t>1、固体废弃物分类回收率100%；</w:t>
            </w:r>
          </w:p>
          <w:p>
            <w:pPr>
              <w:rPr>
                <w:rFonts w:hint="eastAsia"/>
                <w:lang w:val="en-US" w:eastAsia="zh-CN"/>
              </w:rPr>
            </w:pPr>
            <w:r>
              <w:rPr>
                <w:rFonts w:hint="eastAsia"/>
                <w:lang w:val="en-US" w:eastAsia="zh-CN"/>
              </w:rPr>
              <w:t>2、杜绝火灾事故发生；</w:t>
            </w:r>
          </w:p>
          <w:p>
            <w:pPr>
              <w:rPr>
                <w:rFonts w:hint="eastAsia"/>
                <w:lang w:val="en-US" w:eastAsia="zh-CN"/>
              </w:rPr>
            </w:pPr>
            <w:r>
              <w:rPr>
                <w:rFonts w:hint="eastAsia"/>
                <w:lang w:val="en-US" w:eastAsia="zh-CN"/>
              </w:rPr>
              <w:t>3、节能降耗。</w:t>
            </w:r>
          </w:p>
          <w:p>
            <w:pPr>
              <w:rPr>
                <w:rFonts w:hint="eastAsia"/>
                <w:lang w:val="en-US" w:eastAsia="zh-CN"/>
              </w:rPr>
            </w:pPr>
            <w:r>
              <w:rPr>
                <w:rFonts w:hint="eastAsia"/>
                <w:lang w:val="en-US" w:eastAsia="zh-CN"/>
              </w:rPr>
              <w:t>职业健康安全目标、指标</w:t>
            </w:r>
          </w:p>
          <w:p>
            <w:pPr>
              <w:rPr>
                <w:rFonts w:hint="eastAsia"/>
                <w:lang w:val="en-US" w:eastAsia="zh-CN"/>
              </w:rPr>
            </w:pPr>
            <w:r>
              <w:rPr>
                <w:rFonts w:hint="eastAsia"/>
                <w:lang w:val="en-US" w:eastAsia="zh-CN"/>
              </w:rPr>
              <w:t>1、杜绝火灾触电事故发生；</w:t>
            </w:r>
          </w:p>
          <w:p>
            <w:pPr>
              <w:rPr>
                <w:rFonts w:hint="eastAsia"/>
                <w:lang w:val="en-US" w:eastAsia="zh-CN"/>
              </w:rPr>
            </w:pPr>
            <w:r>
              <w:rPr>
                <w:rFonts w:hint="eastAsia"/>
                <w:lang w:val="en-US" w:eastAsia="zh-CN"/>
              </w:rPr>
              <w:t>2、杜绝职业病发生。</w:t>
            </w:r>
          </w:p>
          <w:p>
            <w:pPr>
              <w:pStyle w:val="2"/>
              <w:rPr>
                <w:rFonts w:hint="default"/>
                <w:lang w:val="en-US" w:eastAsia="zh-CN"/>
              </w:rPr>
            </w:pPr>
            <w:r>
              <w:rPr>
                <w:rFonts w:hint="eastAsia"/>
                <w:lang w:val="en-US" w:eastAsia="zh-CN"/>
              </w:rPr>
              <w:t>无变化，并分解到各部门，详见各部门6.2记录。</w:t>
            </w:r>
          </w:p>
        </w:tc>
        <w:tc>
          <w:tcPr>
            <w:tcW w:w="1585" w:type="dxa"/>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变更的策划</w:t>
            </w:r>
          </w:p>
        </w:tc>
        <w:tc>
          <w:tcPr>
            <w:tcW w:w="960" w:type="dxa"/>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Q6.3 </w:t>
            </w:r>
          </w:p>
        </w:tc>
        <w:tc>
          <w:tcPr>
            <w:tcW w:w="10004" w:type="dxa"/>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●变更的策划：</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1、当企业发生重大变化（质量管理体系变更、产品转型、市场发生重大变化等），需要进行重新策划；</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2、组织通过管理评审、审核结果、过程绩效分析、监视测量分析评价结果、组织内外环境的变化、客户及利益相关方的需求、企业经营状况等进行识别确定体系变更的需求。</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3、明确了管评、内审未能达到预期效果、部门职责发生转变、企业重组、经营连续亏损等情况下，需要对体系进行变更。</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4、明确了变更评估及实施的流程，当发生变更时，需确定变更目的考虑变更的潜在后果，识别变更的风险和机遇，确定资源的可获得性并制定应对措施，责任和权限的分配或再分配。</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●对变更前、变更中、变更后的全过程实施监控。</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●组织应对变更的有效性进行评价，确保质量管理体系的完整性。</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●自</w:t>
            </w:r>
            <w:r>
              <w:rPr>
                <w:rFonts w:hint="eastAsia" w:cs="Times New Roman"/>
                <w:lang w:val="en-US" w:eastAsia="zh-CN"/>
              </w:rPr>
              <w:t>上次审核</w:t>
            </w:r>
            <w:r>
              <w:rPr>
                <w:rFonts w:hint="eastAsia" w:ascii="Times New Roman" w:hAnsi="Times New Roman" w:eastAsia="宋体" w:cs="Times New Roman"/>
                <w:lang w:val="en-US" w:eastAsia="zh-CN"/>
              </w:rPr>
              <w:t>以来，体系未发生变更，保持完整。</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imes New Roman" w:hAnsi="Times New Roman" w:cs="Times New Roman" w:eastAsiaTheme="majorEastAsia"/>
                <w:b w:val="0"/>
                <w:bCs w:val="0"/>
                <w:kern w:val="2"/>
                <w:sz w:val="21"/>
                <w:szCs w:val="21"/>
                <w:u w:val="none"/>
                <w:lang w:val="en-US" w:eastAsia="zh-CN" w:bidi="ar-SA"/>
              </w:rPr>
            </w:pPr>
            <w:r>
              <w:rPr>
                <w:rFonts w:hint="default" w:ascii="Times New Roman" w:hAnsi="Times New Roman" w:cs="Times New Roman" w:eastAsiaTheme="majorEastAsia"/>
                <w:b w:val="0"/>
                <w:bCs w:val="0"/>
                <w:sz w:val="21"/>
                <w:szCs w:val="21"/>
                <w:u w:val="none"/>
              </w:rPr>
              <w:t>资源提供</w:t>
            </w:r>
          </w:p>
        </w:tc>
        <w:tc>
          <w:tcPr>
            <w:tcW w:w="960" w:type="dxa"/>
            <w:vAlign w:val="center"/>
          </w:tcPr>
          <w:p>
            <w:pPr>
              <w:rPr>
                <w:rFonts w:hint="default" w:ascii="Times New Roman" w:hAnsi="Times New Roman" w:cs="Times New Roman"/>
              </w:rPr>
            </w:pPr>
            <w:r>
              <w:rPr>
                <w:rFonts w:hint="default" w:ascii="Times New Roman" w:hAnsi="Times New Roman" w:cs="Times New Roman"/>
                <w:lang w:val="en-US" w:eastAsia="zh-CN"/>
              </w:rPr>
              <w:t>Q</w:t>
            </w:r>
            <w:r>
              <w:rPr>
                <w:rFonts w:hint="default" w:ascii="Times New Roman" w:hAnsi="Times New Roman" w:cs="Times New Roman"/>
              </w:rPr>
              <w:t>7.1.1</w:t>
            </w:r>
          </w:p>
          <w:p>
            <w:pPr>
              <w:pStyle w:val="9"/>
              <w:rPr>
                <w:rFonts w:hint="eastAsia" w:ascii="Times New Roman" w:hAnsi="Times New Roman" w:cs="Times New Roman" w:eastAsiaTheme="majorEastAsia"/>
                <w:bCs/>
                <w:spacing w:val="10"/>
                <w:kern w:val="2"/>
                <w:sz w:val="21"/>
                <w:lang w:val="en-US" w:eastAsia="zh-CN" w:bidi="ar-SA"/>
              </w:rPr>
            </w:pPr>
            <w:r>
              <w:rPr>
                <w:rFonts w:hint="default" w:ascii="Times New Roman" w:hAnsi="Times New Roman" w:cs="Times New Roman" w:eastAsiaTheme="majorEastAsia"/>
                <w:b w:val="0"/>
                <w:bCs w:val="0"/>
                <w:sz w:val="21"/>
                <w:szCs w:val="21"/>
                <w:u w:val="none"/>
                <w:lang w:val="en-US" w:eastAsia="zh-CN"/>
              </w:rPr>
              <w:t>EO7.1</w:t>
            </w:r>
          </w:p>
        </w:tc>
        <w:tc>
          <w:tcPr>
            <w:tcW w:w="10004" w:type="dxa"/>
            <w:vAlign w:val="center"/>
          </w:tcPr>
          <w:p>
            <w:pPr>
              <w:numPr>
                <w:ilvl w:val="0"/>
                <w:numId w:val="1"/>
              </w:numPr>
              <w:rPr>
                <w:rFonts w:hint="default" w:ascii="Times New Roman" w:hAnsi="Times New Roman" w:cs="Times New Roman" w:eastAsiaTheme="majorEastAsia"/>
                <w:b w:val="0"/>
                <w:bCs w:val="0"/>
                <w:sz w:val="21"/>
                <w:szCs w:val="21"/>
                <w:u w:val="none"/>
              </w:rPr>
            </w:pPr>
            <w:r>
              <w:rPr>
                <w:rFonts w:hint="default" w:ascii="Times New Roman" w:hAnsi="Times New Roman" w:cs="Times New Roman" w:eastAsiaTheme="majorEastAsia"/>
                <w:b w:val="0"/>
                <w:bCs w:val="0"/>
                <w:sz w:val="21"/>
                <w:szCs w:val="21"/>
                <w:u w:val="none"/>
              </w:rPr>
              <w:t>公司为了实施管理体系运行并持续改进其有效性，增强顾客满意度，提供了各方面的资源保证。</w:t>
            </w:r>
          </w:p>
          <w:p>
            <w:pPr>
              <w:numPr>
                <w:ilvl w:val="0"/>
                <w:numId w:val="1"/>
              </w:numPr>
              <w:rPr>
                <w:rFonts w:hint="default" w:ascii="Times New Roman" w:hAnsi="Times New Roman" w:cs="Times New Roman" w:eastAsiaTheme="majorEastAsia"/>
                <w:b w:val="0"/>
                <w:bCs w:val="0"/>
                <w:sz w:val="21"/>
                <w:szCs w:val="21"/>
                <w:u w:val="none"/>
                <w:lang w:val="en-US" w:eastAsia="zh-CN"/>
              </w:rPr>
            </w:pPr>
            <w:r>
              <w:rPr>
                <w:rFonts w:hint="default" w:ascii="Times New Roman" w:hAnsi="Times New Roman" w:cs="Times New Roman" w:eastAsiaTheme="majorEastAsia"/>
                <w:b w:val="0"/>
                <w:bCs w:val="0"/>
                <w:sz w:val="21"/>
                <w:szCs w:val="21"/>
                <w:u w:val="none"/>
              </w:rPr>
              <w:t>人力资源：企业目前</w:t>
            </w:r>
            <w:r>
              <w:rPr>
                <w:rFonts w:hint="eastAsia" w:ascii="Times New Roman" w:hAnsi="Times New Roman" w:cs="Times New Roman" w:eastAsiaTheme="majorEastAsia"/>
                <w:b w:val="0"/>
                <w:bCs w:val="0"/>
                <w:sz w:val="21"/>
                <w:szCs w:val="21"/>
                <w:u w:val="none"/>
                <w:lang w:val="en-US" w:eastAsia="zh-CN"/>
              </w:rPr>
              <w:t>三体系覆盖的</w:t>
            </w:r>
            <w:r>
              <w:rPr>
                <w:rFonts w:hint="default" w:ascii="Times New Roman" w:hAnsi="Times New Roman" w:cs="Times New Roman" w:eastAsiaTheme="majorEastAsia"/>
                <w:b w:val="0"/>
                <w:bCs w:val="0"/>
                <w:sz w:val="21"/>
                <w:szCs w:val="21"/>
                <w:u w:val="none"/>
              </w:rPr>
              <w:t>在职员工</w:t>
            </w:r>
            <w:r>
              <w:rPr>
                <w:rFonts w:hint="eastAsia" w:ascii="Times New Roman" w:hAnsi="Times New Roman" w:cs="Times New Roman" w:eastAsiaTheme="majorEastAsia"/>
                <w:b w:val="0"/>
                <w:bCs w:val="0"/>
                <w:sz w:val="21"/>
                <w:szCs w:val="21"/>
                <w:u w:val="none"/>
                <w:lang w:val="en-US" w:eastAsia="zh-CN"/>
              </w:rPr>
              <w:t>39</w:t>
            </w:r>
            <w:r>
              <w:rPr>
                <w:rFonts w:hint="default" w:ascii="Times New Roman" w:hAnsi="Times New Roman" w:cs="Times New Roman" w:eastAsiaTheme="majorEastAsia"/>
                <w:b w:val="0"/>
                <w:bCs w:val="0"/>
                <w:sz w:val="21"/>
                <w:szCs w:val="21"/>
                <w:u w:val="none"/>
              </w:rPr>
              <w:t>人，</w:t>
            </w:r>
            <w:r>
              <w:rPr>
                <w:rFonts w:hint="default" w:ascii="Times New Roman" w:hAnsi="Times New Roman" w:cs="Times New Roman" w:eastAsiaTheme="majorEastAsia"/>
                <w:b w:val="0"/>
                <w:bCs w:val="0"/>
                <w:sz w:val="21"/>
                <w:szCs w:val="21"/>
                <w:u w:val="none"/>
                <w:lang w:val="en-US" w:eastAsia="zh-CN"/>
              </w:rPr>
              <w:t>管理人员</w:t>
            </w:r>
            <w:r>
              <w:rPr>
                <w:rFonts w:hint="eastAsia" w:ascii="Times New Roman" w:hAnsi="Times New Roman" w:cs="Times New Roman" w:eastAsiaTheme="majorEastAsia"/>
                <w:b w:val="0"/>
                <w:bCs w:val="0"/>
                <w:sz w:val="21"/>
                <w:szCs w:val="21"/>
                <w:u w:val="none"/>
                <w:lang w:val="en-US" w:eastAsia="zh-CN"/>
              </w:rPr>
              <w:t>10</w:t>
            </w:r>
            <w:r>
              <w:rPr>
                <w:rFonts w:hint="default" w:ascii="Times New Roman" w:hAnsi="Times New Roman" w:cs="Times New Roman" w:eastAsiaTheme="majorEastAsia"/>
                <w:b w:val="0"/>
                <w:bCs w:val="0"/>
                <w:sz w:val="21"/>
                <w:szCs w:val="21"/>
                <w:u w:val="none"/>
                <w:lang w:val="en-US" w:eastAsia="zh-CN"/>
              </w:rPr>
              <w:t>人，各项目</w:t>
            </w:r>
            <w:r>
              <w:rPr>
                <w:rFonts w:hint="eastAsia" w:ascii="Times New Roman" w:hAnsi="Times New Roman" w:cs="Times New Roman" w:eastAsiaTheme="majorEastAsia"/>
                <w:b w:val="0"/>
                <w:bCs w:val="0"/>
                <w:sz w:val="21"/>
                <w:szCs w:val="21"/>
                <w:u w:val="none"/>
                <w:lang w:val="en-US" w:eastAsia="zh-CN"/>
              </w:rPr>
              <w:t>技术</w:t>
            </w:r>
            <w:r>
              <w:rPr>
                <w:rFonts w:hint="default" w:ascii="Times New Roman" w:hAnsi="Times New Roman" w:cs="Times New Roman" w:eastAsiaTheme="majorEastAsia"/>
                <w:b w:val="0"/>
                <w:bCs w:val="0"/>
                <w:sz w:val="21"/>
                <w:szCs w:val="21"/>
                <w:u w:val="none"/>
                <w:lang w:val="en-US" w:eastAsia="zh-CN"/>
              </w:rPr>
              <w:t>人员均有相应资质，</w:t>
            </w:r>
            <w:r>
              <w:rPr>
                <w:rFonts w:hint="default" w:ascii="Times New Roman" w:hAnsi="Times New Roman" w:cs="Times New Roman" w:eastAsiaTheme="majorEastAsia"/>
                <w:b w:val="0"/>
                <w:bCs w:val="0"/>
                <w:sz w:val="21"/>
                <w:szCs w:val="21"/>
                <w:u w:val="none"/>
              </w:rPr>
              <w:t>职工队伍相对稳定，均在相关企业工作近5年，实践经验丰富</w:t>
            </w:r>
            <w:r>
              <w:rPr>
                <w:rFonts w:hint="eastAsia" w:ascii="Times New Roman" w:hAnsi="Times New Roman" w:cs="Times New Roman" w:eastAsiaTheme="majorEastAsia"/>
                <w:b w:val="0"/>
                <w:bCs w:val="0"/>
                <w:sz w:val="21"/>
                <w:szCs w:val="21"/>
                <w:u w:val="none"/>
                <w:lang w:eastAsia="zh-CN"/>
              </w:rPr>
              <w:t>。</w:t>
            </w:r>
            <w:r>
              <w:rPr>
                <w:rFonts w:hint="default" w:ascii="Times New Roman" w:hAnsi="Times New Roman" w:cs="Times New Roman" w:eastAsiaTheme="majorEastAsia"/>
                <w:b w:val="0"/>
                <w:bCs w:val="0"/>
                <w:sz w:val="21"/>
                <w:szCs w:val="21"/>
                <w:u w:val="none"/>
                <w:lang w:val="en-US" w:eastAsia="zh-CN"/>
              </w:rPr>
              <w:t xml:space="preserve">  </w:t>
            </w:r>
          </w:p>
          <w:p>
            <w:pPr>
              <w:numPr>
                <w:ilvl w:val="0"/>
                <w:numId w:val="1"/>
              </w:numPr>
              <w:rPr>
                <w:rFonts w:hint="default" w:ascii="Times New Roman" w:hAnsi="Times New Roman" w:cs="Times New Roman" w:eastAsiaTheme="majorEastAsia"/>
                <w:b w:val="0"/>
                <w:bCs w:val="0"/>
                <w:sz w:val="21"/>
                <w:szCs w:val="21"/>
                <w:u w:val="none"/>
              </w:rPr>
            </w:pPr>
            <w:r>
              <w:rPr>
                <w:rFonts w:hint="default" w:ascii="Times New Roman" w:hAnsi="Times New Roman" w:cs="Times New Roman" w:eastAsiaTheme="majorEastAsia"/>
                <w:b w:val="0"/>
                <w:bCs w:val="0"/>
                <w:sz w:val="21"/>
                <w:szCs w:val="21"/>
                <w:u w:val="none"/>
              </w:rPr>
              <w:t>基础设施：</w:t>
            </w:r>
            <w:r>
              <w:rPr>
                <w:rFonts w:hint="eastAsia" w:ascii="宋体" w:hAnsi="宋体" w:cs="宋体"/>
                <w:szCs w:val="21"/>
              </w:rPr>
              <w:t>位于石家庄高新区兴安大街</w:t>
            </w:r>
            <w:r>
              <w:rPr>
                <w:rFonts w:ascii="宋体" w:hAnsi="宋体" w:cs="宋体"/>
                <w:szCs w:val="21"/>
              </w:rPr>
              <w:t>153</w:t>
            </w:r>
            <w:r>
              <w:rPr>
                <w:rFonts w:hint="eastAsia" w:ascii="宋体" w:hAnsi="宋体" w:cs="宋体"/>
                <w:szCs w:val="21"/>
              </w:rPr>
              <w:t>号，租赁石家庄统一企业有限公司现有厂房，总面积</w:t>
            </w:r>
            <w:r>
              <w:rPr>
                <w:rFonts w:ascii="宋体" w:hAnsi="宋体" w:cs="宋体"/>
                <w:szCs w:val="21"/>
              </w:rPr>
              <w:t>20358</w:t>
            </w:r>
            <w:r>
              <w:rPr>
                <w:rFonts w:hint="eastAsia" w:ascii="宋体" w:hAnsi="宋体" w:cs="宋体"/>
                <w:szCs w:val="21"/>
              </w:rPr>
              <w:t>㎡</w:t>
            </w:r>
            <w:r>
              <w:rPr>
                <w:rFonts w:hint="eastAsia" w:ascii="Times New Roman" w:hAnsi="Times New Roman" w:cs="Times New Roman" w:eastAsiaTheme="majorEastAsia"/>
                <w:b w:val="0"/>
                <w:bCs w:val="0"/>
                <w:sz w:val="21"/>
                <w:szCs w:val="21"/>
                <w:u w:val="none"/>
                <w:lang w:val="en-US" w:eastAsia="zh-CN"/>
              </w:rPr>
              <w:t>，设有综合办公区，生产区试验区</w:t>
            </w:r>
            <w:r>
              <w:rPr>
                <w:rFonts w:hint="default" w:ascii="Times New Roman" w:hAnsi="Times New Roman" w:cs="Times New Roman" w:eastAsiaTheme="majorEastAsia"/>
                <w:b w:val="0"/>
                <w:bCs w:val="0"/>
                <w:sz w:val="21"/>
                <w:szCs w:val="21"/>
                <w:u w:val="none"/>
              </w:rPr>
              <w:t>，满足</w:t>
            </w:r>
            <w:r>
              <w:rPr>
                <w:rFonts w:hint="eastAsia" w:ascii="Times New Roman" w:hAnsi="Times New Roman" w:cs="Times New Roman" w:eastAsiaTheme="majorEastAsia"/>
                <w:b w:val="0"/>
                <w:bCs w:val="0"/>
                <w:sz w:val="21"/>
                <w:szCs w:val="21"/>
                <w:u w:val="none"/>
                <w:lang w:val="en-US" w:eastAsia="zh-CN"/>
              </w:rPr>
              <w:t>生产经营</w:t>
            </w:r>
            <w:r>
              <w:rPr>
                <w:rFonts w:hint="default" w:ascii="Times New Roman" w:hAnsi="Times New Roman" w:cs="Times New Roman" w:eastAsiaTheme="majorEastAsia"/>
                <w:b w:val="0"/>
                <w:bCs w:val="0"/>
                <w:sz w:val="21"/>
                <w:szCs w:val="21"/>
                <w:u w:val="none"/>
              </w:rPr>
              <w:t>需求。</w:t>
            </w:r>
          </w:p>
          <w:p>
            <w:pPr>
              <w:rPr>
                <w:rFonts w:hint="default" w:ascii="Times New Roman" w:hAnsi="Times New Roman" w:cs="Times New Roman" w:eastAsiaTheme="majorEastAsia"/>
                <w:b w:val="0"/>
                <w:bCs w:val="0"/>
                <w:sz w:val="21"/>
                <w:szCs w:val="21"/>
                <w:highlight w:val="yellow"/>
                <w:u w:val="none"/>
              </w:rPr>
            </w:pPr>
            <w:r>
              <w:rPr>
                <w:rFonts w:hint="default" w:ascii="Times New Roman" w:hAnsi="Times New Roman" w:cs="Times New Roman" w:eastAsiaTheme="majorEastAsia"/>
                <w:b w:val="0"/>
                <w:bCs w:val="0"/>
                <w:sz w:val="21"/>
                <w:szCs w:val="21"/>
                <w:u w:val="none"/>
              </w:rPr>
              <w:t>4、检验检测</w:t>
            </w:r>
            <w:r>
              <w:rPr>
                <w:rFonts w:hint="default" w:ascii="Times New Roman" w:hAnsi="Times New Roman" w:cs="Times New Roman" w:eastAsiaTheme="majorEastAsia"/>
                <w:b w:val="0"/>
                <w:bCs w:val="0"/>
                <w:sz w:val="21"/>
                <w:szCs w:val="21"/>
                <w:u w:val="none"/>
                <w:lang w:val="en-US" w:eastAsia="zh-CN"/>
              </w:rPr>
              <w:t>资源</w:t>
            </w:r>
            <w:r>
              <w:rPr>
                <w:rFonts w:hint="default" w:ascii="Times New Roman" w:hAnsi="Times New Roman" w:cs="Times New Roman" w:eastAsiaTheme="majorEastAsia"/>
                <w:b w:val="0"/>
                <w:bCs w:val="0"/>
                <w:sz w:val="21"/>
                <w:szCs w:val="21"/>
                <w:u w:val="none"/>
              </w:rPr>
              <w:t>：</w:t>
            </w:r>
            <w:r>
              <w:rPr>
                <w:rFonts w:hint="eastAsia" w:ascii="Times New Roman" w:hAnsi="Times New Roman" w:cs="Times New Roman" w:eastAsiaTheme="majorEastAsia"/>
                <w:b w:val="0"/>
                <w:bCs w:val="0"/>
                <w:sz w:val="21"/>
                <w:szCs w:val="21"/>
                <w:u w:val="none"/>
                <w:lang w:val="en-US" w:eastAsia="zh-CN"/>
              </w:rPr>
              <w:t>各种检测设备</w:t>
            </w:r>
            <w:r>
              <w:rPr>
                <w:rFonts w:hint="default" w:ascii="Times New Roman" w:hAnsi="Times New Roman" w:cs="Times New Roman" w:eastAsiaTheme="majorEastAsia"/>
                <w:b w:val="0"/>
                <w:bCs w:val="0"/>
                <w:color w:val="auto"/>
                <w:sz w:val="21"/>
                <w:szCs w:val="21"/>
                <w:u w:val="none"/>
              </w:rPr>
              <w:t>等，满足检验需求。</w:t>
            </w:r>
          </w:p>
          <w:p>
            <w:pPr>
              <w:rPr>
                <w:rFonts w:hint="default" w:ascii="Times New Roman" w:hAnsi="Times New Roman" w:cs="Times New Roman" w:eastAsiaTheme="majorEastAsia"/>
                <w:b w:val="0"/>
                <w:bCs w:val="0"/>
                <w:sz w:val="21"/>
                <w:szCs w:val="21"/>
                <w:u w:val="none"/>
              </w:rPr>
            </w:pPr>
            <w:r>
              <w:rPr>
                <w:rFonts w:hint="default" w:ascii="Times New Roman" w:hAnsi="Times New Roman" w:cs="Times New Roman" w:eastAsiaTheme="majorEastAsia"/>
                <w:b w:val="0"/>
                <w:bCs w:val="0"/>
                <w:sz w:val="21"/>
                <w:szCs w:val="21"/>
                <w:u w:val="none"/>
              </w:rPr>
              <w:t>5、资金支持：注册资金</w:t>
            </w:r>
            <w:r>
              <w:rPr>
                <w:rFonts w:hint="eastAsia" w:ascii="Times New Roman" w:hAnsi="Times New Roman" w:cs="Times New Roman" w:eastAsiaTheme="majorEastAsia"/>
                <w:b w:val="0"/>
                <w:bCs w:val="0"/>
                <w:sz w:val="21"/>
                <w:szCs w:val="21"/>
                <w:u w:val="none"/>
                <w:lang w:val="en-US" w:eastAsia="zh-CN"/>
              </w:rPr>
              <w:t>3</w:t>
            </w:r>
            <w:r>
              <w:rPr>
                <w:rFonts w:hint="default" w:ascii="Times New Roman" w:hAnsi="Times New Roman" w:cs="Times New Roman" w:eastAsiaTheme="majorEastAsia"/>
                <w:b w:val="0"/>
                <w:bCs w:val="0"/>
                <w:sz w:val="21"/>
                <w:szCs w:val="21"/>
                <w:u w:val="none"/>
                <w:lang w:val="en-US" w:eastAsia="zh-CN"/>
              </w:rPr>
              <w:t>00</w:t>
            </w:r>
            <w:r>
              <w:rPr>
                <w:rFonts w:hint="default" w:ascii="Times New Roman" w:hAnsi="Times New Roman" w:cs="Times New Roman" w:eastAsiaTheme="majorEastAsia"/>
                <w:b w:val="0"/>
                <w:bCs w:val="0"/>
                <w:sz w:val="21"/>
                <w:szCs w:val="21"/>
                <w:u w:val="none"/>
              </w:rPr>
              <w:t>万元。</w:t>
            </w:r>
          </w:p>
          <w:p>
            <w:pPr>
              <w:rPr>
                <w:rFonts w:hint="default" w:ascii="Times New Roman" w:hAnsi="Times New Roman" w:cs="Times New Roman" w:eastAsiaTheme="majorEastAsia"/>
                <w:b w:val="0"/>
                <w:bCs w:val="0"/>
                <w:sz w:val="21"/>
                <w:szCs w:val="21"/>
                <w:u w:val="none"/>
                <w:lang w:val="en-US" w:eastAsia="zh-CN"/>
              </w:rPr>
            </w:pPr>
            <w:r>
              <w:rPr>
                <w:rFonts w:hint="default" w:ascii="Times New Roman" w:hAnsi="Times New Roman" w:cs="Times New Roman" w:eastAsiaTheme="majorEastAsia"/>
                <w:b w:val="0"/>
                <w:bCs w:val="0"/>
                <w:sz w:val="21"/>
                <w:szCs w:val="21"/>
                <w:u w:val="none"/>
                <w:lang w:val="en-US" w:eastAsia="zh-CN"/>
              </w:rPr>
              <w:t>6、</w:t>
            </w:r>
            <w:r>
              <w:rPr>
                <w:rFonts w:hint="default" w:ascii="Times New Roman" w:hAnsi="Times New Roman" w:cs="Times New Roman" w:eastAsiaTheme="majorEastAsia"/>
                <w:b w:val="0"/>
                <w:bCs w:val="0"/>
                <w:sz w:val="21"/>
                <w:szCs w:val="21"/>
                <w:u w:val="none"/>
              </w:rPr>
              <w:t>外部资源</w:t>
            </w:r>
            <w:r>
              <w:rPr>
                <w:rFonts w:hint="default" w:ascii="Times New Roman" w:hAnsi="Times New Roman" w:cs="Times New Roman" w:eastAsiaTheme="majorEastAsia"/>
                <w:b w:val="0"/>
                <w:bCs w:val="0"/>
                <w:sz w:val="21"/>
                <w:szCs w:val="21"/>
                <w:u w:val="none"/>
                <w:lang w:eastAsia="zh-CN"/>
              </w:rPr>
              <w:t>：</w:t>
            </w:r>
            <w:r>
              <w:rPr>
                <w:rFonts w:hint="default" w:ascii="Times New Roman" w:hAnsi="Times New Roman" w:cs="Times New Roman" w:eastAsiaTheme="majorEastAsia"/>
                <w:b w:val="0"/>
                <w:bCs w:val="0"/>
                <w:sz w:val="21"/>
                <w:szCs w:val="21"/>
                <w:u w:val="none"/>
              </w:rPr>
              <w:t>如供方、客户等相关方</w:t>
            </w:r>
          </w:p>
          <w:p>
            <w:pPr>
              <w:rPr>
                <w:rFonts w:hint="eastAsia" w:ascii="Times New Roman" w:hAnsi="Times New Roman" w:cs="Times New Roman" w:eastAsiaTheme="majorEastAsia"/>
                <w:b w:val="0"/>
                <w:bCs w:val="0"/>
                <w:kern w:val="2"/>
                <w:sz w:val="21"/>
                <w:szCs w:val="21"/>
                <w:u w:val="none"/>
                <w:lang w:val="en-US" w:eastAsia="zh-CN" w:bidi="ar-SA"/>
              </w:rPr>
            </w:pPr>
            <w:r>
              <w:rPr>
                <w:rFonts w:hint="default" w:ascii="Times New Roman" w:hAnsi="Times New Roman" w:cs="Times New Roman" w:eastAsiaTheme="majorEastAsia"/>
                <w:b w:val="0"/>
                <w:bCs w:val="0"/>
                <w:sz w:val="21"/>
                <w:szCs w:val="21"/>
                <w:u w:val="none"/>
              </w:rPr>
              <w:sym w:font="Wingdings 2" w:char="F098"/>
            </w:r>
            <w:r>
              <w:rPr>
                <w:rFonts w:hint="default" w:ascii="Times New Roman" w:hAnsi="Times New Roman" w:cs="Times New Roman" w:eastAsiaTheme="majorEastAsia"/>
                <w:b w:val="0"/>
                <w:bCs w:val="0"/>
                <w:sz w:val="21"/>
                <w:szCs w:val="21"/>
                <w:u w:val="none"/>
              </w:rPr>
              <w:t>能够满足产品生产和服务需要。</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Times New Roman" w:hAnsi="Times New Roman" w:eastAsia="宋体" w:cs="Times New Roman"/>
                <w:kern w:val="2"/>
                <w:sz w:val="21"/>
                <w:szCs w:val="22"/>
                <w:lang w:val="en-US" w:eastAsia="zh-CN" w:bidi="ar-SA"/>
              </w:rPr>
            </w:pPr>
            <w:r>
              <w:rPr>
                <w:rFonts w:hint="eastAsia"/>
                <w:szCs w:val="22"/>
                <w:lang w:val="en-US" w:eastAsia="zh-CN"/>
              </w:rPr>
              <w:t>管理评审</w:t>
            </w:r>
          </w:p>
        </w:tc>
        <w:tc>
          <w:tcPr>
            <w:tcW w:w="960"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QE9.3</w:t>
            </w:r>
          </w:p>
        </w:tc>
        <w:tc>
          <w:tcPr>
            <w:tcW w:w="10004" w:type="dxa"/>
            <w:vAlign w:val="top"/>
          </w:tcPr>
          <w:p>
            <w:r>
              <w:rPr>
                <w:rFonts w:hint="eastAsia"/>
                <w:lang w:val="en-US" w:eastAsia="zh-CN"/>
              </w:rPr>
              <w:t>该公司编制了《</w:t>
            </w:r>
            <w:r>
              <w:rPr>
                <w:rFonts w:hint="eastAsia"/>
              </w:rPr>
              <w:t>管理评审控制程序</w:t>
            </w:r>
            <w:r>
              <w:rPr>
                <w:rFonts w:hint="eastAsia"/>
                <w:lang w:val="en-US" w:eastAsia="zh-CN"/>
              </w:rPr>
              <w:t>》，</w:t>
            </w:r>
            <w:r>
              <w:rPr>
                <w:rFonts w:hint="eastAsia"/>
              </w:rPr>
              <w:t>规定了管理评审要求：一年至少要进行一次管理评审。</w:t>
            </w:r>
          </w:p>
          <w:p>
            <w:pPr>
              <w:rPr>
                <w:rFonts w:hint="eastAsia"/>
                <w:lang w:val="en-US" w:eastAsia="zh-CN"/>
              </w:rPr>
            </w:pPr>
            <w:r>
              <w:rPr>
                <w:rFonts w:hint="eastAsia"/>
                <w:lang w:val="en-US" w:eastAsia="zh-CN"/>
              </w:rPr>
              <w:t>2022年11月5日组织了公司QEO管理体系的管理评审。</w:t>
            </w:r>
          </w:p>
          <w:p>
            <w:r>
              <w:rPr>
                <w:rFonts w:hint="eastAsia"/>
              </w:rPr>
              <w:t>查管理评审的计划：管理评</w:t>
            </w:r>
            <w:r>
              <w:t>审的时间：20</w:t>
            </w:r>
            <w:r>
              <w:rPr>
                <w:rFonts w:hint="eastAsia"/>
              </w:rPr>
              <w:t>2</w:t>
            </w:r>
            <w:r>
              <w:rPr>
                <w:rFonts w:hint="eastAsia"/>
                <w:lang w:val="en-US" w:eastAsia="zh-CN"/>
              </w:rPr>
              <w:t>2</w:t>
            </w:r>
            <w:r>
              <w:t>年</w:t>
            </w:r>
            <w:r>
              <w:rPr>
                <w:rFonts w:hint="eastAsia"/>
                <w:lang w:val="en-US" w:eastAsia="zh-CN"/>
              </w:rPr>
              <w:t>11</w:t>
            </w:r>
            <w:r>
              <w:t>月</w:t>
            </w:r>
            <w:r>
              <w:rPr>
                <w:rFonts w:hint="eastAsia"/>
                <w:lang w:val="en-US" w:eastAsia="zh-CN"/>
              </w:rPr>
              <w:t>5</w:t>
            </w:r>
            <w:r>
              <w:t>日</w:t>
            </w:r>
          </w:p>
          <w:p>
            <w:r>
              <w:t>编制：</w:t>
            </w:r>
            <w:r>
              <w:rPr>
                <w:rFonts w:hint="eastAsia"/>
                <w:lang w:val="en-US" w:eastAsia="zh-CN"/>
              </w:rPr>
              <w:t xml:space="preserve">吕美博 </w:t>
            </w:r>
            <w:r>
              <w:t xml:space="preserve"> 审批：</w:t>
            </w:r>
            <w:r>
              <w:rPr>
                <w:rFonts w:hint="eastAsia"/>
                <w:lang w:val="en-US" w:eastAsia="zh-CN"/>
              </w:rPr>
              <w:t xml:space="preserve">卓林双   </w:t>
            </w:r>
            <w:r>
              <w:t>日期：20</w:t>
            </w:r>
            <w:r>
              <w:rPr>
                <w:rFonts w:hint="eastAsia"/>
              </w:rPr>
              <w:t>2</w:t>
            </w:r>
            <w:r>
              <w:rPr>
                <w:rFonts w:hint="eastAsia"/>
                <w:lang w:val="en-US" w:eastAsia="zh-CN"/>
              </w:rPr>
              <w:t>2</w:t>
            </w:r>
            <w:r>
              <w:t>年</w:t>
            </w:r>
            <w:r>
              <w:rPr>
                <w:rFonts w:hint="eastAsia"/>
                <w:lang w:val="en-US" w:eastAsia="zh-CN"/>
              </w:rPr>
              <w:t>10</w:t>
            </w:r>
            <w:r>
              <w:t>月</w:t>
            </w:r>
            <w:r>
              <w:rPr>
                <w:rFonts w:hint="eastAsia"/>
                <w:lang w:val="en-US" w:eastAsia="zh-CN"/>
              </w:rPr>
              <w:t>29</w:t>
            </w:r>
            <w:r>
              <w:t>日</w:t>
            </w:r>
          </w:p>
          <w:p>
            <w:r>
              <w:t xml:space="preserve">主持人：总经理 </w:t>
            </w:r>
            <w:r>
              <w:rPr>
                <w:rFonts w:hint="eastAsia"/>
                <w:lang w:val="en-US" w:eastAsia="zh-CN"/>
              </w:rPr>
              <w:t>卓林双</w:t>
            </w:r>
            <w:r>
              <w:t xml:space="preserve">   参加人：领导层、各部门负责人 </w:t>
            </w:r>
          </w:p>
          <w:p>
            <w:r>
              <w:rPr>
                <w:rFonts w:hint="eastAsia"/>
                <w:lang w:val="en-US" w:eastAsia="zh-CN"/>
              </w:rPr>
              <w:t>以会议形式开展，有会议通知，评审会议签到表、体系运行情况报告（行政部、营销部、生产部、研发部、质量部、采购部分别进行汇报）、</w:t>
            </w:r>
            <w:r>
              <w:t>要求每个部门需提交的管理评审输入内容包含了标准条款的要求。时间安排符合程序文件的要求。</w:t>
            </w:r>
          </w:p>
          <w:p>
            <w:r>
              <w:t>查看管理评审输入的资料：</w:t>
            </w:r>
            <w:r>
              <w:rPr>
                <w:rFonts w:hint="eastAsia"/>
                <w:lang w:val="en-US" w:eastAsia="zh-CN"/>
              </w:rPr>
              <w:t>行政部体系运行报告（履职情况、</w:t>
            </w:r>
            <w:r>
              <w:rPr>
                <w:rFonts w:hint="eastAsia"/>
              </w:rPr>
              <w:t>目标的适宜性</w:t>
            </w:r>
            <w:r>
              <w:rPr>
                <w:rFonts w:hint="eastAsia"/>
                <w:lang w:val="en-US" w:eastAsia="zh-CN"/>
              </w:rPr>
              <w:t>及完成情况、体系运行情况、运行总结、</w:t>
            </w:r>
            <w:r>
              <w:rPr>
                <w:rFonts w:hint="eastAsia"/>
              </w:rPr>
              <w:t>合规性评价情况</w:t>
            </w:r>
            <w:r>
              <w:rPr>
                <w:rFonts w:hint="eastAsia"/>
                <w:lang w:eastAsia="zh-CN"/>
              </w:rPr>
              <w:t>、</w:t>
            </w:r>
            <w:r>
              <w:rPr>
                <w:rFonts w:hint="eastAsia"/>
              </w:rPr>
              <w:t>内审的不符合纠正及持续改进情况</w:t>
            </w:r>
            <w:r>
              <w:rPr>
                <w:rFonts w:hint="eastAsia"/>
                <w:lang w:eastAsia="zh-CN"/>
              </w:rPr>
              <w:t>）、</w:t>
            </w:r>
            <w:r>
              <w:rPr>
                <w:rFonts w:hint="eastAsia"/>
                <w:lang w:val="en-US" w:eastAsia="zh-CN"/>
              </w:rPr>
              <w:t>营销部体系运行报告（履职情况、目标完成情况等）、研发部三体系运行总结、生产部（车间）/设备部门三体系运行总结、质量部体系运行报告、采购部体系运行报告</w:t>
            </w:r>
            <w:r>
              <w:rPr>
                <w:rFonts w:hint="eastAsia"/>
              </w:rPr>
              <w:t>等。输入内容基本符合标准要求。</w:t>
            </w:r>
          </w:p>
          <w:p>
            <w:r>
              <w:rPr>
                <w:rFonts w:hint="eastAsia"/>
              </w:rPr>
              <w:t>提供管理评审会议记录：各部门负责人汇报了各部门的管理体系运行情况，管理者代表汇报了公司管理体系运行状况和内审不合格的整改情况，参会人员根据各部门的汇报情况展开讨论，总经理总结，同时就改进的决议作出了安排。</w:t>
            </w:r>
          </w:p>
          <w:p>
            <w:pPr>
              <w:rPr>
                <w:rFonts w:hint="eastAsia"/>
                <w:lang w:val="en-US" w:eastAsia="zh-CN"/>
              </w:rPr>
            </w:pPr>
            <w:r>
              <w:rPr>
                <w:rFonts w:hint="eastAsia"/>
                <w:lang w:val="en-US" w:eastAsia="zh-CN"/>
              </w:rPr>
              <w:t>形成了管理评审报告。总结如下：</w:t>
            </w:r>
          </w:p>
          <w:p>
            <w:pPr>
              <w:pStyle w:val="9"/>
              <w:rPr>
                <w:rFonts w:hint="default"/>
                <w:lang w:val="en-US" w:eastAsia="zh-CN"/>
              </w:rPr>
            </w:pPr>
            <w:r>
              <w:drawing>
                <wp:inline distT="0" distB="0" distL="114300" distR="114300">
                  <wp:extent cx="1365885" cy="1527810"/>
                  <wp:effectExtent l="0" t="0" r="571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365885" cy="1527810"/>
                          </a:xfrm>
                          <a:prstGeom prst="rect">
                            <a:avLst/>
                          </a:prstGeom>
                          <a:noFill/>
                          <a:ln>
                            <a:noFill/>
                          </a:ln>
                        </pic:spPr>
                      </pic:pic>
                    </a:graphicData>
                  </a:graphic>
                </wp:inline>
              </w:drawing>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r>
              <w:rPr>
                <w:rFonts w:hint="eastAsia" w:ascii="宋体" w:hAnsi="宋体" w:cs="宋体"/>
                <w:szCs w:val="22"/>
                <w:lang w:val="en-US" w:eastAsia="zh-CN"/>
              </w:rPr>
              <w:t>总则</w:t>
            </w:r>
            <w:r>
              <w:rPr>
                <w:rFonts w:hint="eastAsia" w:ascii="宋体" w:hAnsi="宋体" w:eastAsia="宋体" w:cs="宋体"/>
                <w:szCs w:val="22"/>
                <w:lang w:val="en-US" w:eastAsia="zh-CN"/>
              </w:rPr>
              <w:t>/持续改进</w:t>
            </w:r>
          </w:p>
        </w:tc>
        <w:tc>
          <w:tcPr>
            <w:tcW w:w="960" w:type="dxa"/>
          </w:tcPr>
          <w:p>
            <w:pPr>
              <w:rPr>
                <w:rFonts w:hint="default"/>
                <w:lang w:val="en-US" w:eastAsia="zh-CN"/>
              </w:rPr>
            </w:pPr>
            <w:r>
              <w:rPr>
                <w:rFonts w:hint="eastAsia"/>
                <w:lang w:val="en-US" w:eastAsia="zh-CN"/>
              </w:rPr>
              <w:t>QEO</w:t>
            </w:r>
          </w:p>
          <w:p>
            <w:pPr>
              <w:rPr>
                <w:rFonts w:hint="eastAsia"/>
                <w:lang w:val="en-US" w:eastAsia="zh-CN"/>
              </w:rPr>
            </w:pPr>
            <w:r>
              <w:rPr>
                <w:rFonts w:hint="eastAsia"/>
                <w:lang w:val="en-US" w:eastAsia="zh-CN"/>
              </w:rPr>
              <w:t>10.1/</w:t>
            </w:r>
          </w:p>
          <w:p>
            <w:r>
              <w:rPr>
                <w:rFonts w:hint="eastAsia"/>
                <w:lang w:val="en-US" w:eastAsia="zh-CN"/>
              </w:rPr>
              <w:t>10.3</w:t>
            </w:r>
          </w:p>
        </w:tc>
        <w:tc>
          <w:tcPr>
            <w:tcW w:w="10004" w:type="dxa"/>
          </w:tcPr>
          <w:p>
            <w:pPr>
              <w:pStyle w:val="9"/>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公司编制了《</w:t>
            </w:r>
            <w:r>
              <w:rPr>
                <w:rFonts w:hint="eastAsia" w:ascii="宋体" w:hAnsi="宋体" w:cs="宋体"/>
                <w:b w:val="0"/>
                <w:bCs w:val="0"/>
                <w:color w:val="auto"/>
                <w:szCs w:val="21"/>
              </w:rPr>
              <w:t>事</w:t>
            </w:r>
            <w:r>
              <w:rPr>
                <w:rFonts w:hint="eastAsia" w:ascii="宋体" w:hAnsi="宋体" w:cs="宋体"/>
                <w:b w:val="0"/>
                <w:bCs w:val="0"/>
                <w:color w:val="auto"/>
                <w:szCs w:val="21"/>
                <w:lang w:eastAsia="zh-CN"/>
              </w:rPr>
              <w:t>件</w:t>
            </w:r>
            <w:r>
              <w:rPr>
                <w:rFonts w:hint="eastAsia" w:ascii="宋体" w:hAnsi="宋体" w:cs="宋体"/>
                <w:b w:val="0"/>
                <w:bCs w:val="0"/>
                <w:color w:val="auto"/>
                <w:szCs w:val="21"/>
              </w:rPr>
              <w:t>调查、不符合、纠正及预防措施控制程序</w:t>
            </w:r>
            <w:r>
              <w:rPr>
                <w:rFonts w:hint="eastAsia" w:ascii="宋体" w:hAnsi="宋体" w:eastAsia="宋体" w:cs="宋体"/>
                <w:bCs w:val="0"/>
                <w:spacing w:val="0"/>
                <w:kern w:val="2"/>
                <w:sz w:val="21"/>
                <w:szCs w:val="21"/>
                <w:highlight w:val="none"/>
                <w:lang w:val="en-US" w:eastAsia="zh-CN" w:bidi="ar-SA"/>
              </w:rPr>
              <w:t>》和《</w:t>
            </w:r>
            <w:r>
              <w:rPr>
                <w:rFonts w:hint="eastAsia" w:ascii="宋体" w:hAnsi="宋体" w:cs="宋体"/>
                <w:b w:val="0"/>
                <w:bCs w:val="0"/>
                <w:color w:val="auto"/>
                <w:szCs w:val="21"/>
              </w:rPr>
              <w:t>改进控制程序</w:t>
            </w:r>
            <w:r>
              <w:rPr>
                <w:rFonts w:hint="eastAsia" w:ascii="宋体" w:hAnsi="宋体" w:eastAsia="宋体" w:cs="宋体"/>
                <w:bCs w:val="0"/>
                <w:spacing w:val="0"/>
                <w:kern w:val="2"/>
                <w:sz w:val="21"/>
                <w:szCs w:val="21"/>
                <w:highlight w:val="none"/>
                <w:lang w:val="en-US" w:eastAsia="zh-CN" w:bidi="ar-SA"/>
              </w:rPr>
              <w:t>》，对产生的不符合及问题进行纠正和改进。通过内审、管理评审评价QMS的符合性；通过产品的监视测量评价产品的符合性；</w:t>
            </w:r>
          </w:p>
          <w:p>
            <w:pPr>
              <w:pStyle w:val="9"/>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通过顾客满意度调查，反馈信息，改进产品质量；并通过日常数据分析，采取纠正、预防措施，达到持续改进的目的。</w:t>
            </w:r>
          </w:p>
          <w:p>
            <w:pPr>
              <w:pStyle w:val="9"/>
              <w:rPr>
                <w:rFonts w:hint="default" w:ascii="宋体" w:hAnsi="宋体" w:eastAsia="宋体" w:cs="宋体"/>
                <w:bCs w:val="0"/>
                <w:spacing w:val="0"/>
                <w:kern w:val="2"/>
                <w:sz w:val="21"/>
                <w:szCs w:val="21"/>
                <w:highlight w:val="none"/>
                <w:lang w:val="en-US" w:eastAsia="zh-CN" w:bidi="ar-SA"/>
              </w:rPr>
            </w:pPr>
            <w:r>
              <w:rPr>
                <w:rFonts w:hint="eastAsia" w:ascii="宋体" w:hAnsi="宋体" w:cs="宋体"/>
                <w:bCs w:val="0"/>
                <w:spacing w:val="0"/>
                <w:kern w:val="2"/>
                <w:sz w:val="21"/>
                <w:szCs w:val="21"/>
                <w:highlight w:val="none"/>
                <w:lang w:val="en-US" w:eastAsia="zh-CN" w:bidi="ar-SA"/>
              </w:rPr>
              <w:t>针对管理评审提出的问题制定了改进措施，实施中，下次审核关注。</w:t>
            </w:r>
          </w:p>
        </w:tc>
        <w:tc>
          <w:tcPr>
            <w:tcW w:w="1585" w:type="dxa"/>
          </w:tcPr>
          <w:p>
            <w:pPr>
              <w:rPr>
                <w:rFonts w:hint="eastAsia" w:eastAsia="宋体"/>
                <w:lang w:val="en-US" w:eastAsia="zh-CN"/>
              </w:rPr>
            </w:pPr>
            <w:r>
              <w:rPr>
                <w:rFonts w:hint="eastAsia"/>
                <w:lang w:val="en-US" w:eastAsia="zh-CN"/>
              </w:rPr>
              <w:t>y</w:t>
            </w:r>
          </w:p>
        </w:tc>
      </w:tr>
    </w:tbl>
    <w:p>
      <w:pPr>
        <w:pStyle w:val="5"/>
      </w:pPr>
      <w:r>
        <w:rPr>
          <w:rFonts w:hint="eastAsia"/>
        </w:rPr>
        <w:t>说明：不符合标注N</w:t>
      </w:r>
    </w:p>
    <w:p>
      <w:pPr>
        <w:pStyle w:val="5"/>
        <w:rPr>
          <w:rFonts w:hint="eastAsia"/>
        </w:rPr>
      </w:pPr>
    </w:p>
    <w:p>
      <w:pPr>
        <w:pStyle w:val="5"/>
        <w:rPr>
          <w:rFonts w:hint="eastAsia"/>
        </w:rPr>
      </w:pPr>
    </w:p>
    <w:p>
      <w:pPr>
        <w:pStyle w:val="5"/>
        <w:rPr>
          <w:rFonts w:hint="eastAsia"/>
        </w:rPr>
      </w:pPr>
    </w:p>
    <w:p>
      <w:pPr>
        <w:spacing w:line="480" w:lineRule="exact"/>
        <w:jc w:val="center"/>
        <w:rPr>
          <w:rFonts w:ascii="隶书" w:hAnsi="宋体" w:eastAsia="隶书"/>
          <w:bCs/>
          <w:color w:val="000000"/>
          <w:sz w:val="36"/>
          <w:szCs w:val="36"/>
        </w:rPr>
      </w:pPr>
      <w:bookmarkStart w:id="0" w:name="_GoBack"/>
      <w:bookmarkEnd w:id="0"/>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044"/>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76"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44"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行政部（含财务）    </w:t>
            </w:r>
            <w:r>
              <w:rPr>
                <w:rFonts w:hint="eastAsia"/>
                <w:sz w:val="24"/>
                <w:szCs w:val="24"/>
              </w:rPr>
              <w:t>主管领导：</w:t>
            </w:r>
            <w:r>
              <w:rPr>
                <w:rFonts w:hint="eastAsia"/>
                <w:sz w:val="24"/>
                <w:szCs w:val="24"/>
                <w:lang w:val="en-US" w:eastAsia="zh-CN"/>
              </w:rPr>
              <w:t xml:space="preserve">王佳楠    </w:t>
            </w:r>
            <w:r>
              <w:rPr>
                <w:rFonts w:hint="eastAsia"/>
                <w:sz w:val="24"/>
                <w:szCs w:val="24"/>
              </w:rPr>
              <w:t>陪同人员：</w:t>
            </w:r>
            <w:r>
              <w:rPr>
                <w:rFonts w:hint="eastAsia"/>
                <w:sz w:val="24"/>
                <w:szCs w:val="24"/>
                <w:lang w:val="en-US" w:eastAsia="zh-CN"/>
              </w:rPr>
              <w:t>吕美博</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76" w:type="dxa"/>
            <w:vMerge w:val="continue"/>
            <w:vAlign w:val="center"/>
          </w:tcPr>
          <w:p/>
        </w:tc>
        <w:tc>
          <w:tcPr>
            <w:tcW w:w="1044"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吉洁    </w:t>
            </w:r>
            <w:r>
              <w:rPr>
                <w:rFonts w:hint="eastAsia"/>
                <w:sz w:val="24"/>
                <w:szCs w:val="24"/>
              </w:rPr>
              <w:t>审核时间：</w:t>
            </w:r>
            <w:r>
              <w:rPr>
                <w:rFonts w:hint="eastAsia"/>
                <w:sz w:val="24"/>
                <w:szCs w:val="24"/>
                <w:lang w:val="en-US" w:eastAsia="zh-CN"/>
              </w:rPr>
              <w:t>2023.2.11</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76" w:type="dxa"/>
            <w:vMerge w:val="continue"/>
            <w:vAlign w:val="center"/>
          </w:tcPr>
          <w:p/>
        </w:tc>
        <w:tc>
          <w:tcPr>
            <w:tcW w:w="1044"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spacing w:line="360" w:lineRule="exact"/>
              <w:textAlignment w:val="auto"/>
              <w:rPr>
                <w:rFonts w:hint="default" w:eastAsia="宋体"/>
                <w:color w:val="auto"/>
                <w:sz w:val="21"/>
                <w:szCs w:val="21"/>
                <w:lang w:val="en-US" w:eastAsia="zh-CN"/>
              </w:rPr>
            </w:pPr>
            <w:r>
              <w:rPr>
                <w:rFonts w:hint="eastAsia"/>
                <w:sz w:val="24"/>
                <w:szCs w:val="24"/>
              </w:rPr>
              <w:t>审核条款：</w:t>
            </w:r>
            <w:r>
              <w:rPr>
                <w:rFonts w:hint="eastAsia"/>
                <w:color w:val="auto"/>
                <w:sz w:val="21"/>
                <w:szCs w:val="21"/>
                <w:lang w:val="en-US" w:eastAsia="zh-CN"/>
              </w:rPr>
              <w:t>Q5.3/6.2</w:t>
            </w:r>
            <w:r>
              <w:rPr>
                <w:rFonts w:hint="eastAsia"/>
                <w:color w:val="auto"/>
                <w:sz w:val="21"/>
                <w:szCs w:val="21"/>
              </w:rPr>
              <w:t>/</w:t>
            </w:r>
            <w:r>
              <w:rPr>
                <w:rFonts w:hint="eastAsia"/>
                <w:color w:val="auto"/>
                <w:sz w:val="21"/>
                <w:szCs w:val="21"/>
                <w:lang w:val="en-US" w:eastAsia="zh-CN"/>
              </w:rPr>
              <w:t>7.1.2/7.1.6/</w:t>
            </w:r>
            <w:r>
              <w:rPr>
                <w:rFonts w:hint="eastAsia"/>
                <w:color w:val="auto"/>
                <w:sz w:val="21"/>
                <w:szCs w:val="21"/>
              </w:rPr>
              <w:t>7.2/7.3/7.4/7.5</w:t>
            </w:r>
            <w:r>
              <w:rPr>
                <w:rFonts w:hint="eastAsia"/>
                <w:color w:val="auto"/>
                <w:sz w:val="21"/>
                <w:szCs w:val="21"/>
                <w:lang w:val="en-US" w:eastAsia="zh-CN"/>
              </w:rPr>
              <w:t>/9.1.1/9.2/</w:t>
            </w:r>
            <w:r>
              <w:rPr>
                <w:rFonts w:hint="eastAsia"/>
                <w:color w:val="auto"/>
                <w:sz w:val="21"/>
                <w:szCs w:val="21"/>
              </w:rPr>
              <w:t>10.2</w:t>
            </w:r>
            <w:r>
              <w:rPr>
                <w:rFonts w:hint="eastAsia"/>
                <w:color w:val="auto"/>
                <w:sz w:val="21"/>
                <w:szCs w:val="21"/>
                <w:lang w:eastAsia="zh-CN"/>
              </w:rPr>
              <w:t>；</w:t>
            </w:r>
          </w:p>
          <w:p>
            <w:pPr>
              <w:jc w:val="both"/>
              <w:rPr>
                <w:sz w:val="24"/>
                <w:szCs w:val="24"/>
              </w:rPr>
            </w:pPr>
            <w:r>
              <w:rPr>
                <w:rFonts w:hint="eastAsia"/>
                <w:color w:val="auto"/>
                <w:sz w:val="21"/>
                <w:szCs w:val="21"/>
                <w:lang w:val="en-US" w:eastAsia="zh-CN"/>
              </w:rPr>
              <w:t>EO5.3/6.2</w:t>
            </w:r>
            <w:r>
              <w:rPr>
                <w:rFonts w:hint="eastAsia"/>
                <w:color w:val="auto"/>
                <w:sz w:val="21"/>
                <w:szCs w:val="21"/>
              </w:rPr>
              <w:t>/6.1.2/6.1.3/</w:t>
            </w:r>
            <w:r>
              <w:rPr>
                <w:rFonts w:hint="default" w:ascii="Times New Roman" w:hAnsi="Times New Roman" w:eastAsia="宋体" w:cs="Times New Roman"/>
                <w:color w:val="auto"/>
                <w:sz w:val="21"/>
                <w:szCs w:val="21"/>
              </w:rPr>
              <w:t>8.1/8.2/9.</w:t>
            </w:r>
            <w:r>
              <w:rPr>
                <w:rFonts w:hint="eastAsia" w:ascii="Times New Roman" w:hAnsi="Times New Roman" w:eastAsia="宋体" w:cs="Times New Roman"/>
                <w:color w:val="auto"/>
                <w:sz w:val="21"/>
                <w:szCs w:val="21"/>
                <w:lang w:val="en-US" w:eastAsia="zh-CN"/>
              </w:rPr>
              <w:t>1.1/9.1.2/9.2/10.2</w:t>
            </w:r>
            <w:r>
              <w:rPr>
                <w:rFonts w:hint="eastAsia"/>
                <w:color w:val="auto"/>
                <w:sz w:val="21"/>
                <w:szCs w:val="21"/>
                <w:lang w:eastAsia="zh-CN"/>
              </w:rPr>
              <w:t>；</w:t>
            </w:r>
            <w:r>
              <w:rPr>
                <w:rFonts w:hint="eastAsia"/>
                <w:color w:val="auto"/>
                <w:sz w:val="21"/>
                <w:szCs w:val="21"/>
                <w:lang w:val="en-US" w:eastAsia="zh-CN"/>
              </w:rPr>
              <w:t>O5.4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076" w:type="dxa"/>
          </w:tcPr>
          <w:p>
            <w:pPr>
              <w:rPr>
                <w:rFonts w:hint="default" w:eastAsia="宋体"/>
                <w:lang w:val="en-US" w:eastAsia="zh-CN"/>
              </w:rPr>
            </w:pPr>
            <w:r>
              <w:rPr>
                <w:rFonts w:hint="eastAsia"/>
                <w:lang w:val="en-US" w:eastAsia="zh-CN"/>
              </w:rPr>
              <w:t>职责、权限</w:t>
            </w:r>
          </w:p>
        </w:tc>
        <w:tc>
          <w:tcPr>
            <w:tcW w:w="1044" w:type="dxa"/>
          </w:tcPr>
          <w:p>
            <w:pPr>
              <w:pStyle w:val="9"/>
              <w:rPr>
                <w:rFonts w:hint="eastAsia"/>
                <w:lang w:val="en-US" w:eastAsia="zh-CN"/>
              </w:rPr>
            </w:pPr>
            <w:r>
              <w:rPr>
                <w:rFonts w:hint="eastAsia"/>
                <w:lang w:val="en-US" w:eastAsia="zh-CN"/>
              </w:rPr>
              <w:t>QEO5.3</w:t>
            </w:r>
          </w:p>
          <w:p>
            <w:pPr>
              <w:pStyle w:val="9"/>
              <w:rPr>
                <w:rFonts w:hint="default"/>
                <w:lang w:val="en-US" w:eastAsia="zh-CN"/>
              </w:rPr>
            </w:pPr>
          </w:p>
        </w:tc>
        <w:tc>
          <w:tcPr>
            <w:tcW w:w="10004" w:type="dxa"/>
          </w:tcPr>
          <w:p>
            <w:pPr>
              <w:rPr>
                <w:rFonts w:hint="eastAsia"/>
                <w:lang w:val="en-US" w:eastAsia="zh-CN"/>
              </w:rPr>
            </w:pPr>
            <w:r>
              <w:rPr>
                <w:rFonts w:hint="eastAsia"/>
                <w:lang w:val="en-US" w:eastAsia="zh-CN"/>
              </w:rPr>
              <w:t>负责文件的管理；负责组织公司内审、管理评审的组织协调；负责公司管理体系的内、外部信息交流；负责公司员工体检工作；负责应急准备及响应方案的制定和实施；负责公司安保、垃圾（废弃物）的处置与管理工作；负责人员招聘、培训及考核；负责环境因素的识别、评价、更新管理，编制重大环境因素清单和重大危险因素 清单，建立和保持《环境因素识别与评价控制程序》；负责制定公司环境职业健康安全目标指标及管理方案、环境职业健康安全绩效测量、投资预算；负责环境职业健康安全管理体系持续改进和纠正及预防措施的落实。</w:t>
            </w:r>
          </w:p>
          <w:p>
            <w:pPr>
              <w:rPr>
                <w:rFonts w:hint="default"/>
                <w:lang w:val="en-US" w:eastAsia="zh-CN"/>
              </w:rPr>
            </w:pPr>
            <w:r>
              <w:rPr>
                <w:rFonts w:hint="eastAsia"/>
                <w:lang w:val="en-US" w:eastAsia="zh-CN"/>
              </w:rPr>
              <w:t>职责明确基本符合要求。</w:t>
            </w:r>
          </w:p>
        </w:tc>
        <w:tc>
          <w:tcPr>
            <w:tcW w:w="1585" w:type="dxa"/>
            <w:vAlign w:val="top"/>
          </w:tcPr>
          <w:p>
            <w:pPr>
              <w:spacing w:line="300" w:lineRule="exact"/>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076" w:type="dxa"/>
            <w:vAlign w:val="top"/>
          </w:tcPr>
          <w:p>
            <w:pPr>
              <w:rPr>
                <w:rFonts w:hint="eastAsia" w:ascii="Times New Roman" w:hAnsi="Times New Roman" w:eastAsia="宋体" w:cs="Times New Roman"/>
                <w:kern w:val="2"/>
                <w:sz w:val="21"/>
                <w:szCs w:val="21"/>
                <w:lang w:val="en-US" w:eastAsia="zh-CN" w:bidi="ar-SA"/>
              </w:rPr>
            </w:pPr>
            <w:r>
              <w:rPr>
                <w:rFonts w:hint="eastAsia"/>
                <w:sz w:val="21"/>
                <w:szCs w:val="21"/>
              </w:rPr>
              <w:t>目标</w:t>
            </w:r>
            <w:r>
              <w:rPr>
                <w:rFonts w:hint="eastAsia"/>
                <w:sz w:val="21"/>
                <w:szCs w:val="21"/>
                <w:lang w:val="en-US" w:eastAsia="zh-CN"/>
              </w:rPr>
              <w:t>指标</w:t>
            </w:r>
          </w:p>
        </w:tc>
        <w:tc>
          <w:tcPr>
            <w:tcW w:w="1044" w:type="dxa"/>
            <w:vAlign w:val="top"/>
          </w:tcPr>
          <w:p>
            <w:pPr>
              <w:rPr>
                <w:rFonts w:hint="default"/>
                <w:lang w:val="en-US" w:eastAsia="zh-CN"/>
              </w:rPr>
            </w:pPr>
            <w:r>
              <w:rPr>
                <w:rFonts w:hint="eastAsia"/>
                <w:lang w:val="en-US" w:eastAsia="zh-CN"/>
              </w:rPr>
              <w:t>QEO</w:t>
            </w:r>
          </w:p>
          <w:p>
            <w:pPr>
              <w:rPr>
                <w:rFonts w:hint="eastAsia" w:ascii="Times New Roman" w:hAnsi="Times New Roman" w:eastAsia="宋体" w:cs="Times New Roman"/>
                <w:kern w:val="2"/>
                <w:sz w:val="21"/>
                <w:lang w:val="en-US" w:eastAsia="zh-CN" w:bidi="ar-SA"/>
              </w:rPr>
            </w:pPr>
            <w:r>
              <w:rPr>
                <w:rFonts w:hint="eastAsia"/>
                <w:lang w:val="en-US" w:eastAsia="zh-CN"/>
              </w:rPr>
              <w:t>6.2</w:t>
            </w:r>
          </w:p>
        </w:tc>
        <w:tc>
          <w:tcPr>
            <w:tcW w:w="10004" w:type="dxa"/>
            <w:vAlign w:val="top"/>
          </w:tcPr>
          <w:p>
            <w:pPr>
              <w:rPr>
                <w:rFonts w:hint="default" w:cs="Times New Roman"/>
                <w:szCs w:val="22"/>
                <w:lang w:val="en-US" w:eastAsia="zh-CN"/>
              </w:rPr>
            </w:pPr>
            <w:r>
              <w:rPr>
                <w:rFonts w:hint="eastAsia" w:cs="Times New Roman"/>
                <w:szCs w:val="22"/>
                <w:lang w:val="en-US" w:eastAsia="zh-CN"/>
              </w:rPr>
              <w:t>行政部目标指标</w:t>
            </w:r>
          </w:p>
          <w:p>
            <w:pPr>
              <w:rPr>
                <w:rFonts w:hint="eastAsia" w:cs="Times New Roman"/>
                <w:szCs w:val="22"/>
                <w:lang w:val="zh-CN" w:eastAsia="zh-CN"/>
              </w:rPr>
            </w:pPr>
            <w:r>
              <w:rPr>
                <w:rFonts w:hint="eastAsia" w:cs="Times New Roman"/>
                <w:szCs w:val="22"/>
                <w:lang w:val="zh-CN" w:eastAsia="zh-CN"/>
              </w:rPr>
              <w:t>按培训计划，培训完成率≥98%</w:t>
            </w:r>
          </w:p>
          <w:p>
            <w:pPr>
              <w:rPr>
                <w:rFonts w:hint="eastAsia" w:cs="Times New Roman"/>
                <w:szCs w:val="22"/>
                <w:lang w:val="zh-CN" w:eastAsia="zh-CN"/>
              </w:rPr>
            </w:pPr>
            <w:r>
              <w:rPr>
                <w:rFonts w:hint="eastAsia" w:cs="Times New Roman"/>
                <w:szCs w:val="22"/>
                <w:lang w:val="zh-CN" w:eastAsia="zh-CN"/>
              </w:rPr>
              <w:t>影响产品质量人员体检率100%</w:t>
            </w:r>
          </w:p>
          <w:p>
            <w:pPr>
              <w:spacing w:after="0" w:line="241" w:lineRule="auto"/>
              <w:ind w:left="3"/>
            </w:pPr>
            <w:r>
              <w:rPr>
                <w:rFonts w:ascii="宋体" w:hAnsi="宋体" w:eastAsia="宋体" w:cs="宋体"/>
                <w:sz w:val="20"/>
              </w:rPr>
              <w:t>无“长明灯”“ 长流水”等资源浪费事件；</w:t>
            </w:r>
          </w:p>
          <w:p>
            <w:pPr>
              <w:pStyle w:val="9"/>
              <w:rPr>
                <w:rFonts w:ascii="宋体" w:hAnsi="宋体" w:eastAsia="宋体" w:cs="宋体"/>
                <w:sz w:val="20"/>
              </w:rPr>
            </w:pPr>
            <w:r>
              <w:rPr>
                <w:rFonts w:ascii="宋体" w:hAnsi="宋体" w:eastAsia="宋体" w:cs="宋体"/>
                <w:sz w:val="20"/>
              </w:rPr>
              <w:t>无</w:t>
            </w:r>
            <w:r>
              <w:rPr>
                <w:rFonts w:hint="eastAsia" w:ascii="宋体" w:hAnsi="宋体" w:eastAsia="宋体" w:cs="宋体"/>
                <w:sz w:val="20"/>
              </w:rPr>
              <w:t>化学品</w:t>
            </w:r>
            <w:r>
              <w:rPr>
                <w:rFonts w:ascii="宋体" w:hAnsi="宋体" w:eastAsia="宋体" w:cs="宋体"/>
                <w:sz w:val="20"/>
              </w:rPr>
              <w:t>泄漏事件发生。</w:t>
            </w:r>
          </w:p>
          <w:p>
            <w:pPr>
              <w:pStyle w:val="9"/>
              <w:rPr>
                <w:rFonts w:hint="eastAsia" w:ascii="宋体" w:hAnsi="宋体" w:eastAsia="宋体" w:cs="宋体"/>
                <w:sz w:val="20"/>
                <w:lang w:val="zh-CN" w:eastAsia="zh-CN"/>
              </w:rPr>
            </w:pPr>
            <w:r>
              <w:rPr>
                <w:rFonts w:ascii="宋体" w:hAnsi="宋体" w:eastAsia="宋体" w:cs="宋体"/>
                <w:sz w:val="20"/>
              </w:rPr>
              <w:t>火灾、爆炸事故为</w:t>
            </w:r>
            <w:r>
              <w:rPr>
                <w:rFonts w:ascii="Times New Roman" w:hAnsi="Times New Roman" w:eastAsia="Times New Roman" w:cs="Times New Roman"/>
                <w:sz w:val="20"/>
              </w:rPr>
              <w:t>0</w:t>
            </w:r>
            <w:r>
              <w:rPr>
                <w:rFonts w:ascii="宋体" w:hAnsi="宋体" w:eastAsia="宋体" w:cs="宋体"/>
                <w:sz w:val="20"/>
              </w:rPr>
              <w:t>；</w:t>
            </w:r>
          </w:p>
          <w:p>
            <w:pPr>
              <w:rPr>
                <w:rFonts w:ascii="宋体" w:hAnsi="宋体" w:cs="宋体"/>
                <w:szCs w:val="21"/>
              </w:rPr>
            </w:pPr>
            <w:r>
              <w:rPr>
                <w:rFonts w:hint="eastAsia" w:ascii="宋体" w:hAnsi="宋体" w:cs="宋体"/>
                <w:szCs w:val="21"/>
              </w:rPr>
              <w:t>2022年2-4季度，目标均已完成，基本达到目标要求。</w:t>
            </w:r>
          </w:p>
          <w:p>
            <w:pPr>
              <w:rPr>
                <w:rFonts w:hint="eastAsia" w:ascii="宋体" w:hAnsi="Times New Roman" w:eastAsia="宋体" w:cs="Times New Roman"/>
                <w:color w:val="FF0000"/>
                <w:kern w:val="2"/>
                <w:sz w:val="24"/>
                <w:szCs w:val="24"/>
                <w:lang w:val="en-US" w:eastAsia="zh-CN" w:bidi="ar"/>
              </w:rPr>
            </w:pPr>
            <w:r>
              <w:rPr>
                <w:rFonts w:hint="eastAsia" w:ascii="宋体" w:hAnsi="宋体" w:cs="宋体"/>
                <w:szCs w:val="21"/>
              </w:rPr>
              <w:t>2023年度目标设置情况与2022年度相同，目前未考核。</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076" w:type="dxa"/>
          </w:tcPr>
          <w:p>
            <w:pPr>
              <w:rPr>
                <w:rFonts w:hint="default" w:eastAsia="宋体"/>
                <w:sz w:val="21"/>
                <w:szCs w:val="21"/>
                <w:lang w:val="en-US" w:eastAsia="zh-CN"/>
              </w:rPr>
            </w:pPr>
            <w:r>
              <w:rPr>
                <w:rFonts w:hint="eastAsia" w:eastAsia="宋体"/>
                <w:sz w:val="21"/>
                <w:szCs w:val="21"/>
                <w:lang w:val="en-US" w:eastAsia="zh-CN"/>
              </w:rPr>
              <w:t>人力资源管理、人员能力/意识</w:t>
            </w:r>
          </w:p>
        </w:tc>
        <w:tc>
          <w:tcPr>
            <w:tcW w:w="1044" w:type="dxa"/>
          </w:tcPr>
          <w:p>
            <w:pPr>
              <w:rPr>
                <w:rFonts w:hint="eastAsia"/>
                <w:highlight w:val="none"/>
                <w:lang w:val="en-US" w:eastAsia="zh-CN"/>
              </w:rPr>
            </w:pPr>
            <w:r>
              <w:rPr>
                <w:rFonts w:hint="eastAsia"/>
                <w:highlight w:val="none"/>
                <w:lang w:val="en-US" w:eastAsia="zh-CN"/>
              </w:rPr>
              <w:t>Q7.1.2</w:t>
            </w:r>
          </w:p>
          <w:p>
            <w:pPr>
              <w:rPr>
                <w:rFonts w:hint="default" w:eastAsia="宋体"/>
                <w:lang w:val="en-US" w:eastAsia="zh-CN"/>
              </w:rPr>
            </w:pPr>
            <w:r>
              <w:rPr>
                <w:rFonts w:hint="eastAsia" w:eastAsia="宋体"/>
                <w:highlight w:val="none"/>
                <w:lang w:val="en-US" w:eastAsia="zh-CN"/>
              </w:rPr>
              <w:t>QE</w:t>
            </w:r>
            <w:r>
              <w:rPr>
                <w:rFonts w:hint="eastAsia"/>
                <w:highlight w:val="none"/>
                <w:lang w:val="en-US" w:eastAsia="zh-CN"/>
              </w:rPr>
              <w:t>O</w:t>
            </w:r>
            <w:r>
              <w:rPr>
                <w:rFonts w:hint="eastAsia" w:eastAsia="宋体"/>
                <w:highlight w:val="none"/>
                <w:lang w:val="en-US" w:eastAsia="zh-CN"/>
              </w:rPr>
              <w:t>7.2</w:t>
            </w:r>
          </w:p>
        </w:tc>
        <w:tc>
          <w:tcPr>
            <w:tcW w:w="10004" w:type="dxa"/>
          </w:tcPr>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行政部是人力资源的主管部门，其他部门配合管理和控制。办公室各部门培训需求计划，负责确定全公司人员的培训需求，编制年度培训工作计划，报负责人审批后按计划执行。具体实施方法按公司的《人力资源控制程序》执行。</w:t>
            </w:r>
          </w:p>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 xml:space="preserve">公司人力资源管理包括：提出人才发展计划及措施，确定“人力资源规划”编制内容；进行岗位工作设计，制定岗位说明书，确定岗位职责、任职要求或能力素质标准；确定员工绩效考核内容、标准、方式、频度，绩效考核结果作为人力资源管理评价和改进的依据；员工选聘包括招聘、录用、晋升、岗位调配等，部门经理、产品及服务质量检查人员等执业资格和持证上岗应符合国家相关法律法规的要求；制定“员工培训计划”并实施。保存“培训相应的记录”；员工权益和满意度管理包括员工工作环境、福利、员工权益保障等，对员工个性化支持，定期测量员工满意度并改进；建立《人力资源发展规划》。 </w:t>
            </w:r>
          </w:p>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提供“员工岗位能力评价表”，对公司员工进行了评价，符合要求。</w:t>
            </w:r>
          </w:p>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提供“202</w:t>
            </w:r>
            <w:r>
              <w:rPr>
                <w:rFonts w:hint="eastAsia" w:cs="Times New Roman"/>
                <w:szCs w:val="22"/>
                <w:lang w:val="en-US" w:eastAsia="zh-CN"/>
              </w:rPr>
              <w:t>2</w:t>
            </w:r>
            <w:r>
              <w:rPr>
                <w:rFonts w:hint="eastAsia" w:ascii="Times New Roman" w:hAnsi="Times New Roman" w:eastAsia="宋体" w:cs="Times New Roman"/>
                <w:szCs w:val="22"/>
                <w:lang w:val="en-US" w:eastAsia="zh-CN"/>
              </w:rPr>
              <w:t>年度培训计划”包括：食品相关法律法规；职业健康知识及法规；体系知识培训、环保法规、微生物基础知识、相关操作规程、质量管理制度、环保相关知识等；</w:t>
            </w:r>
          </w:p>
          <w:p>
            <w:pPr>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查内部培训记录，提供《培训记录表》</w:t>
            </w:r>
          </w:p>
          <w:p>
            <w:pPr>
              <w:rPr>
                <w:rFonts w:hint="eastAsia" w:ascii="Times New Roman" w:hAnsi="Times New Roman" w:eastAsia="宋体" w:cs="Times New Roman"/>
                <w:szCs w:val="22"/>
                <w:lang w:val="en-US" w:eastAsia="zh-CN"/>
              </w:rPr>
            </w:pPr>
            <w:r>
              <w:drawing>
                <wp:inline distT="0" distB="0" distL="114300" distR="114300">
                  <wp:extent cx="2559685" cy="1743075"/>
                  <wp:effectExtent l="0" t="0" r="571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2559685" cy="17430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2250" cy="2091690"/>
                  <wp:effectExtent l="0" t="0" r="6350"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492250" cy="20916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84935" cy="2186305"/>
                  <wp:effectExtent l="0" t="0" r="12065"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1384935" cy="2186305"/>
                          </a:xfrm>
                          <a:prstGeom prst="rect">
                            <a:avLst/>
                          </a:prstGeom>
                          <a:noFill/>
                          <a:ln>
                            <a:noFill/>
                          </a:ln>
                        </pic:spPr>
                      </pic:pic>
                    </a:graphicData>
                  </a:graphic>
                </wp:inline>
              </w:drawing>
            </w:r>
          </w:p>
          <w:p>
            <w:pPr>
              <w:rPr>
                <w:rFonts w:hint="default" w:cs="宋体"/>
                <w:lang w:val="en-US" w:eastAsia="zh-CN"/>
              </w:rPr>
            </w:pPr>
            <w:r>
              <w:rPr>
                <w:rFonts w:hint="eastAsia" w:ascii="Times New Roman" w:hAnsi="Times New Roman" w:eastAsia="宋体" w:cs="Times New Roman"/>
                <w:szCs w:val="22"/>
                <w:lang w:val="en-US" w:eastAsia="zh-CN"/>
              </w:rPr>
              <w:t>主要通过培训提高岗位作业水平明确各岗位要求，自身工作对职业健康安全环保目标的影响，以及如何通过培训和互相交流提高职业健康安全环境绩效等。</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207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意识</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QEO7.3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通过下发文件、能力提升培训、会议传达、口头传达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076"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沟通、参与和协商</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员工的参与和协商</w:t>
            </w:r>
          </w:p>
        </w:tc>
        <w:tc>
          <w:tcPr>
            <w:tcW w:w="104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QEO</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7.4</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O5.4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王主任介绍，已建立了良好的沟通机制。管理者代表是公司内部和外部信息交流和沟通的负责人。综合技术部是公司内部和外部信息交流和协商的归口部门。负责与上级主管部门及周边单位的信息交流。主要有：</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--与当地环保部门直接联系，通报公司的环境监测业绩结果，报告公司的污染物排放的控制情况，主要是危废的处理情况；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--接受当地公安机关的危化品的采购使用保管活动的监管；</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--接受当地安全机关的安全生产安全作业活动的监管；</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--公司内每周召开经营例会，研究总结质量、环境、职业健康安全方面的情况及决策；不定期召开质量、环境、职业健康安全方面的专题会议，研究布置专项工作内容；</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--公司通过临时会议、文件发布、电话、网络、面谈、现场沟通交流、业务通报等形式交流沟通质量、环境、职业健康安全方面的情况信息，相关员工都可获得。</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全体员工大会选举，并公司任命李海东同志为公司安全事务代表，代表全体员工直接向总经理反映职业健康安全方面的相关情况，反映员工的意见。对事件的调查、处理，职工劳动防护的改善事宜进行协商交流；参与职业安全健康方针、目标、指标、管理方案的制定工作，负责内部员工职业健康安全信息的交流与沟通，参参与安全事故的处理等。</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与李海东</w:t>
            </w:r>
            <w:r>
              <w:rPr>
                <w:rFonts w:hint="eastAsia" w:ascii="Times New Roman" w:hAnsi="Times New Roman" w:cs="Times New Roman"/>
                <w:color w:val="auto"/>
                <w:sz w:val="21"/>
                <w:szCs w:val="21"/>
                <w:lang w:val="en-GB" w:eastAsia="zh-CN"/>
              </w:rPr>
              <w:t>现场沟通，</w:t>
            </w:r>
            <w:r>
              <w:rPr>
                <w:rFonts w:hint="eastAsia" w:ascii="Times New Roman" w:hAnsi="Times New Roman" w:cs="Times New Roman"/>
                <w:color w:val="auto"/>
                <w:sz w:val="21"/>
                <w:szCs w:val="21"/>
                <w:lang w:val="en-US" w:eastAsia="zh-CN"/>
              </w:rPr>
              <w:t>清楚自己作为安全事务代表的职责。</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通过员工代表的积极争取，员工的劳保用品得到合理配备并及时发放；每年为一线岗位人员体检一次；员工保险得到按时交纳等。</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076" w:type="dxa"/>
          </w:tcPr>
          <w:p>
            <w:pPr>
              <w:rPr>
                <w:rFonts w:hint="default" w:eastAsia="宋体"/>
                <w:sz w:val="21"/>
                <w:szCs w:val="21"/>
                <w:highlight w:val="none"/>
                <w:lang w:val="en-US" w:eastAsia="zh-CN"/>
              </w:rPr>
            </w:pPr>
            <w:r>
              <w:rPr>
                <w:rFonts w:hint="eastAsia"/>
                <w:sz w:val="21"/>
                <w:szCs w:val="21"/>
                <w:highlight w:val="none"/>
                <w:lang w:val="en-US" w:eastAsia="zh-CN"/>
              </w:rPr>
              <w:t>环境因素、危险源识别，及控制措施</w:t>
            </w:r>
          </w:p>
        </w:tc>
        <w:tc>
          <w:tcPr>
            <w:tcW w:w="1044" w:type="dxa"/>
          </w:tcPr>
          <w:p>
            <w:pPr>
              <w:rPr>
                <w:rFonts w:hint="default"/>
                <w:highlight w:val="none"/>
                <w:lang w:val="en-US" w:eastAsia="zh-CN"/>
              </w:rPr>
            </w:pPr>
            <w:r>
              <w:rPr>
                <w:rFonts w:hint="eastAsia"/>
                <w:highlight w:val="none"/>
                <w:lang w:val="en-US" w:eastAsia="zh-CN"/>
              </w:rPr>
              <w:t>EO6.1.2/6.1.4</w:t>
            </w:r>
          </w:p>
        </w:tc>
        <w:tc>
          <w:tcPr>
            <w:tcW w:w="10004" w:type="dxa"/>
          </w:tcPr>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编制了《</w:t>
            </w:r>
            <w:r>
              <w:rPr>
                <w:rFonts w:hint="eastAsia" w:ascii="Times New Roman" w:hAnsi="Times New Roman" w:eastAsia="宋体" w:cs="Times New Roman"/>
                <w:szCs w:val="22"/>
                <w:lang w:val="zh-CN" w:eastAsia="zh-CN"/>
              </w:rPr>
              <w:t>环境因素识别与评价控制程序</w:t>
            </w:r>
            <w:r>
              <w:rPr>
                <w:rFonts w:hint="eastAsia" w:ascii="Times New Roman" w:hAnsi="Times New Roman" w:eastAsia="宋体" w:cs="Times New Roman"/>
                <w:szCs w:val="22"/>
                <w:lang w:val="en-US" w:eastAsia="zh-CN"/>
              </w:rPr>
              <w:t>》按照相关程序执行提供《环境因素识别排查表》识别了办公区、生产部、检验部等部门，包括办公区的环境因素包括：生活污水的排放，生活垃圾的排放、废墨盒废硒鼓的排放、废旧电池的产生、资源的利用等；生产部、检验室的环境因素包括：生产生活废水的排放、固废的排放、噪声的排放、能源使用、原材料消耗等；</w:t>
            </w:r>
          </w:p>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提供《重要环境因素清单》包括固废的排放、噪声的排放、废气的排放、潜在火灾的发生。</w:t>
            </w:r>
          </w:p>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提供《危险源调查表》，包括办公、生产、试验、仓储。</w:t>
            </w:r>
          </w:p>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评出不可接受风险：分别为潜在爆炸、火灾；人员触电；化学品泄露导致的中毒。</w:t>
            </w:r>
          </w:p>
          <w:p>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制定了环境因素、危险源识别控制措施方案</w:t>
            </w:r>
          </w:p>
        </w:tc>
        <w:tc>
          <w:tcPr>
            <w:tcW w:w="1585" w:type="dxa"/>
          </w:tcPr>
          <w:p>
            <w:pPr>
              <w:rPr>
                <w:rFonts w:hint="default"/>
                <w:lang w:val="en-US" w:eastAsia="zh-CN"/>
              </w:rPr>
            </w:pPr>
            <w:r>
              <w:rPr>
                <w:rFonts w:hint="eastAsia"/>
                <w:lang w:val="en-US" w:eastAsia="zh-CN"/>
              </w:rPr>
              <w:t>y</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076" w:type="dxa"/>
            <w:vAlign w:val="top"/>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b w:val="0"/>
                <w:bCs/>
                <w:sz w:val="21"/>
                <w:szCs w:val="21"/>
                <w:lang w:val="en-US" w:eastAsia="zh-CN"/>
              </w:rPr>
              <w:t>法律法规及其它要求/合规性评价</w:t>
            </w:r>
          </w:p>
        </w:tc>
        <w:tc>
          <w:tcPr>
            <w:tcW w:w="1044" w:type="dxa"/>
            <w:vAlign w:val="top"/>
          </w:tcPr>
          <w:p>
            <w:pPr>
              <w:rPr>
                <w:rFonts w:hint="eastAsia"/>
                <w:lang w:val="en-US" w:eastAsia="zh-CN"/>
              </w:rPr>
            </w:pPr>
            <w:r>
              <w:rPr>
                <w:rFonts w:hint="eastAsia"/>
                <w:lang w:val="en-US" w:eastAsia="zh-CN"/>
              </w:rPr>
              <w:t>EO6.1.3/</w:t>
            </w:r>
          </w:p>
          <w:p>
            <w:pPr>
              <w:rPr>
                <w:rFonts w:hint="eastAsia" w:ascii="Times New Roman" w:hAnsi="Times New Roman" w:eastAsia="宋体" w:cs="Times New Roman"/>
                <w:kern w:val="2"/>
                <w:sz w:val="21"/>
                <w:lang w:val="en-US" w:eastAsia="zh-CN" w:bidi="ar-SA"/>
              </w:rPr>
            </w:pPr>
            <w:r>
              <w:rPr>
                <w:rFonts w:hint="eastAsia"/>
                <w:lang w:val="en-US" w:eastAsia="zh-CN"/>
              </w:rPr>
              <w:t>9.1.2</w:t>
            </w:r>
          </w:p>
        </w:tc>
        <w:tc>
          <w:tcPr>
            <w:tcW w:w="10004" w:type="dxa"/>
            <w:vAlign w:val="top"/>
          </w:tcPr>
          <w:p>
            <w:pPr>
              <w:rPr>
                <w:rFonts w:hint="eastAsia"/>
                <w:lang w:eastAsia="zh-CN"/>
              </w:rPr>
            </w:pPr>
            <w:r>
              <w:rPr>
                <w:rFonts w:hint="eastAsia"/>
              </w:rPr>
              <w:t>中华人民共和国劳动合同法；中华人民共和国职业病防治法；中华人民共和国安全生产法；中华人民共和国</w:t>
            </w:r>
            <w:r>
              <w:rPr>
                <w:rFonts w:hint="eastAsia"/>
                <w:lang w:val="en-US" w:eastAsia="zh-CN"/>
              </w:rPr>
              <w:t>食品安全</w:t>
            </w:r>
            <w:r>
              <w:rPr>
                <w:rFonts w:hint="eastAsia"/>
              </w:rPr>
              <w:t>法；中华人民共和国</w:t>
            </w:r>
            <w:r>
              <w:rPr>
                <w:rFonts w:hint="eastAsia"/>
                <w:lang w:val="en-US" w:eastAsia="zh-CN"/>
              </w:rPr>
              <w:t>食品安全实施条例</w:t>
            </w:r>
            <w:r>
              <w:rPr>
                <w:rFonts w:hint="eastAsia"/>
              </w:rPr>
              <w:t>；中华人民共和国消防法、新工伤保险条例；河北省消防条例；GB 7101</w:t>
            </w:r>
            <w:r>
              <w:rPr>
                <w:rFonts w:hint="eastAsia"/>
                <w:lang w:val="en-US" w:eastAsia="zh-CN"/>
              </w:rPr>
              <w:t xml:space="preserve">食品安全国家标准 </w:t>
            </w:r>
            <w:r>
              <w:rPr>
                <w:rFonts w:hint="eastAsia"/>
              </w:rPr>
              <w:t>饮料</w:t>
            </w:r>
            <w:r>
              <w:rPr>
                <w:rFonts w:hint="eastAsia"/>
                <w:lang w:eastAsia="zh-CN"/>
              </w:rPr>
              <w:t>、GB</w:t>
            </w:r>
            <w:r>
              <w:rPr>
                <w:rFonts w:hint="eastAsia"/>
                <w:lang w:val="en-US" w:eastAsia="zh-CN"/>
              </w:rPr>
              <w:t>/</w:t>
            </w:r>
            <w:r>
              <w:rPr>
                <w:rFonts w:hint="eastAsia"/>
                <w:lang w:eastAsia="zh-CN"/>
              </w:rPr>
              <w:t>T 29602固体饮料、GB</w:t>
            </w:r>
            <w:r>
              <w:rPr>
                <w:rFonts w:hint="eastAsia"/>
                <w:lang w:val="en-US" w:eastAsia="zh-CN"/>
              </w:rPr>
              <w:t>/</w:t>
            </w:r>
            <w:r>
              <w:rPr>
                <w:rFonts w:hint="eastAsia"/>
                <w:lang w:eastAsia="zh-CN"/>
              </w:rPr>
              <w:t>T 31326植物饮料；Q</w:t>
            </w:r>
            <w:r>
              <w:rPr>
                <w:rFonts w:hint="eastAsia"/>
                <w:lang w:val="en-US" w:eastAsia="zh-CN"/>
              </w:rPr>
              <w:t>/</w:t>
            </w:r>
            <w:r>
              <w:rPr>
                <w:rFonts w:hint="eastAsia"/>
                <w:lang w:eastAsia="zh-CN"/>
              </w:rPr>
              <w:t>HTBS 0001S食用乳酸菌（油滴液）、Q</w:t>
            </w:r>
            <w:r>
              <w:rPr>
                <w:rFonts w:hint="eastAsia"/>
                <w:lang w:val="en-US" w:eastAsia="zh-CN"/>
              </w:rPr>
              <w:t>/</w:t>
            </w:r>
            <w:r>
              <w:rPr>
                <w:rFonts w:hint="eastAsia"/>
                <w:lang w:eastAsia="zh-CN"/>
              </w:rPr>
              <w:t>HTBS 0002S食用植物DHA藻油调和油、Q</w:t>
            </w:r>
            <w:r>
              <w:rPr>
                <w:rFonts w:hint="eastAsia"/>
                <w:lang w:val="en-US" w:eastAsia="zh-CN"/>
              </w:rPr>
              <w:t>/</w:t>
            </w:r>
            <w:r>
              <w:rPr>
                <w:rFonts w:hint="eastAsia"/>
                <w:lang w:eastAsia="zh-CN"/>
              </w:rPr>
              <w:t>HTBS 0003S蘑菇油滴液、Q</w:t>
            </w:r>
            <w:r>
              <w:rPr>
                <w:rFonts w:hint="eastAsia"/>
                <w:lang w:val="en-US" w:eastAsia="zh-CN"/>
              </w:rPr>
              <w:t>/</w:t>
            </w:r>
            <w:r>
              <w:rPr>
                <w:rFonts w:hint="eastAsia"/>
                <w:lang w:eastAsia="zh-CN"/>
              </w:rPr>
              <w:t>TBS 0001S富锌橘皮酵母固体饮料、Q</w:t>
            </w:r>
            <w:r>
              <w:rPr>
                <w:rFonts w:hint="eastAsia"/>
                <w:lang w:val="en-US" w:eastAsia="zh-CN"/>
              </w:rPr>
              <w:t>/</w:t>
            </w:r>
            <w:r>
              <w:rPr>
                <w:rFonts w:hint="eastAsia"/>
                <w:lang w:eastAsia="zh-CN"/>
              </w:rPr>
              <w:t>TBS 0002S乳清蛋白粉固体饮料、Q</w:t>
            </w:r>
            <w:r>
              <w:rPr>
                <w:rFonts w:hint="eastAsia"/>
                <w:lang w:val="en-US" w:eastAsia="zh-CN"/>
              </w:rPr>
              <w:t>/</w:t>
            </w:r>
            <w:r>
              <w:rPr>
                <w:rFonts w:hint="eastAsia"/>
                <w:lang w:eastAsia="zh-CN"/>
              </w:rPr>
              <w:t>TBS 0003S益生菌固体饮料</w:t>
            </w:r>
            <w:r>
              <w:rPr>
                <w:rFonts w:hint="eastAsia"/>
                <w:lang w:val="en-US" w:eastAsia="zh-CN"/>
              </w:rPr>
              <w:t>等企业</w:t>
            </w:r>
            <w:r>
              <w:rPr>
                <w:rFonts w:hint="eastAsia"/>
              </w:rPr>
              <w:t>标准</w:t>
            </w:r>
            <w:r>
              <w:rPr>
                <w:rFonts w:hint="eastAsia"/>
                <w:lang w:eastAsia="zh-CN"/>
              </w:rPr>
              <w:t>；</w:t>
            </w:r>
            <w:r>
              <w:rPr>
                <w:rFonts w:hint="eastAsia"/>
              </w:rPr>
              <w:t>突发环境事件紧急管理办法；城市节约用水管理规定</w:t>
            </w:r>
            <w:r>
              <w:rPr>
                <w:rFonts w:hint="eastAsia"/>
                <w:lang w:eastAsia="zh-CN"/>
              </w:rPr>
              <w:t>；</w:t>
            </w:r>
            <w:r>
              <w:rPr>
                <w:rFonts w:hint="eastAsia"/>
              </w:rPr>
              <w:t>行业标准等</w:t>
            </w:r>
            <w:r>
              <w:rPr>
                <w:rFonts w:hint="eastAsia"/>
                <w:lang w:eastAsia="zh-CN"/>
              </w:rPr>
              <w:t>。</w:t>
            </w:r>
          </w:p>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szCs w:val="22"/>
                <w:lang w:val="en-US" w:eastAsia="zh-CN"/>
              </w:rPr>
              <w:t>提供合规性评价报告：2022年3月25日进行合规性评价：从本次检查的结果来看，该公司没有违反国家法律、法规及相关标准，能严格遵守国家有关环境和职业健康安全管理方面的相关规定，能够密切关注法律法规的变化，并适时调整，严格按体系标准执行。公司各部门都能够有效遵循法律法规进行施工，未发生重大安全生产事故，未发生传染病及其他卫生防疫问题事件，无个人或单位投诉。各项目的环境和职业健康安全管理行为符合法律法规和标准要求，对于合规性评价分析所发现的薄弱环节，公司各部门将制定改进措施，以持续改进公司和项目的安全管理绩效。对在合规性证据收集过程中发现的个别不符合，各部门均能够及时组织力量进行原因分析，制定纠正和预防措施，并积极开展纠偏活动。通过对纠偏结果的考核，表明纠正措施制订是适宜的，执行结果是有效的。对公司的环保意识和环境管理水平的提高起到了明显的促进作用。</w:t>
            </w:r>
          </w:p>
        </w:tc>
        <w:tc>
          <w:tcPr>
            <w:tcW w:w="1585" w:type="dxa"/>
          </w:tcPr>
          <w:p>
            <w:pPr>
              <w:rPr>
                <w:rFonts w:hint="default"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76" w:type="dxa"/>
          </w:tcPr>
          <w:p>
            <w:pPr>
              <w:rPr>
                <w:rFonts w:hint="default" w:eastAsia="宋体"/>
                <w:sz w:val="21"/>
                <w:szCs w:val="21"/>
                <w:highlight w:val="none"/>
                <w:lang w:val="en-US" w:eastAsia="zh-CN"/>
              </w:rPr>
            </w:pPr>
            <w:r>
              <w:rPr>
                <w:rFonts w:hint="eastAsia"/>
                <w:sz w:val="21"/>
                <w:szCs w:val="21"/>
                <w:highlight w:val="none"/>
                <w:lang w:val="en-US" w:eastAsia="zh-CN"/>
              </w:rPr>
              <w:t>运行控制</w:t>
            </w:r>
          </w:p>
        </w:tc>
        <w:tc>
          <w:tcPr>
            <w:tcW w:w="1044" w:type="dxa"/>
          </w:tcPr>
          <w:p>
            <w:pPr>
              <w:rPr>
                <w:rFonts w:hint="eastAsia"/>
                <w:highlight w:val="none"/>
                <w:lang w:val="en-US" w:eastAsia="zh-CN"/>
              </w:rPr>
            </w:pPr>
            <w:r>
              <w:rPr>
                <w:rFonts w:hint="eastAsia"/>
                <w:highlight w:val="none"/>
                <w:lang w:val="en-US" w:eastAsia="zh-CN"/>
              </w:rPr>
              <w:t>EO8.1/</w:t>
            </w:r>
          </w:p>
          <w:p>
            <w:pPr>
              <w:rPr>
                <w:rFonts w:hint="default"/>
                <w:highlight w:val="none"/>
                <w:lang w:val="en-US" w:eastAsia="zh-CN"/>
              </w:rPr>
            </w:pPr>
          </w:p>
        </w:tc>
        <w:tc>
          <w:tcPr>
            <w:tcW w:w="10004" w:type="dxa"/>
          </w:tcPr>
          <w:p>
            <w:pPr>
              <w:jc w:val="left"/>
              <w:rPr>
                <w:rFonts w:hint="default" w:ascii="Times New Roman" w:hAnsi="Times New Roman" w:eastAsia="宋体" w:cs="Times New Roman"/>
                <w:bCs w:val="0"/>
                <w:spacing w:val="0"/>
                <w:kern w:val="2"/>
                <w:sz w:val="21"/>
                <w:szCs w:val="22"/>
                <w:lang w:val="en-US" w:eastAsia="zh-CN" w:bidi="ar-SA"/>
              </w:rPr>
            </w:pPr>
            <w:r>
              <w:rPr>
                <w:rFonts w:hint="eastAsia" w:cs="宋体"/>
                <w:lang w:val="en-US" w:eastAsia="zh-CN"/>
              </w:rPr>
              <w:t>行政部</w:t>
            </w:r>
            <w:r>
              <w:rPr>
                <w:rFonts w:hint="eastAsia" w:cs="宋体"/>
              </w:rPr>
              <w:t>执行的运行控制文件：</w:t>
            </w:r>
            <w:r>
              <w:rPr>
                <w:rFonts w:hint="eastAsia" w:cs="宋体"/>
                <w:lang w:eastAsia="zh-CN"/>
              </w:rPr>
              <w:t>《</w:t>
            </w:r>
            <w:r>
              <w:rPr>
                <w:rFonts w:hint="eastAsia" w:ascii="宋体" w:hAnsi="宋体" w:cs="宋体"/>
                <w:b w:val="0"/>
                <w:bCs w:val="0"/>
                <w:color w:val="auto"/>
                <w:szCs w:val="21"/>
              </w:rPr>
              <w:t>环境、职业健康安全运行控制程序</w:t>
            </w:r>
            <w:r>
              <w:rPr>
                <w:rFonts w:hint="eastAsia" w:cs="宋体"/>
                <w:lang w:eastAsia="zh-CN"/>
              </w:rPr>
              <w:t>》《</w:t>
            </w:r>
            <w:r>
              <w:rPr>
                <w:rFonts w:hint="eastAsia" w:ascii="宋体" w:hAnsi="宋体" w:cs="宋体"/>
                <w:b w:val="0"/>
                <w:bCs w:val="0"/>
                <w:color w:val="auto"/>
                <w:szCs w:val="21"/>
              </w:rPr>
              <w:t>应急准备和响应控制程序</w:t>
            </w:r>
            <w:r>
              <w:rPr>
                <w:rFonts w:hint="eastAsia" w:cs="宋体"/>
                <w:lang w:eastAsia="zh-CN"/>
              </w:rPr>
              <w:t>》《</w:t>
            </w:r>
            <w:r>
              <w:rPr>
                <w:rFonts w:hint="eastAsia" w:ascii="宋体" w:hAnsi="宋体" w:cs="宋体"/>
                <w:b w:val="0"/>
                <w:bCs w:val="0"/>
                <w:color w:val="auto"/>
                <w:szCs w:val="21"/>
              </w:rPr>
              <w:t>合规性</w:t>
            </w:r>
            <w:r>
              <w:rPr>
                <w:rFonts w:hint="eastAsia" w:ascii="宋体" w:hAnsi="宋体" w:cs="宋体"/>
                <w:b w:val="0"/>
                <w:bCs w:val="0"/>
                <w:color w:val="auto"/>
                <w:szCs w:val="21"/>
                <w:lang w:eastAsia="zh-CN"/>
              </w:rPr>
              <w:t>评价</w:t>
            </w:r>
            <w:r>
              <w:rPr>
                <w:rFonts w:hint="eastAsia" w:ascii="宋体" w:hAnsi="宋体" w:cs="宋体"/>
                <w:b w:val="0"/>
                <w:bCs w:val="0"/>
                <w:color w:val="auto"/>
                <w:szCs w:val="21"/>
              </w:rPr>
              <w:t>控制程序</w:t>
            </w:r>
            <w:r>
              <w:rPr>
                <w:rFonts w:hint="eastAsia" w:cs="宋体"/>
                <w:lang w:eastAsia="zh-CN"/>
              </w:rPr>
              <w:t>》《</w:t>
            </w:r>
            <w:r>
              <w:rPr>
                <w:rFonts w:hint="eastAsia" w:ascii="宋体" w:hAnsi="宋体" w:cs="宋体"/>
                <w:b w:val="0"/>
                <w:bCs w:val="0"/>
                <w:color w:val="auto"/>
                <w:szCs w:val="21"/>
              </w:rPr>
              <w:t>事</w:t>
            </w:r>
            <w:r>
              <w:rPr>
                <w:rFonts w:hint="eastAsia" w:ascii="宋体" w:hAnsi="宋体" w:cs="宋体"/>
                <w:b w:val="0"/>
                <w:bCs w:val="0"/>
                <w:color w:val="auto"/>
                <w:szCs w:val="21"/>
                <w:lang w:eastAsia="zh-CN"/>
              </w:rPr>
              <w:t>件</w:t>
            </w:r>
            <w:r>
              <w:rPr>
                <w:rFonts w:hint="eastAsia" w:ascii="宋体" w:hAnsi="宋体" w:cs="宋体"/>
                <w:b w:val="0"/>
                <w:bCs w:val="0"/>
                <w:color w:val="auto"/>
                <w:szCs w:val="21"/>
              </w:rPr>
              <w:t>调查、不符合、纠正及预防措施控制程序</w:t>
            </w:r>
            <w:r>
              <w:rPr>
                <w:rFonts w:hint="eastAsia" w:cs="宋体"/>
                <w:lang w:eastAsia="zh-CN"/>
              </w:rPr>
              <w:t>》《</w:t>
            </w:r>
            <w:r>
              <w:rPr>
                <w:rFonts w:hint="eastAsia" w:ascii="宋体" w:hAnsi="宋体" w:cs="宋体"/>
                <w:b w:val="0"/>
                <w:bCs w:val="0"/>
                <w:color w:val="auto"/>
                <w:szCs w:val="21"/>
              </w:rPr>
              <w:t>内部审核控制程序</w:t>
            </w:r>
            <w:r>
              <w:rPr>
                <w:rFonts w:hint="eastAsia" w:cs="宋体"/>
                <w:lang w:eastAsia="zh-CN"/>
              </w:rPr>
              <w:t>》</w:t>
            </w:r>
            <w:r>
              <w:rPr>
                <w:rFonts w:hint="eastAsia" w:ascii="Times New Roman" w:hAnsi="Times New Roman" w:eastAsia="宋体" w:cs="宋体"/>
                <w:szCs w:val="22"/>
                <w:lang w:val="en-US" w:eastAsia="zh-CN"/>
              </w:rPr>
              <w:t>及相关管理制度</w:t>
            </w:r>
            <w:r>
              <w:rPr>
                <w:rFonts w:hint="eastAsia" w:ascii="Times New Roman" w:hAnsi="Times New Roman" w:eastAsia="宋体" w:cs="宋体"/>
                <w:szCs w:val="22"/>
              </w:rPr>
              <w:t>、</w:t>
            </w:r>
            <w:r>
              <w:rPr>
                <w:rFonts w:hint="eastAsia" w:ascii="Times New Roman" w:hAnsi="Times New Roman" w:eastAsia="宋体" w:cs="宋体"/>
                <w:szCs w:val="22"/>
                <w:lang w:val="en-GB"/>
              </w:rPr>
              <w:t>办公室安全管理制度、车辆管理规定、电脑使用管理办法</w:t>
            </w:r>
            <w:r>
              <w:rPr>
                <w:rFonts w:hint="eastAsia" w:ascii="Times New Roman" w:hAnsi="Times New Roman" w:eastAsia="宋体" w:cs="宋体"/>
                <w:szCs w:val="22"/>
              </w:rPr>
              <w:t>等。</w:t>
            </w:r>
          </w:p>
          <w:p>
            <w:pPr>
              <w:jc w:val="left"/>
              <w:rPr>
                <w:lang w:val="en-GB"/>
              </w:rPr>
            </w:pPr>
            <w:r>
              <w:rPr>
                <w:rFonts w:hint="eastAsia" w:cs="宋体"/>
                <w:lang w:val="en-GB"/>
              </w:rPr>
              <w:t>运行控制情况：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sz w:val="21"/>
                <w:szCs w:val="21"/>
                <w:lang w:val="en-US" w:eastAsia="zh-CN"/>
              </w:rPr>
            </w:pPr>
            <w:r>
              <w:rPr>
                <w:rFonts w:hint="eastAsia"/>
                <w:sz w:val="21"/>
                <w:szCs w:val="21"/>
                <w:lang w:val="en-US" w:eastAsia="zh-CN"/>
              </w:rPr>
              <w:t>办公</w:t>
            </w:r>
            <w:r>
              <w:rPr>
                <w:rFonts w:hint="eastAsia" w:eastAsia="宋体"/>
                <w:sz w:val="21"/>
                <w:szCs w:val="21"/>
                <w:lang w:val="en-US" w:eastAsia="zh-CN"/>
              </w:rPr>
              <w:t>区域：污水</w:t>
            </w:r>
            <w:r>
              <w:rPr>
                <w:rFonts w:hint="eastAsia"/>
                <w:sz w:val="21"/>
                <w:szCs w:val="21"/>
                <w:lang w:val="en-US" w:eastAsia="zh-CN"/>
              </w:rPr>
              <w:t>主要为生活</w:t>
            </w:r>
            <w:r>
              <w:rPr>
                <w:rFonts w:hint="eastAsia" w:eastAsia="宋体"/>
                <w:sz w:val="21"/>
                <w:szCs w:val="21"/>
                <w:lang w:val="en-US" w:eastAsia="zh-CN"/>
              </w:rPr>
              <w:t>污水</w:t>
            </w:r>
            <w:r>
              <w:rPr>
                <w:rFonts w:hint="eastAsia"/>
                <w:sz w:val="21"/>
                <w:szCs w:val="21"/>
                <w:lang w:val="en-US" w:eastAsia="zh-CN"/>
              </w:rPr>
              <w:t>，</w:t>
            </w:r>
            <w:r>
              <w:rPr>
                <w:rFonts w:hint="eastAsia" w:eastAsia="宋体"/>
                <w:sz w:val="21"/>
                <w:szCs w:val="21"/>
                <w:lang w:val="en-US" w:eastAsia="zh-CN"/>
              </w:rPr>
              <w:t>排</w:t>
            </w:r>
            <w:r>
              <w:rPr>
                <w:rFonts w:hint="eastAsia"/>
                <w:sz w:val="21"/>
                <w:szCs w:val="21"/>
                <w:lang w:val="en-US" w:eastAsia="zh-CN"/>
              </w:rPr>
              <w:t>入城市管网</w:t>
            </w:r>
            <w:r>
              <w:rPr>
                <w:rFonts w:hint="eastAsia" w:eastAsia="宋体"/>
                <w:sz w:val="21"/>
                <w:szCs w:val="21"/>
                <w:lang w:val="en-US" w:eastAsia="zh-CN"/>
              </w:rPr>
              <w:t>。噪声：办公现场不产生明显噪声。</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sz w:val="21"/>
                <w:szCs w:val="21"/>
                <w:lang w:val="en-US" w:eastAsia="zh-CN"/>
              </w:rPr>
            </w:pPr>
            <w:r>
              <w:rPr>
                <w:rFonts w:hint="eastAsia" w:eastAsia="宋体"/>
                <w:sz w:val="21"/>
                <w:szCs w:val="21"/>
                <w:lang w:val="en-US" w:eastAsia="zh-CN"/>
              </w:rPr>
              <w:t>固废：固体废物主要是办公产生废纸张等，配置了纸篓；办公用纸</w:t>
            </w:r>
            <w:r>
              <w:rPr>
                <w:rFonts w:hint="eastAsia"/>
                <w:sz w:val="21"/>
                <w:szCs w:val="21"/>
                <w:lang w:val="en-US" w:eastAsia="zh-CN"/>
              </w:rPr>
              <w:t>、</w:t>
            </w:r>
            <w:r>
              <w:rPr>
                <w:rFonts w:hint="eastAsia" w:ascii="Times New Roman" w:hAnsi="Times New Roman" w:eastAsia="宋体" w:cs="Times New Roman"/>
                <w:sz w:val="21"/>
                <w:szCs w:val="21"/>
                <w:lang w:val="en-US" w:eastAsia="zh-CN"/>
              </w:rPr>
              <w:t>硒鼓、墨盒、灯管等</w:t>
            </w:r>
            <w:r>
              <w:rPr>
                <w:rFonts w:hint="eastAsia" w:eastAsia="宋体"/>
                <w:sz w:val="21"/>
                <w:szCs w:val="21"/>
                <w:lang w:val="en-US" w:eastAsia="zh-CN"/>
              </w:rPr>
              <w:t>由</w:t>
            </w:r>
            <w:r>
              <w:rPr>
                <w:rFonts w:hint="eastAsia"/>
                <w:sz w:val="21"/>
                <w:szCs w:val="21"/>
                <w:lang w:val="en-US" w:eastAsia="zh-CN"/>
              </w:rPr>
              <w:t>行政部</w:t>
            </w:r>
            <w:r>
              <w:rPr>
                <w:rFonts w:hint="eastAsia" w:eastAsia="宋体"/>
                <w:sz w:val="21"/>
                <w:szCs w:val="21"/>
                <w:lang w:val="en-US" w:eastAsia="zh-CN"/>
              </w:rPr>
              <w:t>负责</w:t>
            </w:r>
            <w:r>
              <w:rPr>
                <w:rFonts w:hint="eastAsia"/>
                <w:sz w:val="21"/>
                <w:szCs w:val="21"/>
                <w:lang w:val="en-US" w:eastAsia="zh-CN"/>
              </w:rPr>
              <w:t>管理</w:t>
            </w:r>
            <w:r>
              <w:rPr>
                <w:rFonts w:hint="eastAsia" w:ascii="Times New Roman" w:hAnsi="Times New Roman" w:eastAsia="宋体"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eastAsia="宋体"/>
                <w:sz w:val="21"/>
                <w:szCs w:val="21"/>
                <w:lang w:val="en-US" w:eastAsia="zh-CN"/>
              </w:rPr>
            </w:pPr>
            <w:r>
              <w:rPr>
                <w:rFonts w:hint="eastAsia"/>
                <w:sz w:val="21"/>
                <w:szCs w:val="21"/>
                <w:lang w:val="en-US" w:eastAsia="zh-CN"/>
              </w:rPr>
              <w:t>节约能源：</w:t>
            </w:r>
            <w:r>
              <w:rPr>
                <w:rFonts w:hint="eastAsia" w:eastAsia="宋体"/>
                <w:sz w:val="21"/>
                <w:szCs w:val="21"/>
                <w:lang w:val="en-US" w:eastAsia="zh-CN"/>
              </w:rPr>
              <w:t>办公过程注意节约用电，做到人走灯灭，电脑长时间不用时关机，下班前要关闭电源，防止触电。</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办公区域禁止吸烟，现场查看办公区域环境整洁、宽敞、办公设备状态良好、无安全隐患，办公区域配备有效的消防栓、灭火器、烟感、安全标识、监控等。提供了《消防安全检查记录表》，办公区域进行了消防安全检查，检查结果，配置的灭火器符合要求，均在有效期内，隐患控制有效。制定了消防预案并组织进行了演练。具体演练见8.2记录。</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现场查看办公区域，整洁、光线充足、室内空气良好、配置有空调，办公条件较好，办公设备安全状态良好，教育员工正确使用办公设备，现场用电基本规范，无乱拉线现象，防止火灾发生。</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sz w:val="21"/>
                <w:szCs w:val="21"/>
                <w:lang w:val="en-US" w:eastAsia="zh-CN"/>
              </w:rPr>
            </w:pPr>
            <w:r>
              <w:rPr>
                <w:rFonts w:hint="eastAsia"/>
                <w:sz w:val="21"/>
                <w:szCs w:val="21"/>
                <w:lang w:val="en-US" w:eastAsia="zh-CN"/>
              </w:rPr>
              <w:t>上班时间不超过8小时。</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公司为员工提供</w:t>
            </w:r>
            <w:r>
              <w:rPr>
                <w:rFonts w:hint="eastAsia" w:cs="Times New Roman"/>
                <w:sz w:val="21"/>
                <w:szCs w:val="21"/>
                <w:lang w:val="en-US" w:eastAsia="zh-CN"/>
              </w:rPr>
              <w:t>工装、</w:t>
            </w:r>
            <w:r>
              <w:rPr>
                <w:rFonts w:hint="eastAsia" w:ascii="Times New Roman" w:hAnsi="Times New Roman" w:eastAsia="宋体" w:cs="Times New Roman"/>
                <w:sz w:val="21"/>
                <w:szCs w:val="21"/>
                <w:lang w:val="en-US" w:eastAsia="zh-CN"/>
              </w:rPr>
              <w:t>安全帽、手套、口罩、医用酒精、84消毒液等劳动防护用品及卫生防疫物品，发放记录有接收人员签名。废弃的防疫物资设置了专用垃圾桶进行统一丢弃处理。</w:t>
            </w:r>
          </w:p>
          <w:p>
            <w:pPr>
              <w:keepNext w:val="0"/>
              <w:keepLines w:val="0"/>
              <w:pageBreakBefore w:val="0"/>
              <w:widowControl w:val="0"/>
              <w:kinsoku/>
              <w:wordWrap/>
              <w:overflowPunct/>
              <w:topLinePunct w:val="0"/>
              <w:autoSpaceDE/>
              <w:autoSpaceDN/>
              <w:bidi w:val="0"/>
              <w:adjustRightInd/>
              <w:snapToGrid/>
              <w:spacing w:after="0"/>
              <w:textAlignment w:val="auto"/>
              <w:rPr>
                <w:rFonts w:hint="default" w:eastAsia="宋体"/>
                <w:sz w:val="21"/>
                <w:szCs w:val="21"/>
                <w:lang w:val="en-US" w:eastAsia="zh-CN"/>
              </w:rPr>
            </w:pPr>
            <w:r>
              <w:rPr>
                <w:rFonts w:hint="eastAsia" w:ascii="Times New Roman" w:hAnsi="Times New Roman" w:eastAsia="宋体" w:cs="Times New Roman"/>
                <w:sz w:val="21"/>
                <w:szCs w:val="21"/>
                <w:lang w:val="en-US" w:eastAsia="zh-CN"/>
              </w:rPr>
              <w:t>对员工进行交通安全的培训，上下班途中和外出采样、递送报告时要</w:t>
            </w:r>
            <w:r>
              <w:rPr>
                <w:rFonts w:hint="eastAsia" w:eastAsia="宋体"/>
                <w:sz w:val="21"/>
                <w:szCs w:val="21"/>
                <w:lang w:val="en-US" w:eastAsia="zh-CN"/>
              </w:rPr>
              <w:t>求遵守道路交通法规，不违章驾车，驾驶证和车辆定期年审，确保行车安全。</w:t>
            </w:r>
          </w:p>
          <w:p>
            <w:pPr>
              <w:keepNext w:val="0"/>
              <w:keepLines w:val="0"/>
              <w:pageBreakBefore w:val="0"/>
              <w:widowControl w:val="0"/>
              <w:kinsoku/>
              <w:wordWrap/>
              <w:overflowPunct/>
              <w:topLinePunct w:val="0"/>
              <w:autoSpaceDE/>
              <w:autoSpaceDN/>
              <w:bidi w:val="0"/>
              <w:adjustRightInd/>
              <w:snapToGrid/>
              <w:spacing w:after="0"/>
              <w:textAlignment w:val="auto"/>
              <w:rPr>
                <w:rFonts w:hint="eastAsia"/>
                <w:sz w:val="21"/>
                <w:szCs w:val="21"/>
                <w:lang w:val="en-US" w:eastAsia="zh-CN"/>
              </w:rPr>
            </w:pPr>
            <w:r>
              <w:rPr>
                <w:rFonts w:hint="eastAsia"/>
                <w:sz w:val="21"/>
                <w:szCs w:val="21"/>
                <w:lang w:val="en-US" w:eastAsia="zh-CN"/>
              </w:rPr>
              <w:t>每年为员工安排体检。</w:t>
            </w:r>
          </w:p>
          <w:p>
            <w:pPr>
              <w:jc w:val="left"/>
              <w:rPr>
                <w:rFonts w:hint="eastAsia" w:ascii="Times New Roman" w:hAnsi="Times New Roman" w:eastAsia="宋体" w:cs="宋体"/>
                <w:szCs w:val="22"/>
              </w:rPr>
            </w:pPr>
            <w:r>
              <w:rPr>
                <w:rFonts w:hint="eastAsia" w:cs="宋体"/>
                <w:lang w:val="en-US" w:eastAsia="zh-CN"/>
              </w:rPr>
              <w:t>行政部</w:t>
            </w:r>
            <w:r>
              <w:rPr>
                <w:rFonts w:hint="eastAsia" w:cs="宋体"/>
                <w:lang w:val="en-GB"/>
              </w:rPr>
              <w:t>定期进行</w:t>
            </w:r>
            <w:r>
              <w:rPr>
                <w:rFonts w:hint="eastAsia" w:cs="宋体"/>
              </w:rPr>
              <w:t>环境安全运行</w:t>
            </w:r>
            <w:r>
              <w:rPr>
                <w:rFonts w:hint="eastAsia" w:cs="宋体"/>
                <w:lang w:val="en-GB"/>
              </w:rPr>
              <w:t>检查，查</w:t>
            </w:r>
            <w:r>
              <w:t>20</w:t>
            </w:r>
            <w:r>
              <w:rPr>
                <w:rFonts w:hint="eastAsia"/>
              </w:rPr>
              <w:t>2</w:t>
            </w:r>
            <w:r>
              <w:rPr>
                <w:rFonts w:hint="eastAsia"/>
                <w:lang w:val="en-US" w:eastAsia="zh-CN"/>
              </w:rPr>
              <w:t>2</w:t>
            </w:r>
            <w:r>
              <w:rPr>
                <w:rFonts w:hint="eastAsia"/>
              </w:rPr>
              <w:t>.</w:t>
            </w:r>
            <w:r>
              <w:rPr>
                <w:rFonts w:hint="eastAsia"/>
                <w:lang w:val="en-US" w:eastAsia="zh-CN"/>
              </w:rPr>
              <w:t>1</w:t>
            </w:r>
            <w:r>
              <w:rPr>
                <w:rFonts w:hint="eastAsia"/>
              </w:rPr>
              <w:t>-</w:t>
            </w:r>
            <w:r>
              <w:t>20</w:t>
            </w:r>
            <w:r>
              <w:rPr>
                <w:rFonts w:hint="eastAsia"/>
              </w:rPr>
              <w:t>2</w:t>
            </w:r>
            <w:r>
              <w:rPr>
                <w:rFonts w:hint="eastAsia"/>
                <w:lang w:val="en-US" w:eastAsia="zh-CN"/>
              </w:rPr>
              <w:t>3</w:t>
            </w:r>
            <w:r>
              <w:t>.</w:t>
            </w:r>
            <w:r>
              <w:rPr>
                <w:rFonts w:hint="eastAsia"/>
                <w:lang w:val="en-US" w:eastAsia="zh-CN"/>
              </w:rPr>
              <w:t>1</w:t>
            </w:r>
            <w:r>
              <w:rPr>
                <w:rFonts w:hint="eastAsia" w:cs="宋体"/>
              </w:rPr>
              <w:t>检查记录，每月检查一次，检查内容包括：水电管理、原辅材料消耗管理、相关方管理、员工卫生健康（包括流行病的措施控制）、现场卫生检查、记录管理等内容。检查人：</w:t>
            </w:r>
            <w:r>
              <w:rPr>
                <w:rFonts w:hint="eastAsia" w:ascii="Times New Roman" w:hAnsi="Times New Roman" w:eastAsia="宋体" w:cs="宋体"/>
                <w:szCs w:val="22"/>
                <w:lang w:val="en-US" w:eastAsia="zh-CN"/>
              </w:rPr>
              <w:t>赵亚平</w:t>
            </w:r>
            <w:r>
              <w:rPr>
                <w:rFonts w:hint="eastAsia" w:ascii="Times New Roman" w:hAnsi="Times New Roman" w:eastAsia="宋体" w:cs="宋体"/>
                <w:szCs w:val="22"/>
              </w:rPr>
              <w:t>，检查结果“合格”。</w:t>
            </w:r>
          </w:p>
          <w:p>
            <w:pPr>
              <w:pStyle w:val="9"/>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提供“固体废弃物分类表”、“固体废弃物处置/回收记录”符合要求；</w:t>
            </w:r>
          </w:p>
          <w:p>
            <w:pPr>
              <w:pStyle w:val="9"/>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提供“消防器材月点检表”、“应急灯、疏散指示灯季度检查表”符合要求；</w:t>
            </w:r>
          </w:p>
          <w:p>
            <w:pPr>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提供“废弃物处置记录”办公垃圾、车间废包装、废电池等，有处置时间、接收方、处置人，处置费由“石家庄统一企业有限公司”统一与高新区市容环卫处签订处理协议。</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办公区域的环境、职业健康安全的控制基本满足要求。</w:t>
            </w:r>
          </w:p>
          <w:p>
            <w:pPr>
              <w:rPr>
                <w:rFonts w:hint="eastAsia"/>
                <w:lang w:eastAsia="zh-CN"/>
              </w:rPr>
            </w:pPr>
            <w:r>
              <w:rPr>
                <w:rFonts w:hint="eastAsia"/>
              </w:rPr>
              <w:t>对环境</w:t>
            </w:r>
            <w:r>
              <w:rPr>
                <w:rFonts w:hint="eastAsia"/>
                <w:lang w:eastAsia="zh-CN"/>
              </w:rPr>
              <w:t>、</w:t>
            </w:r>
            <w:r>
              <w:rPr>
                <w:rFonts w:hint="eastAsia"/>
                <w:lang w:val="en-US" w:eastAsia="zh-CN"/>
              </w:rPr>
              <w:t>职业健康安全</w:t>
            </w:r>
            <w:r>
              <w:rPr>
                <w:rFonts w:hint="eastAsia"/>
              </w:rPr>
              <w:t>方面的资金投入情况</w:t>
            </w:r>
            <w:r>
              <w:rPr>
                <w:rFonts w:hint="eastAsia"/>
                <w:lang w:eastAsia="zh-CN"/>
              </w:rPr>
              <w:t>（</w:t>
            </w:r>
            <w:r>
              <w:rPr>
                <w:rFonts w:hint="eastAsia"/>
                <w:lang w:val="en-US" w:eastAsia="zh-CN"/>
              </w:rPr>
              <w:t>2022年</w:t>
            </w:r>
            <w:r>
              <w:rPr>
                <w:rFonts w:hint="eastAsia"/>
                <w:lang w:eastAsia="zh-CN"/>
              </w:rPr>
              <w:t>）：</w:t>
            </w:r>
          </w:p>
          <w:p>
            <w:pPr>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消防安全培训</w:t>
            </w:r>
            <w:r>
              <w:rPr>
                <w:rFonts w:hint="eastAsia" w:ascii="Times New Roman" w:hAnsi="Times New Roman" w:eastAsia="宋体" w:cs="Times New Roman"/>
                <w:bCs w:val="0"/>
                <w:spacing w:val="0"/>
                <w:kern w:val="2"/>
                <w:sz w:val="21"/>
                <w:szCs w:val="22"/>
                <w:lang w:val="en-US" w:eastAsia="zh-CN" w:bidi="ar-SA"/>
              </w:rPr>
              <w:tab/>
            </w:r>
            <w:r>
              <w:rPr>
                <w:rFonts w:hint="eastAsia" w:cs="Times New Roman"/>
                <w:bCs w:val="0"/>
                <w:spacing w:val="0"/>
                <w:kern w:val="2"/>
                <w:sz w:val="21"/>
                <w:szCs w:val="22"/>
                <w:lang w:val="en-US" w:eastAsia="zh-CN" w:bidi="ar-SA"/>
              </w:rPr>
              <w:t>3</w:t>
            </w:r>
            <w:r>
              <w:rPr>
                <w:rFonts w:hint="eastAsia" w:ascii="Times New Roman" w:hAnsi="Times New Roman" w:eastAsia="宋体" w:cs="Times New Roman"/>
                <w:bCs w:val="0"/>
                <w:spacing w:val="0"/>
                <w:kern w:val="2"/>
                <w:sz w:val="21"/>
                <w:szCs w:val="22"/>
                <w:lang w:val="en-US" w:eastAsia="zh-CN" w:bidi="ar-SA"/>
              </w:rPr>
              <w:t>000</w:t>
            </w:r>
          </w:p>
          <w:p>
            <w:pPr>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消防演习</w:t>
            </w:r>
            <w:r>
              <w:rPr>
                <w:rFonts w:hint="eastAsia" w:ascii="Times New Roman" w:hAnsi="Times New Roman" w:eastAsia="宋体" w:cs="Times New Roman"/>
                <w:bCs w:val="0"/>
                <w:spacing w:val="0"/>
                <w:kern w:val="2"/>
                <w:sz w:val="21"/>
                <w:szCs w:val="22"/>
                <w:lang w:val="en-US" w:eastAsia="zh-CN" w:bidi="ar-SA"/>
              </w:rPr>
              <w:tab/>
            </w:r>
            <w:r>
              <w:rPr>
                <w:rFonts w:hint="eastAsia" w:ascii="Times New Roman" w:hAnsi="Times New Roman" w:cs="Times New Roman"/>
                <w:bCs w:val="0"/>
                <w:spacing w:val="0"/>
                <w:kern w:val="2"/>
                <w:sz w:val="21"/>
                <w:szCs w:val="22"/>
                <w:lang w:val="en-US" w:eastAsia="zh-CN" w:bidi="ar-SA"/>
              </w:rPr>
              <w:t>火灾预防、</w:t>
            </w:r>
            <w:r>
              <w:rPr>
                <w:rFonts w:hint="eastAsia" w:ascii="Times New Roman" w:hAnsi="Times New Roman" w:eastAsia="宋体" w:cs="Times New Roman"/>
                <w:bCs w:val="0"/>
                <w:spacing w:val="0"/>
                <w:kern w:val="2"/>
                <w:sz w:val="21"/>
                <w:szCs w:val="22"/>
                <w:lang w:val="en-US" w:eastAsia="zh-CN" w:bidi="ar-SA"/>
              </w:rPr>
              <w:t>器材费用</w:t>
            </w:r>
            <w:r>
              <w:rPr>
                <w:rFonts w:hint="eastAsia" w:ascii="Times New Roman" w:hAnsi="Times New Roman" w:eastAsia="宋体" w:cs="Times New Roman"/>
                <w:bCs w:val="0"/>
                <w:spacing w:val="0"/>
                <w:kern w:val="2"/>
                <w:sz w:val="21"/>
                <w:szCs w:val="22"/>
                <w:lang w:val="en-US" w:eastAsia="zh-CN" w:bidi="ar-SA"/>
              </w:rPr>
              <w:tab/>
            </w:r>
            <w:r>
              <w:rPr>
                <w:rFonts w:hint="eastAsia" w:ascii="Times New Roman" w:hAnsi="Times New Roman" w:cs="Times New Roman"/>
                <w:bCs w:val="0"/>
                <w:spacing w:val="0"/>
                <w:kern w:val="2"/>
                <w:sz w:val="21"/>
                <w:szCs w:val="22"/>
                <w:lang w:val="en-US" w:eastAsia="zh-CN" w:bidi="ar-SA"/>
              </w:rPr>
              <w:t>3</w:t>
            </w:r>
            <w:r>
              <w:rPr>
                <w:rFonts w:hint="eastAsia" w:cs="Times New Roman"/>
                <w:bCs w:val="0"/>
                <w:spacing w:val="0"/>
                <w:kern w:val="2"/>
                <w:sz w:val="21"/>
                <w:szCs w:val="22"/>
                <w:lang w:val="en-US" w:eastAsia="zh-CN" w:bidi="ar-SA"/>
              </w:rPr>
              <w:t>5</w:t>
            </w:r>
            <w:r>
              <w:rPr>
                <w:rFonts w:hint="eastAsia" w:ascii="Times New Roman" w:hAnsi="Times New Roman" w:eastAsia="宋体" w:cs="Times New Roman"/>
                <w:bCs w:val="0"/>
                <w:spacing w:val="0"/>
                <w:kern w:val="2"/>
                <w:sz w:val="21"/>
                <w:szCs w:val="22"/>
                <w:lang w:val="en-US" w:eastAsia="zh-CN" w:bidi="ar-SA"/>
              </w:rPr>
              <w:t>00</w:t>
            </w:r>
          </w:p>
          <w:p>
            <w:pPr>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物业费用</w:t>
            </w:r>
            <w:r>
              <w:rPr>
                <w:rFonts w:hint="eastAsia" w:ascii="Times New Roman" w:hAnsi="Times New Roman" w:eastAsia="宋体" w:cs="Times New Roman"/>
                <w:bCs w:val="0"/>
                <w:spacing w:val="0"/>
                <w:kern w:val="2"/>
                <w:sz w:val="21"/>
                <w:szCs w:val="22"/>
                <w:lang w:val="en-US" w:eastAsia="zh-CN" w:bidi="ar-SA"/>
              </w:rPr>
              <w:tab/>
            </w:r>
            <w:r>
              <w:rPr>
                <w:rFonts w:hint="eastAsia" w:ascii="Times New Roman" w:hAnsi="Times New Roman" w:eastAsia="宋体" w:cs="Times New Roman"/>
                <w:bCs w:val="0"/>
                <w:spacing w:val="0"/>
                <w:kern w:val="2"/>
                <w:sz w:val="21"/>
                <w:szCs w:val="22"/>
                <w:lang w:val="en-US" w:eastAsia="zh-CN" w:bidi="ar-SA"/>
              </w:rPr>
              <w:t>垃圾清运等</w:t>
            </w:r>
            <w:r>
              <w:rPr>
                <w:rFonts w:hint="eastAsia" w:ascii="Times New Roman" w:hAnsi="Times New Roman" w:eastAsia="宋体" w:cs="Times New Roman"/>
                <w:bCs w:val="0"/>
                <w:spacing w:val="0"/>
                <w:kern w:val="2"/>
                <w:sz w:val="21"/>
                <w:szCs w:val="22"/>
                <w:lang w:val="en-US" w:eastAsia="zh-CN" w:bidi="ar-SA"/>
              </w:rPr>
              <w:tab/>
            </w:r>
            <w:r>
              <w:rPr>
                <w:rFonts w:hint="eastAsia" w:ascii="Times New Roman" w:hAnsi="Times New Roman" w:eastAsia="宋体" w:cs="Times New Roman"/>
                <w:bCs w:val="0"/>
                <w:spacing w:val="0"/>
                <w:kern w:val="2"/>
                <w:sz w:val="21"/>
                <w:szCs w:val="22"/>
                <w:lang w:val="en-US" w:eastAsia="zh-CN" w:bidi="ar-SA"/>
              </w:rPr>
              <w:t>6000</w:t>
            </w:r>
          </w:p>
          <w:p>
            <w:pPr>
              <w:rPr>
                <w:rFonts w:hint="default"/>
                <w:lang w:val="en-US" w:eastAsia="zh-CN"/>
              </w:rPr>
            </w:pPr>
            <w:r>
              <w:rPr>
                <w:rFonts w:hint="eastAsia" w:ascii="Times New Roman" w:hAnsi="Times New Roman" w:eastAsia="宋体" w:cs="Times New Roman"/>
                <w:bCs w:val="0"/>
                <w:spacing w:val="0"/>
                <w:kern w:val="2"/>
                <w:sz w:val="21"/>
                <w:szCs w:val="22"/>
                <w:lang w:val="en-US" w:eastAsia="zh-CN" w:bidi="ar-SA"/>
              </w:rPr>
              <w:t>其它安全环保投入费用</w:t>
            </w:r>
            <w:r>
              <w:rPr>
                <w:rFonts w:hint="eastAsia" w:ascii="Times New Roman" w:hAnsi="Times New Roman" w:eastAsia="宋体" w:cs="Times New Roman"/>
                <w:bCs w:val="0"/>
                <w:spacing w:val="0"/>
                <w:kern w:val="2"/>
                <w:sz w:val="21"/>
                <w:szCs w:val="22"/>
                <w:lang w:val="en-US" w:eastAsia="zh-CN" w:bidi="ar-SA"/>
              </w:rPr>
              <w:tab/>
            </w:r>
            <w:r>
              <w:rPr>
                <w:rFonts w:hint="eastAsia" w:ascii="Times New Roman" w:hAnsi="Times New Roman" w:eastAsia="宋体" w:cs="Times New Roman"/>
                <w:bCs w:val="0"/>
                <w:spacing w:val="0"/>
                <w:kern w:val="2"/>
                <w:sz w:val="21"/>
                <w:szCs w:val="22"/>
                <w:lang w:val="en-US" w:eastAsia="zh-CN" w:bidi="ar-SA"/>
              </w:rPr>
              <w:t>1000</w:t>
            </w:r>
          </w:p>
        </w:tc>
        <w:tc>
          <w:tcPr>
            <w:tcW w:w="1585" w:type="dxa"/>
          </w:tcPr>
          <w:p/>
          <w:p>
            <w:pPr>
              <w:pStyle w:val="9"/>
            </w:pPr>
          </w:p>
          <w:p>
            <w:pPr>
              <w:pStyle w:val="9"/>
              <w:rPr>
                <w:rFonts w:hint="eastAsia" w:eastAsia="宋体"/>
                <w:lang w:val="en-US" w:eastAsia="zh-CN"/>
              </w:rPr>
            </w:pPr>
            <w:r>
              <w:rPr>
                <w:rFonts w:hint="eastAsia"/>
                <w:lang w:val="en-US" w:eastAsia="zh-CN"/>
              </w:rPr>
              <w:t>y</w:t>
            </w: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rPr>
                <w:rFonts w:hint="eastAsia" w:ascii="Times New Roman" w:hAnsi="Times New Roman" w:eastAsia="宋体" w:cs="Times New Roman"/>
                <w:bCs w:val="0"/>
                <w:spacing w:val="0"/>
                <w:kern w:val="2"/>
                <w:sz w:val="21"/>
                <w:szCs w:val="22"/>
                <w:lang w:val="en-US" w:eastAsia="zh-CN" w:bidi="ar-SA"/>
              </w:rPr>
            </w:pPr>
          </w:p>
          <w:p>
            <w:pPr>
              <w:pStyle w:val="9"/>
              <w:rPr>
                <w:rFonts w:hint="eastAsia" w:ascii="Times New Roman" w:hAnsi="Times New Roman" w:eastAsia="宋体" w:cs="Times New Roman"/>
                <w:bCs w:val="0"/>
                <w:spacing w:val="0"/>
                <w:kern w:val="2"/>
                <w:sz w:val="21"/>
                <w:szCs w:val="22"/>
                <w:lang w:val="en-US" w:eastAsia="zh-CN" w:bidi="ar-SA"/>
              </w:rPr>
            </w:pPr>
          </w:p>
          <w:p>
            <w:pPr>
              <w:pStyle w:val="9"/>
              <w:rPr>
                <w:rFonts w:hint="eastAsia" w:ascii="Times New Roman" w:hAnsi="Times New Roman" w:eastAsia="宋体" w:cs="Times New Roman"/>
                <w:bCs w:val="0"/>
                <w:spacing w:val="0"/>
                <w:kern w:val="2"/>
                <w:sz w:val="21"/>
                <w:szCs w:val="22"/>
                <w:highlight w:val="yellow"/>
                <w:lang w:val="en-US" w:eastAsia="zh-CN" w:bidi="ar-SA"/>
              </w:rPr>
            </w:pPr>
          </w:p>
          <w:p>
            <w:pPr>
              <w:pStyle w:val="9"/>
              <w:rPr>
                <w:rFonts w:hint="eastAsia" w:ascii="Times New Roman" w:hAnsi="Times New Roman" w:eastAsia="宋体" w:cs="Times New Roman"/>
                <w:bCs w:val="0"/>
                <w:spacing w:val="0"/>
                <w:kern w:val="2"/>
                <w:sz w:val="21"/>
                <w:szCs w:val="22"/>
                <w:highlight w:val="yellow"/>
                <w:lang w:val="en-US" w:eastAsia="zh-CN" w:bidi="ar-SA"/>
              </w:rPr>
            </w:pPr>
          </w:p>
          <w:p>
            <w:pPr>
              <w:pStyle w:val="9"/>
              <w:rPr>
                <w:rFonts w:hint="eastAsia" w:ascii="Times New Roman" w:hAnsi="Times New Roman" w:eastAsia="宋体" w:cs="Times New Roman"/>
                <w:bCs w:val="0"/>
                <w:spacing w:val="0"/>
                <w:kern w:val="2"/>
                <w:sz w:val="21"/>
                <w:szCs w:val="22"/>
                <w:highlight w:val="yellow"/>
                <w:lang w:val="en-US" w:eastAsia="zh-CN" w:bidi="ar-SA"/>
              </w:rPr>
            </w:pPr>
          </w:p>
          <w:p>
            <w:pPr>
              <w:pStyle w:val="9"/>
              <w:rPr>
                <w:rFonts w:hint="eastAsia" w:ascii="Times New Roman" w:hAnsi="Times New Roman" w:eastAsia="宋体" w:cs="Times New Roman"/>
                <w:bCs w:val="0"/>
                <w:spacing w:val="0"/>
                <w:kern w:val="2"/>
                <w:sz w:val="21"/>
                <w:szCs w:val="22"/>
                <w:highlight w:val="yellow"/>
                <w:lang w:val="en-US" w:eastAsia="zh-CN" w:bidi="ar-SA"/>
              </w:rPr>
            </w:pPr>
          </w:p>
          <w:p>
            <w:pPr>
              <w:pStyle w:val="9"/>
              <w:rPr>
                <w:rFonts w:hint="eastAsia" w:ascii="Times New Roman" w:hAnsi="Times New Roman" w:eastAsia="宋体" w:cs="Times New Roman"/>
                <w:bCs w:val="0"/>
                <w:spacing w:val="0"/>
                <w:kern w:val="2"/>
                <w:sz w:val="21"/>
                <w:szCs w:val="22"/>
                <w:highlight w:val="yellow"/>
                <w:lang w:val="en-US" w:eastAsia="zh-CN" w:bidi="ar-SA"/>
              </w:rPr>
            </w:pPr>
          </w:p>
          <w:p>
            <w:pPr>
              <w:pStyle w:val="9"/>
              <w:rPr>
                <w:rFonts w:hint="eastAsia" w:ascii="Times New Roman" w:hAnsi="Times New Roman" w:eastAsia="宋体" w:cs="Times New Roman"/>
                <w:bCs w:val="0"/>
                <w:spacing w:val="0"/>
                <w:kern w:val="2"/>
                <w:sz w:val="21"/>
                <w:szCs w:val="22"/>
                <w:highlight w:val="yellow"/>
                <w:lang w:val="en-US" w:eastAsia="zh-CN" w:bidi="ar-SA"/>
              </w:rPr>
            </w:pPr>
          </w:p>
          <w:p>
            <w:pPr>
              <w:pStyle w:val="9"/>
              <w:rPr>
                <w:rFonts w:hint="eastAsia" w:ascii="Times New Roman" w:hAnsi="Times New Roman" w:eastAsia="宋体" w:cs="Times New Roman"/>
                <w:bCs w:val="0"/>
                <w:spacing w:val="0"/>
                <w:kern w:val="2"/>
                <w:sz w:val="21"/>
                <w:szCs w:val="22"/>
                <w:highlight w:val="yellow"/>
                <w:lang w:val="en-US" w:eastAsia="zh-CN" w:bidi="ar-SA"/>
              </w:rPr>
            </w:pPr>
          </w:p>
          <w:p>
            <w:pPr>
              <w:pStyle w:val="9"/>
              <w:rPr>
                <w:rFonts w:hint="eastAsia" w:ascii="Times New Roman" w:hAnsi="Times New Roman" w:eastAsia="宋体" w:cs="Times New Roman"/>
                <w:bCs w:val="0"/>
                <w:spacing w:val="0"/>
                <w:kern w:val="2"/>
                <w:sz w:val="21"/>
                <w:szCs w:val="22"/>
                <w:highlight w:val="yellow"/>
                <w:lang w:val="en-US" w:eastAsia="zh-CN" w:bidi="ar-SA"/>
              </w:rPr>
            </w:pPr>
          </w:p>
          <w:p>
            <w:pPr>
              <w:pStyle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076" w:type="dxa"/>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监视和测量</w:t>
            </w:r>
          </w:p>
        </w:tc>
        <w:tc>
          <w:tcPr>
            <w:tcW w:w="1044"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QEO</w:t>
            </w:r>
          </w:p>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9.1.1</w:t>
            </w:r>
          </w:p>
        </w:tc>
        <w:tc>
          <w:tcPr>
            <w:tcW w:w="10004" w:type="dxa"/>
            <w:vAlign w:val="center"/>
          </w:tcPr>
          <w:p>
            <w:pPr>
              <w:rPr>
                <w:rFonts w:hint="default"/>
                <w:lang w:val="en-US" w:eastAsia="zh-CN"/>
              </w:rPr>
            </w:pPr>
            <w:r>
              <w:rPr>
                <w:rFonts w:hint="default" w:ascii="Times New Roman" w:hAnsi="Times New Roman" w:eastAsia="宋体" w:cs="Times New Roman"/>
                <w:sz w:val="21"/>
                <w:szCs w:val="21"/>
                <w:lang w:val="en-US" w:eastAsia="zh-CN"/>
              </w:rPr>
              <w:t>●</w:t>
            </w:r>
            <w:r>
              <w:rPr>
                <w:rFonts w:hint="eastAsia"/>
                <w:lang w:val="en-US" w:eastAsia="zh-CN"/>
              </w:rPr>
              <w:t>地方政府的监督检查（市场监督局）：形成日常监督督查并公示监督检查情况。</w:t>
            </w:r>
          </w:p>
          <w:p>
            <w:pPr>
              <w:rPr>
                <w:rFonts w:hint="default" w:ascii="Times New Roman" w:hAnsi="Times New Roman" w:eastAsia="宋体" w:cs="Times New Roman"/>
                <w:sz w:val="21"/>
                <w:szCs w:val="21"/>
                <w:lang w:val="en-US" w:eastAsia="zh-CN"/>
              </w:rPr>
            </w:pPr>
            <w:r>
              <w:drawing>
                <wp:inline distT="0" distB="0" distL="114300" distR="114300">
                  <wp:extent cx="1971675" cy="1528445"/>
                  <wp:effectExtent l="0" t="0" r="9525" b="8255"/>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10"/>
                          <a:stretch>
                            <a:fillRect/>
                          </a:stretch>
                        </pic:blipFill>
                        <pic:spPr>
                          <a:xfrm>
                            <a:off x="0" y="0"/>
                            <a:ext cx="1971675" cy="1528445"/>
                          </a:xfrm>
                          <a:prstGeom prst="rect">
                            <a:avLst/>
                          </a:prstGeom>
                          <a:noFill/>
                          <a:ln>
                            <a:noFill/>
                          </a:ln>
                        </pic:spPr>
                      </pic:pic>
                    </a:graphicData>
                  </a:graphic>
                </wp:inline>
              </w:drawing>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●日常监督检查：管代负责对各部门的职业健康安全行为进行不定期的巡检。巡检内容包括：办公和检测检测是否张贴安全警示标识、劳保用品发放和佩戴情况,疫情防控情况等等，发现问题立即整改。</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●环境绩效监测：</w:t>
            </w:r>
          </w:p>
          <w:p>
            <w:pP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提供了</w:t>
            </w:r>
            <w:r>
              <w:rPr>
                <w:rFonts w:hint="eastAsia" w:ascii="Times New Roman" w:hAnsi="Times New Roman" w:eastAsia="宋体" w:cs="Times New Roman"/>
                <w:sz w:val="21"/>
                <w:szCs w:val="21"/>
                <w:lang w:val="en-US" w:eastAsia="zh-CN"/>
              </w:rPr>
              <w:t>环境检测报告，详见附件。</w:t>
            </w:r>
          </w:p>
          <w:p>
            <w:pPr>
              <w:pStyle w:val="9"/>
              <w:rPr>
                <w:rFonts w:hint="default"/>
                <w:lang w:val="en-US" w:eastAsia="zh-CN"/>
              </w:rPr>
            </w:pPr>
            <w:r>
              <w:drawing>
                <wp:inline distT="0" distB="0" distL="114300" distR="114300">
                  <wp:extent cx="1359535" cy="1687830"/>
                  <wp:effectExtent l="0" t="0" r="1206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1359535" cy="1687830"/>
                          </a:xfrm>
                          <a:prstGeom prst="rect">
                            <a:avLst/>
                          </a:prstGeom>
                          <a:noFill/>
                          <a:ln>
                            <a:noFill/>
                          </a:ln>
                        </pic:spPr>
                      </pic:pic>
                    </a:graphicData>
                  </a:graphic>
                </wp:inline>
              </w:drawing>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提供了危险废物处置合同，</w:t>
            </w:r>
            <w:r>
              <w:rPr>
                <w:rFonts w:hint="eastAsia" w:ascii="Times New Roman" w:hAnsi="Times New Roman" w:eastAsia="宋体" w:cs="Times New Roman"/>
                <w:sz w:val="21"/>
                <w:szCs w:val="21"/>
                <w:lang w:val="en-US" w:eastAsia="zh-CN"/>
              </w:rPr>
              <w:t>详见附件</w:t>
            </w:r>
            <w:r>
              <w:rPr>
                <w:rFonts w:hint="default" w:ascii="Times New Roman" w:hAnsi="Times New Roman" w:eastAsia="宋体" w:cs="Times New Roman"/>
                <w:sz w:val="21"/>
                <w:szCs w:val="21"/>
                <w:lang w:val="en-US" w:eastAsia="zh-CN"/>
              </w:rPr>
              <w:t>。</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危险化学品管理：易制毒、易制爆化学品受公安部门监管。</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●职业健康安全监测：</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组织员工进行了体检，提供有健康证</w:t>
            </w:r>
          </w:p>
          <w:p>
            <w:pPr>
              <w:pStyle w:val="9"/>
              <w:rPr>
                <w:rFonts w:hint="eastAsia"/>
                <w:lang w:val="en-US" w:eastAsia="zh-CN"/>
              </w:rPr>
            </w:pPr>
            <w:r>
              <w:drawing>
                <wp:inline distT="0" distB="0" distL="114300" distR="114300">
                  <wp:extent cx="2628900" cy="1657350"/>
                  <wp:effectExtent l="0" t="0" r="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2628900" cy="1657350"/>
                          </a:xfrm>
                          <a:prstGeom prst="rect">
                            <a:avLst/>
                          </a:prstGeom>
                          <a:noFill/>
                          <a:ln>
                            <a:noFill/>
                          </a:ln>
                        </pic:spPr>
                      </pic:pic>
                    </a:graphicData>
                  </a:graphic>
                </wp:inline>
              </w:drawing>
            </w:r>
          </w:p>
          <w:p>
            <w:pP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自上次以来没有发生过安全事故。</w:t>
            </w:r>
          </w:p>
        </w:tc>
        <w:tc>
          <w:tcPr>
            <w:tcW w:w="1585" w:type="dxa"/>
          </w:tcPr>
          <w:p>
            <w:pPr>
              <w:rPr>
                <w:rFonts w:hint="eastAsia" w:eastAsia="宋体"/>
                <w:lang w:val="en-US" w:eastAsia="zh-CN"/>
              </w:rPr>
            </w:pPr>
            <w:r>
              <w:rPr>
                <w:rFonts w:hint="eastAsia"/>
                <w:lang w:val="en-US" w:eastAsia="zh-CN"/>
              </w:rPr>
              <w:t>y</w:t>
            </w:r>
          </w:p>
          <w:p>
            <w:pPr>
              <w:pStyle w:val="9"/>
            </w:pPr>
          </w:p>
          <w:p>
            <w:pPr>
              <w:pStyle w:val="9"/>
            </w:pPr>
          </w:p>
          <w:p>
            <w:pPr>
              <w:pStyle w:val="9"/>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76" w:type="dxa"/>
          </w:tcPr>
          <w:p>
            <w:pPr>
              <w:rPr>
                <w:rFonts w:hint="default"/>
                <w:szCs w:val="22"/>
                <w:highlight w:val="none"/>
                <w:lang w:val="en-US" w:eastAsia="zh-CN"/>
              </w:rPr>
            </w:pPr>
            <w:r>
              <w:rPr>
                <w:rFonts w:hint="eastAsia"/>
                <w:szCs w:val="22"/>
                <w:highlight w:val="none"/>
                <w:lang w:val="en-US" w:eastAsia="zh-CN"/>
              </w:rPr>
              <w:t>应急准备和响应</w:t>
            </w:r>
          </w:p>
        </w:tc>
        <w:tc>
          <w:tcPr>
            <w:tcW w:w="1044" w:type="dxa"/>
          </w:tcPr>
          <w:p>
            <w:pPr>
              <w:rPr>
                <w:rFonts w:hint="default"/>
                <w:highlight w:val="none"/>
                <w:lang w:val="en-US" w:eastAsia="zh-CN"/>
              </w:rPr>
            </w:pPr>
            <w:r>
              <w:rPr>
                <w:rFonts w:hint="eastAsia"/>
                <w:highlight w:val="none"/>
                <w:lang w:val="en-US" w:eastAsia="zh-CN"/>
              </w:rPr>
              <w:t>EO8.2</w:t>
            </w:r>
          </w:p>
        </w:tc>
        <w:tc>
          <w:tcPr>
            <w:tcW w:w="10004" w:type="dxa"/>
          </w:tcPr>
          <w:p>
            <w:pPr>
              <w:rPr>
                <w:rFonts w:hint="eastAsia"/>
                <w:lang w:val="en-US" w:eastAsia="zh-CN"/>
              </w:rPr>
            </w:pPr>
            <w:r>
              <w:rPr>
                <w:rFonts w:hint="eastAsia"/>
                <w:lang w:val="en-US" w:eastAsia="zh-CN"/>
              </w:rPr>
              <w:t>编制了《</w:t>
            </w:r>
            <w:r>
              <w:rPr>
                <w:rFonts w:hint="eastAsia"/>
              </w:rPr>
              <w:t>应急准备和响应控制程序</w:t>
            </w:r>
            <w:r>
              <w:rPr>
                <w:rFonts w:hint="eastAsia"/>
                <w:lang w:val="en-US" w:eastAsia="zh-CN"/>
              </w:rPr>
              <w:t>》，</w:t>
            </w:r>
          </w:p>
          <w:p>
            <w:pPr>
              <w:rPr>
                <w:rFonts w:hint="eastAsia"/>
                <w:lang w:val="en-US" w:eastAsia="zh-CN"/>
              </w:rPr>
            </w:pPr>
            <w:r>
              <w:rPr>
                <w:rFonts w:hint="eastAsia"/>
                <w:lang w:val="en-US" w:eastAsia="zh-CN"/>
              </w:rPr>
              <w:t>企业于2022年8月5日进行了突发环境事件应急演练。</w:t>
            </w:r>
          </w:p>
          <w:p>
            <w:pPr>
              <w:pStyle w:val="9"/>
              <w:rPr>
                <w:rFonts w:hint="default"/>
                <w:lang w:val="en-US" w:eastAsia="zh-CN"/>
              </w:rPr>
            </w:pPr>
            <w:r>
              <w:rPr>
                <w:rFonts w:hint="eastAsia"/>
                <w:lang w:val="en-US" w:eastAsia="zh-CN"/>
              </w:rPr>
              <w:t>于2022年8月15日进行了火灾事故应急演练。</w:t>
            </w:r>
          </w:p>
          <w:p>
            <w:pPr>
              <w:pStyle w:val="9"/>
            </w:pPr>
            <w:r>
              <w:drawing>
                <wp:inline distT="0" distB="0" distL="114300" distR="114300">
                  <wp:extent cx="5378450" cy="2051050"/>
                  <wp:effectExtent l="0" t="0" r="6350" b="635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5378450" cy="2051050"/>
                          </a:xfrm>
                          <a:prstGeom prst="rect">
                            <a:avLst/>
                          </a:prstGeom>
                          <a:noFill/>
                          <a:ln>
                            <a:noFill/>
                          </a:ln>
                        </pic:spPr>
                      </pic:pic>
                    </a:graphicData>
                  </a:graphic>
                </wp:inline>
              </w:drawing>
            </w:r>
          </w:p>
          <w:p>
            <w:pPr>
              <w:pStyle w:val="9"/>
            </w:pPr>
          </w:p>
          <w:p>
            <w:pPr>
              <w:pStyle w:val="9"/>
              <w:rPr>
                <w:rFonts w:hint="eastAsia" w:eastAsia="宋体"/>
                <w:lang w:val="en-US" w:eastAsia="zh-CN"/>
              </w:rPr>
            </w:pPr>
            <w:r>
              <w:drawing>
                <wp:inline distT="0" distB="0" distL="114300" distR="114300">
                  <wp:extent cx="1485900" cy="236220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1485900" cy="23622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71930" cy="2413000"/>
                  <wp:effectExtent l="0" t="0" r="127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1471930" cy="24130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84325" cy="2230120"/>
                  <wp:effectExtent l="0" t="0" r="3175" b="508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1584325" cy="2230120"/>
                          </a:xfrm>
                          <a:prstGeom prst="rect">
                            <a:avLst/>
                          </a:prstGeom>
                          <a:noFill/>
                          <a:ln>
                            <a:noFill/>
                          </a:ln>
                        </pic:spPr>
                      </pic:pic>
                    </a:graphicData>
                  </a:graphic>
                </wp:inline>
              </w:drawing>
            </w:r>
          </w:p>
        </w:tc>
        <w:tc>
          <w:tcPr>
            <w:tcW w:w="1585" w:type="dxa"/>
          </w:tcPr>
          <w:p>
            <w:pPr>
              <w:rPr>
                <w:rFonts w:hint="eastAsia" w:eastAsia="宋体"/>
                <w:lang w:val="en-US" w:eastAsia="zh-CN"/>
              </w:rPr>
            </w:pPr>
            <w:r>
              <w:rPr>
                <w:rFonts w:hint="eastAsia"/>
                <w:lang w:val="en-US" w:eastAsia="zh-CN"/>
              </w:rPr>
              <w:t>y</w:t>
            </w:r>
          </w:p>
          <w:p>
            <w:pPr>
              <w:pStyle w:val="9"/>
            </w:pPr>
          </w:p>
          <w:p>
            <w:pPr>
              <w:pStyle w:val="9"/>
            </w:pPr>
          </w:p>
          <w:p>
            <w:pPr>
              <w:pStyle w:val="9"/>
            </w:pPr>
          </w:p>
          <w:p>
            <w:pPr>
              <w:pStyle w:val="9"/>
            </w:pPr>
          </w:p>
          <w:p>
            <w:pPr>
              <w:pStyle w:val="9"/>
            </w:pPr>
          </w:p>
          <w:p>
            <w:pPr>
              <w:pStyle w:val="9"/>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76" w:type="dxa"/>
            <w:vAlign w:val="top"/>
          </w:tcPr>
          <w:p>
            <w:pPr>
              <w:rPr>
                <w:rFonts w:hint="eastAsia" w:ascii="Times New Roman" w:hAnsi="Times New Roman" w:eastAsia="宋体" w:cs="Times New Roman"/>
                <w:kern w:val="2"/>
                <w:sz w:val="21"/>
                <w:szCs w:val="22"/>
                <w:lang w:val="en-US" w:eastAsia="zh-CN" w:bidi="ar-SA"/>
              </w:rPr>
            </w:pPr>
            <w:r>
              <w:rPr>
                <w:rFonts w:hint="eastAsia"/>
                <w:szCs w:val="22"/>
                <w:lang w:val="en-US" w:eastAsia="zh-CN"/>
              </w:rPr>
              <w:t>内审</w:t>
            </w:r>
          </w:p>
        </w:tc>
        <w:tc>
          <w:tcPr>
            <w:tcW w:w="1044"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QEO9.2</w:t>
            </w:r>
          </w:p>
        </w:tc>
        <w:tc>
          <w:tcPr>
            <w:tcW w:w="10004" w:type="dxa"/>
            <w:vAlign w:val="top"/>
          </w:tcPr>
          <w:p>
            <w:r>
              <w:rPr>
                <w:rFonts w:hint="eastAsia" w:cs="宋体"/>
              </w:rPr>
              <w:t>编制《内</w:t>
            </w:r>
            <w:r>
              <w:rPr>
                <w:rFonts w:hint="eastAsia" w:cs="宋体"/>
                <w:lang w:val="en-US" w:eastAsia="zh-CN"/>
              </w:rPr>
              <w:t>部</w:t>
            </w:r>
            <w:r>
              <w:rPr>
                <w:rFonts w:hint="eastAsia" w:cs="宋体"/>
              </w:rPr>
              <w:t>审</w:t>
            </w:r>
            <w:r>
              <w:rPr>
                <w:rFonts w:hint="eastAsia" w:cs="宋体"/>
                <w:lang w:val="en-US" w:eastAsia="zh-CN"/>
              </w:rPr>
              <w:t>核</w:t>
            </w:r>
            <w:r>
              <w:rPr>
                <w:rFonts w:hint="eastAsia" w:cs="宋体"/>
              </w:rPr>
              <w:t>控制程序》</w:t>
            </w:r>
            <w:r>
              <w:rPr>
                <w:rFonts w:hint="eastAsia" w:cs="宋体"/>
                <w:lang w:eastAsia="zh-CN"/>
              </w:rPr>
              <w:t>，</w:t>
            </w:r>
            <w:r>
              <w:rPr>
                <w:rFonts w:hint="eastAsia" w:cs="宋体"/>
              </w:rPr>
              <w:t>提供有以下内审的资料：</w:t>
            </w:r>
          </w:p>
          <w:p>
            <w:pPr>
              <w:rPr>
                <w:rFonts w:hint="eastAsia" w:cs="宋体"/>
              </w:rPr>
            </w:pPr>
            <w:r>
              <w:t>——</w:t>
            </w:r>
            <w:r>
              <w:rPr>
                <w:rFonts w:hint="eastAsia" w:cs="宋体"/>
              </w:rPr>
              <w:t>《</w:t>
            </w:r>
            <w:r>
              <w:rPr>
                <w:rFonts w:hint="eastAsia" w:cs="宋体"/>
                <w:lang w:val="en-US" w:eastAsia="zh-CN"/>
              </w:rPr>
              <w:t>内部</w:t>
            </w:r>
            <w:r>
              <w:rPr>
                <w:rFonts w:hint="eastAsia" w:cs="宋体"/>
              </w:rPr>
              <w:t>审核计划》，编制：</w:t>
            </w:r>
            <w:r>
              <w:rPr>
                <w:rFonts w:hint="eastAsia" w:cs="宋体"/>
                <w:lang w:val="en-US" w:eastAsia="zh-CN"/>
              </w:rPr>
              <w:t>吕美博</w:t>
            </w:r>
            <w:r>
              <w:rPr>
                <w:rFonts w:hint="eastAsia" w:cs="宋体"/>
              </w:rPr>
              <w:t xml:space="preserve"> 审批：</w:t>
            </w:r>
            <w:r>
              <w:rPr>
                <w:rFonts w:hint="eastAsia" w:cs="宋体"/>
                <w:lang w:val="en-US" w:eastAsia="zh-CN"/>
              </w:rPr>
              <w:t>卓林双</w:t>
            </w:r>
            <w:r>
              <w:rPr>
                <w:rFonts w:hint="eastAsia" w:cs="宋体"/>
              </w:rPr>
              <w:t xml:space="preserve">  日期：202</w:t>
            </w:r>
            <w:r>
              <w:rPr>
                <w:rFonts w:hint="eastAsia" w:cs="宋体"/>
                <w:lang w:val="en-US" w:eastAsia="zh-CN"/>
              </w:rPr>
              <w:t>2</w:t>
            </w:r>
            <w:r>
              <w:rPr>
                <w:rFonts w:hint="eastAsia" w:cs="宋体"/>
              </w:rPr>
              <w:t>年</w:t>
            </w:r>
            <w:r>
              <w:rPr>
                <w:rFonts w:hint="eastAsia" w:cs="宋体"/>
                <w:lang w:val="en-US" w:eastAsia="zh-CN"/>
              </w:rPr>
              <w:t>10</w:t>
            </w:r>
            <w:r>
              <w:rPr>
                <w:rFonts w:hint="eastAsia" w:cs="宋体"/>
              </w:rPr>
              <w:t>月</w:t>
            </w:r>
            <w:r>
              <w:rPr>
                <w:rFonts w:hint="eastAsia" w:cs="宋体"/>
                <w:lang w:val="en-US" w:eastAsia="zh-CN"/>
              </w:rPr>
              <w:t>18</w:t>
            </w:r>
            <w:r>
              <w:rPr>
                <w:rFonts w:hint="eastAsia" w:cs="宋体"/>
              </w:rPr>
              <w:t>日</w:t>
            </w:r>
          </w:p>
          <w:p>
            <w:r>
              <w:rPr>
                <w:rFonts w:hint="eastAsia" w:cs="宋体"/>
              </w:rPr>
              <w:t>计划中规定审核的目的、依据、范围、时间、审核安排；</w:t>
            </w:r>
          </w:p>
          <w:p>
            <w:pPr>
              <w:rPr>
                <w:rFonts w:hint="default" w:eastAsia="宋体"/>
                <w:lang w:val="en-US" w:eastAsia="zh-CN"/>
              </w:rPr>
            </w:pPr>
            <w:r>
              <w:rPr>
                <w:rFonts w:hint="eastAsia" w:cs="宋体"/>
              </w:rPr>
              <w:t>审核组组长：</w:t>
            </w:r>
            <w:r>
              <w:rPr>
                <w:rFonts w:hint="eastAsia" w:ascii="宋体" w:hAnsi="宋体" w:cs="宋体"/>
                <w:bCs/>
                <w:lang w:val="en-US" w:eastAsia="zh-CN"/>
              </w:rPr>
              <w:t>吕美博</w:t>
            </w:r>
            <w:r>
              <w:rPr>
                <w:rFonts w:hint="eastAsia" w:cs="宋体"/>
              </w:rPr>
              <w:t>，组员：</w:t>
            </w:r>
            <w:r>
              <w:rPr>
                <w:rFonts w:hint="eastAsia" w:ascii="宋体" w:hAnsi="宋体" w:cs="宋体"/>
                <w:bCs/>
                <w:color w:val="000000"/>
                <w:lang w:val="en-US" w:eastAsia="zh-CN"/>
              </w:rPr>
              <w:t>高梦、王三红、韩军涛、张晶晶、王佳楠、赵亚平、李红娇</w:t>
            </w:r>
          </w:p>
          <w:p>
            <w:pPr>
              <w:rPr>
                <w:rFonts w:hint="eastAsia" w:cs="宋体"/>
                <w:highlight w:val="none"/>
                <w:lang w:val="en-US" w:eastAsia="zh-CN"/>
              </w:rPr>
            </w:pPr>
            <w:r>
              <w:rPr>
                <w:rFonts w:hint="eastAsia" w:cs="宋体"/>
                <w:highlight w:val="none"/>
                <w:lang w:val="en-US" w:eastAsia="zh-CN"/>
              </w:rPr>
              <w:t>审核时间：2022年10月20-21日</w:t>
            </w:r>
          </w:p>
          <w:p>
            <w:r>
              <w:rPr>
                <w:rFonts w:hint="eastAsia" w:cs="宋体"/>
                <w:highlight w:val="none"/>
              </w:rPr>
              <w:t>计划中没有漏标准条款、没有遗漏体系覆盖的部门和场所，内审员没有审核自己的工作</w:t>
            </w:r>
            <w:r>
              <w:rPr>
                <w:rFonts w:hint="eastAsia" w:cs="宋体"/>
              </w:rPr>
              <w:t>。</w:t>
            </w:r>
          </w:p>
          <w:p>
            <w:r>
              <w:t>——</w:t>
            </w:r>
            <w:r>
              <w:rPr>
                <w:rFonts w:hint="eastAsia" w:cs="宋体"/>
              </w:rPr>
              <w:t>内审首末次会议签到（领导层、各部门负责人）；</w:t>
            </w:r>
          </w:p>
          <w:p>
            <w:pPr>
              <w:rPr>
                <w:rFonts w:hint="eastAsia"/>
                <w:lang w:val="en-US" w:eastAsia="zh-CN"/>
              </w:rPr>
            </w:pPr>
            <w:r>
              <w:t>——</w:t>
            </w:r>
            <w:r>
              <w:rPr>
                <w:rFonts w:hint="eastAsia" w:cs="宋体"/>
              </w:rPr>
              <w:t>内部审核检查表，审核按计划进行，没有遗漏标准条款及体系覆盖的部门和场所，内审员没有审核自己的工作</w:t>
            </w:r>
            <w:r>
              <w:rPr>
                <w:rFonts w:hint="eastAsia"/>
                <w:lang w:val="en-US" w:eastAsia="zh-CN"/>
              </w:rPr>
              <w:t>。</w:t>
            </w:r>
          </w:p>
          <w:p>
            <w:pPr>
              <w:rPr>
                <w:rFonts w:hint="eastAsia" w:ascii="Times New Roman" w:hAnsi="Times New Roman" w:eastAsia="宋体" w:cs="宋体"/>
                <w:szCs w:val="22"/>
                <w:highlight w:val="none"/>
              </w:rPr>
            </w:pPr>
            <w:r>
              <w:rPr>
                <w:rFonts w:hint="eastAsia" w:ascii="Times New Roman" w:hAnsi="Times New Roman" w:eastAsia="宋体" w:cs="宋体"/>
                <w:szCs w:val="22"/>
                <w:highlight w:val="none"/>
              </w:rPr>
              <w:t>经查：总经理、管代、各部门主管均经培训并参加了内部审核。</w:t>
            </w:r>
          </w:p>
          <w:p>
            <w:pPr>
              <w:rPr>
                <w:rFonts w:hint="eastAsia" w:ascii="Times New Roman" w:hAnsi="Times New Roman" w:eastAsia="宋体" w:cs="宋体"/>
                <w:szCs w:val="22"/>
                <w:highlight w:val="none"/>
              </w:rPr>
            </w:pPr>
            <w:r>
              <w:rPr>
                <w:rFonts w:hint="eastAsia" w:ascii="Times New Roman" w:hAnsi="Times New Roman" w:eastAsia="宋体" w:cs="宋体"/>
                <w:szCs w:val="22"/>
                <w:highlight w:val="none"/>
              </w:rPr>
              <w:t>——本次内审发现</w:t>
            </w:r>
            <w:r>
              <w:rPr>
                <w:rFonts w:hint="eastAsia" w:cs="宋体"/>
                <w:szCs w:val="22"/>
                <w:highlight w:val="none"/>
                <w:lang w:val="en-US" w:eastAsia="zh-CN"/>
              </w:rPr>
              <w:t>3</w:t>
            </w:r>
            <w:r>
              <w:rPr>
                <w:rFonts w:hint="eastAsia" w:ascii="Times New Roman" w:hAnsi="Times New Roman" w:eastAsia="宋体" w:cs="宋体"/>
                <w:szCs w:val="22"/>
                <w:highlight w:val="none"/>
              </w:rPr>
              <w:t>项不合格，为一般不符合项，查看《不符合报告》</w:t>
            </w:r>
          </w:p>
          <w:p>
            <w:pPr>
              <w:pStyle w:val="9"/>
              <w:rPr>
                <w:rFonts w:hint="eastAsia" w:ascii="Times New Roman" w:hAnsi="Times New Roman" w:eastAsia="宋体" w:cs="宋体"/>
                <w:szCs w:val="22"/>
                <w:highlight w:val="none"/>
              </w:rPr>
            </w:pPr>
            <w:r>
              <w:rPr>
                <w:rFonts w:hint="eastAsia" w:ascii="Times New Roman" w:hAnsi="Times New Roman" w:eastAsia="宋体" w:cs="宋体"/>
                <w:szCs w:val="22"/>
                <w:highlight w:val="none"/>
              </w:rPr>
              <w:t>——本次内审编制有《内部审核报告》</w:t>
            </w:r>
          </w:p>
          <w:p>
            <w:pPr>
              <w:pStyle w:val="9"/>
              <w:rPr>
                <w:rFonts w:hint="eastAsia" w:ascii="Times New Roman" w:hAnsi="Times New Roman" w:eastAsia="宋体" w:cs="宋体"/>
                <w:szCs w:val="22"/>
                <w:highlight w:val="none"/>
                <w:lang w:val="en-US" w:eastAsia="zh-CN"/>
              </w:rPr>
            </w:pPr>
            <w:r>
              <w:drawing>
                <wp:inline distT="0" distB="0" distL="114300" distR="114300">
                  <wp:extent cx="1232535" cy="1992630"/>
                  <wp:effectExtent l="0" t="0" r="12065" b="127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1232535" cy="19926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77950" cy="1944370"/>
                  <wp:effectExtent l="0" t="0" r="6350" b="1143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stretch>
                            <a:fillRect/>
                          </a:stretch>
                        </pic:blipFill>
                        <pic:spPr>
                          <a:xfrm>
                            <a:off x="0" y="0"/>
                            <a:ext cx="1377950" cy="19443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27785" cy="1877060"/>
                  <wp:effectExtent l="0" t="0" r="5715"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stretch>
                            <a:fillRect/>
                          </a:stretch>
                        </pic:blipFill>
                        <pic:spPr>
                          <a:xfrm>
                            <a:off x="0" y="0"/>
                            <a:ext cx="1327785" cy="18770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04950" cy="1709420"/>
                  <wp:effectExtent l="0" t="0" r="6350" b="508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stretch>
                            <a:fillRect/>
                          </a:stretch>
                        </pic:blipFill>
                        <pic:spPr>
                          <a:xfrm>
                            <a:off x="0" y="0"/>
                            <a:ext cx="1504950" cy="1709420"/>
                          </a:xfrm>
                          <a:prstGeom prst="rect">
                            <a:avLst/>
                          </a:prstGeom>
                          <a:noFill/>
                          <a:ln>
                            <a:noFill/>
                          </a:ln>
                        </pic:spPr>
                      </pic:pic>
                    </a:graphicData>
                  </a:graphic>
                </wp:inline>
              </w:drawing>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76" w:type="dxa"/>
            <w:vAlign w:val="center"/>
          </w:tcPr>
          <w:p>
            <w:pPr>
              <w:rPr>
                <w:rFonts w:hint="eastAsia"/>
                <w:szCs w:val="22"/>
                <w:lang w:val="en-US" w:eastAsia="zh-CN"/>
              </w:rPr>
            </w:pPr>
            <w:r>
              <w:rPr>
                <w:rFonts w:hint="eastAsia" w:cs="宋体"/>
              </w:rPr>
              <w:t>不符合和纠正措施</w:t>
            </w:r>
          </w:p>
        </w:tc>
        <w:tc>
          <w:tcPr>
            <w:tcW w:w="1044" w:type="dxa"/>
            <w:vAlign w:val="center"/>
          </w:tcPr>
          <w:p>
            <w:pPr>
              <w:rPr>
                <w:rFonts w:hint="eastAsia" w:eastAsia="宋体"/>
                <w:lang w:val="en-US" w:eastAsia="zh-CN"/>
              </w:rPr>
            </w:pPr>
            <w:r>
              <w:t>QE</w:t>
            </w:r>
            <w:r>
              <w:rPr>
                <w:rFonts w:hint="eastAsia"/>
                <w:lang w:val="en-US" w:eastAsia="zh-CN"/>
              </w:rPr>
              <w:t>O</w:t>
            </w:r>
          </w:p>
          <w:p>
            <w:pPr>
              <w:rPr>
                <w:rFonts w:hint="default"/>
                <w:lang w:val="en-US" w:eastAsia="zh-CN"/>
              </w:rPr>
            </w:pPr>
            <w:r>
              <w:t>10.2</w:t>
            </w:r>
          </w:p>
        </w:tc>
        <w:tc>
          <w:tcPr>
            <w:tcW w:w="10004" w:type="dxa"/>
            <w:vAlign w:val="center"/>
          </w:tcPr>
          <w:p>
            <w:r>
              <w:rPr>
                <w:rFonts w:hint="eastAsia"/>
              </w:rPr>
              <w:t>制定了《事故、事件、不符合管理程序》、《纠正与预防措施控制程序》，内容基本符合标准要求。</w:t>
            </w:r>
          </w:p>
          <w:p>
            <w:r>
              <w:rPr>
                <w:rFonts w:hint="eastAsia"/>
              </w:rPr>
              <w:t>对日常工作检查，管理评审，内审，其他考评，合规性评价发现的不符合及质量、环境的事件采取纠正，防止事态发展，进行原因分析，采取必要的纠正预防措施，防止事件的发生、再发生。</w:t>
            </w:r>
          </w:p>
          <w:p>
            <w:pPr>
              <w:rPr>
                <w:rFonts w:hint="eastAsia"/>
              </w:rPr>
            </w:pPr>
            <w:r>
              <w:rPr>
                <w:rFonts w:hint="eastAsia"/>
              </w:rPr>
              <w:t>对管理评审、内审提出的不符合及改进要求，进行原因分析，制定了具体措施，目前已实施完成。</w:t>
            </w:r>
          </w:p>
        </w:tc>
        <w:tc>
          <w:tcPr>
            <w:tcW w:w="1585" w:type="dxa"/>
          </w:tcPr>
          <w:p>
            <w:pPr>
              <w:rPr>
                <w:rFonts w:hint="eastAsia" w:eastAsia="宋体"/>
                <w:lang w:val="en-US" w:eastAsia="zh-CN"/>
              </w:rPr>
            </w:pPr>
            <w:r>
              <w:rPr>
                <w:rFonts w:hint="eastAsia"/>
                <w:lang w:val="en-US" w:eastAsia="zh-CN"/>
              </w:rPr>
              <w:t>y</w:t>
            </w:r>
          </w:p>
        </w:tc>
      </w:tr>
    </w:tbl>
    <w:p>
      <w:pPr>
        <w:pStyle w:val="5"/>
        <w:rPr>
          <w:rFonts w:hint="eastAsia"/>
        </w:rPr>
      </w:pPr>
    </w:p>
    <w:p>
      <w:pPr>
        <w:pStyle w:val="5"/>
      </w:pPr>
      <w:r>
        <w:rPr>
          <w:rFonts w:hint="eastAsia"/>
        </w:rPr>
        <w:t>说明：不符合标注N</w:t>
      </w: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103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9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3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营销部    </w:t>
            </w:r>
            <w:r>
              <w:rPr>
                <w:rFonts w:hint="eastAsia"/>
                <w:sz w:val="24"/>
                <w:szCs w:val="24"/>
              </w:rPr>
              <w:t>主管领导：</w:t>
            </w:r>
            <w:r>
              <w:rPr>
                <w:rFonts w:hint="eastAsia"/>
                <w:sz w:val="24"/>
                <w:szCs w:val="24"/>
                <w:lang w:val="en-US" w:eastAsia="zh-CN"/>
              </w:rPr>
              <w:t xml:space="preserve">李红俊     </w:t>
            </w:r>
            <w:r>
              <w:rPr>
                <w:rFonts w:hint="eastAsia"/>
                <w:sz w:val="24"/>
                <w:szCs w:val="24"/>
              </w:rPr>
              <w:t>陪同人员：</w:t>
            </w:r>
            <w:r>
              <w:rPr>
                <w:rFonts w:hint="eastAsia"/>
                <w:sz w:val="24"/>
                <w:szCs w:val="24"/>
                <w:lang w:val="en-US" w:eastAsia="zh-CN"/>
              </w:rPr>
              <w:t>王佳楠</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90" w:type="dxa"/>
            <w:vMerge w:val="continue"/>
            <w:vAlign w:val="center"/>
          </w:tcPr>
          <w:p/>
        </w:tc>
        <w:tc>
          <w:tcPr>
            <w:tcW w:w="103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吉洁          </w:t>
            </w:r>
            <w:r>
              <w:rPr>
                <w:rFonts w:hint="eastAsia"/>
                <w:sz w:val="24"/>
                <w:szCs w:val="24"/>
              </w:rPr>
              <w:t>审核时间：</w:t>
            </w:r>
            <w:r>
              <w:rPr>
                <w:rFonts w:hint="eastAsia"/>
                <w:sz w:val="24"/>
                <w:szCs w:val="24"/>
                <w:lang w:val="en-US" w:eastAsia="zh-CN"/>
              </w:rPr>
              <w:t>2023.2.12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90" w:type="dxa"/>
            <w:vMerge w:val="continue"/>
            <w:vAlign w:val="center"/>
          </w:tcPr>
          <w:p/>
        </w:tc>
        <w:tc>
          <w:tcPr>
            <w:tcW w:w="1030" w:type="dxa"/>
            <w:vMerge w:val="continue"/>
            <w:vAlign w:val="center"/>
          </w:tcPr>
          <w:p/>
        </w:tc>
        <w:tc>
          <w:tcPr>
            <w:tcW w:w="10004" w:type="dxa"/>
            <w:vAlign w:val="top"/>
          </w:tcPr>
          <w:p>
            <w:pPr>
              <w:spacing w:line="300" w:lineRule="exact"/>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涉及条款：Q</w:t>
            </w:r>
            <w:r>
              <w:rPr>
                <w:rFonts w:hint="eastAsia"/>
                <w:sz w:val="21"/>
                <w:szCs w:val="21"/>
              </w:rPr>
              <w:t>5.3/6.2/8.</w:t>
            </w:r>
            <w:r>
              <w:rPr>
                <w:rFonts w:hint="eastAsia"/>
                <w:sz w:val="21"/>
                <w:szCs w:val="21"/>
                <w:lang w:val="en-US" w:eastAsia="zh-CN"/>
              </w:rPr>
              <w:t>2</w:t>
            </w:r>
            <w:r>
              <w:rPr>
                <w:rFonts w:hint="eastAsia"/>
                <w:sz w:val="21"/>
                <w:szCs w:val="21"/>
              </w:rPr>
              <w:t>/8.</w:t>
            </w:r>
            <w:r>
              <w:rPr>
                <w:rFonts w:hint="eastAsia"/>
                <w:sz w:val="21"/>
                <w:szCs w:val="21"/>
                <w:lang w:val="en-US" w:eastAsia="zh-CN"/>
              </w:rPr>
              <w:t>5.1/</w:t>
            </w:r>
            <w:r>
              <w:rPr>
                <w:rFonts w:hint="eastAsia"/>
                <w:sz w:val="21"/>
                <w:szCs w:val="21"/>
              </w:rPr>
              <w:t>8.5.</w:t>
            </w:r>
            <w:r>
              <w:rPr>
                <w:rFonts w:hint="eastAsia"/>
                <w:sz w:val="21"/>
                <w:szCs w:val="21"/>
                <w:lang w:val="en-US" w:eastAsia="zh-CN"/>
              </w:rPr>
              <w:t>3</w:t>
            </w:r>
            <w:r>
              <w:rPr>
                <w:rFonts w:hint="eastAsia"/>
                <w:sz w:val="21"/>
                <w:szCs w:val="21"/>
              </w:rPr>
              <w:t>/8.5.</w:t>
            </w:r>
            <w:r>
              <w:rPr>
                <w:rFonts w:hint="eastAsia"/>
                <w:sz w:val="21"/>
                <w:szCs w:val="21"/>
                <w:lang w:val="en-US" w:eastAsia="zh-CN"/>
              </w:rPr>
              <w:t>5</w:t>
            </w:r>
            <w:r>
              <w:rPr>
                <w:rFonts w:hint="eastAsia"/>
                <w:sz w:val="21"/>
                <w:szCs w:val="21"/>
              </w:rPr>
              <w:t>/9.1.2</w:t>
            </w:r>
            <w:r>
              <w:rPr>
                <w:rFonts w:hint="eastAsia"/>
                <w:sz w:val="21"/>
                <w:szCs w:val="21"/>
                <w:lang w:eastAsia="zh-CN"/>
              </w:rPr>
              <w:t>；</w:t>
            </w:r>
            <w:r>
              <w:rPr>
                <w:rFonts w:hint="eastAsia"/>
                <w:sz w:val="21"/>
                <w:szCs w:val="21"/>
              </w:rPr>
              <w:t>E</w:t>
            </w:r>
            <w:r>
              <w:rPr>
                <w:rFonts w:hint="eastAsia"/>
                <w:sz w:val="21"/>
                <w:szCs w:val="21"/>
                <w:lang w:val="en-US" w:eastAsia="zh-CN"/>
              </w:rPr>
              <w:t>O</w:t>
            </w:r>
            <w:r>
              <w:rPr>
                <w:rFonts w:hint="eastAsia"/>
                <w:sz w:val="21"/>
                <w:szCs w:val="21"/>
              </w:rPr>
              <w:t>5.3/6.2</w:t>
            </w:r>
            <w:r>
              <w:rPr>
                <w:rFonts w:hint="eastAsia"/>
                <w:sz w:val="21"/>
                <w:szCs w:val="21"/>
                <w:lang w:val="en-US" w:eastAsia="zh-CN"/>
              </w:rPr>
              <w:t>/</w:t>
            </w:r>
            <w:r>
              <w:rPr>
                <w:rFonts w:hint="eastAsia"/>
                <w:sz w:val="21"/>
                <w:szCs w:val="21"/>
              </w:rPr>
              <w:t>6.1.2/8.1/8.2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90" w:type="dxa"/>
          </w:tcPr>
          <w:p>
            <w:pPr>
              <w:rPr>
                <w:rFonts w:hint="default" w:eastAsia="宋体"/>
                <w:lang w:val="en-US" w:eastAsia="zh-CN"/>
              </w:rPr>
            </w:pPr>
            <w:r>
              <w:rPr>
                <w:rFonts w:hint="eastAsia"/>
                <w:lang w:val="en-US" w:eastAsia="zh-CN"/>
              </w:rPr>
              <w:t>职责、权限</w:t>
            </w:r>
          </w:p>
        </w:tc>
        <w:tc>
          <w:tcPr>
            <w:tcW w:w="1030" w:type="dxa"/>
          </w:tcPr>
          <w:p>
            <w:pPr>
              <w:pStyle w:val="9"/>
              <w:rPr>
                <w:rFonts w:hint="default"/>
                <w:lang w:val="en-US" w:eastAsia="zh-CN"/>
              </w:rPr>
            </w:pPr>
            <w:r>
              <w:rPr>
                <w:rFonts w:hint="eastAsia"/>
                <w:lang w:val="en-US" w:eastAsia="zh-CN"/>
              </w:rPr>
              <w:t>QEO5.3</w:t>
            </w:r>
          </w:p>
        </w:tc>
        <w:tc>
          <w:tcPr>
            <w:tcW w:w="10004" w:type="dxa"/>
          </w:tcPr>
          <w:p>
            <w:pPr>
              <w:keepNext w:val="0"/>
              <w:keepLines w:val="0"/>
              <w:widowControl/>
              <w:suppressLineNumbers w:val="0"/>
              <w:jc w:val="left"/>
              <w:rPr>
                <w:rFonts w:hint="default"/>
                <w:lang w:val="en-US" w:eastAsia="zh-CN"/>
              </w:rPr>
            </w:pPr>
            <w:r>
              <w:rPr>
                <w:rFonts w:hint="eastAsia" w:ascii="Times New Roman" w:hAnsi="Times New Roman" w:eastAsia="宋体" w:cs="Times New Roman"/>
                <w:szCs w:val="22"/>
                <w:lang w:val="en-US" w:eastAsia="zh-CN"/>
              </w:rPr>
              <w:t>营销部：负责制定与保持招标文件评审；进行市场调研与市场营销管理；负责市场信息的收集、分析、跟踪；与顾客（业主）有关过程的确定、评审和沟通；组织项目投标报价、编制标书并进行标书的评审；对合同的付款方式进行评议；负责组织合同评审，保存合同评审记录；负责组织与业主进行合同的谈判、起草合同文本、签订合同；向顾客提供获得的认证证书以证明公司在质量、环境、职业健康安全方面的管理情况；贯彻执行公司的方针和管理目标，落实管理手册在本部门的运行；负责对相关方的控制，实施绿色采购；负责本部门环境因素、危险源的识别及其控制。</w:t>
            </w:r>
          </w:p>
        </w:tc>
        <w:tc>
          <w:tcPr>
            <w:tcW w:w="1585" w:type="dxa"/>
            <w:vAlign w:val="top"/>
          </w:tcPr>
          <w:p>
            <w:pPr>
              <w:spacing w:line="300" w:lineRule="exact"/>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90" w:type="dxa"/>
            <w:vAlign w:val="center"/>
          </w:tcPr>
          <w:p>
            <w:pPr>
              <w:rPr>
                <w:rFonts w:hint="eastAsia" w:ascii="Times New Roman" w:hAnsi="Times New Roman" w:eastAsia="宋体" w:cs="Times New Roman"/>
                <w:kern w:val="2"/>
                <w:sz w:val="21"/>
                <w:szCs w:val="21"/>
                <w:lang w:val="en-US" w:eastAsia="zh-CN" w:bidi="ar-SA"/>
              </w:rPr>
            </w:pPr>
            <w:r>
              <w:rPr>
                <w:rFonts w:hint="eastAsia" w:cs="宋体"/>
              </w:rPr>
              <w:t>目标指标</w:t>
            </w:r>
          </w:p>
        </w:tc>
        <w:tc>
          <w:tcPr>
            <w:tcW w:w="1030" w:type="dxa"/>
            <w:vAlign w:val="center"/>
          </w:tcPr>
          <w:p>
            <w:pPr>
              <w:rPr>
                <w:rFonts w:hint="eastAsia" w:eastAsia="宋体"/>
                <w:lang w:val="en-US" w:eastAsia="zh-CN"/>
              </w:rPr>
            </w:pPr>
            <w:r>
              <w:t>QE</w:t>
            </w:r>
            <w:r>
              <w:rPr>
                <w:rFonts w:hint="eastAsia"/>
                <w:lang w:val="en-US" w:eastAsia="zh-CN"/>
              </w:rPr>
              <w:t>O</w:t>
            </w:r>
          </w:p>
          <w:p>
            <w:pPr>
              <w:rPr>
                <w:rFonts w:hint="eastAsia" w:ascii="Times New Roman" w:hAnsi="Times New Roman" w:eastAsia="宋体" w:cs="Times New Roman"/>
                <w:kern w:val="2"/>
                <w:sz w:val="21"/>
                <w:lang w:val="en-US" w:eastAsia="zh-CN" w:bidi="ar-SA"/>
              </w:rPr>
            </w:pPr>
            <w:r>
              <w:t>6.2</w:t>
            </w:r>
          </w:p>
        </w:tc>
        <w:tc>
          <w:tcPr>
            <w:tcW w:w="10004" w:type="dxa"/>
            <w:vAlign w:val="center"/>
          </w:tcPr>
          <w:p>
            <w:pPr>
              <w:rPr>
                <w:rFonts w:hint="eastAsia" w:cs="宋体"/>
              </w:rPr>
            </w:pPr>
            <w:r>
              <w:rPr>
                <w:rFonts w:hint="eastAsia" w:cs="宋体"/>
                <w:lang w:val="en-US" w:eastAsia="zh-CN"/>
              </w:rPr>
              <w:t>营销</w:t>
            </w:r>
            <w:r>
              <w:rPr>
                <w:rFonts w:hint="eastAsia" w:ascii="Times New Roman" w:hAnsi="Times New Roman" w:eastAsia="宋体" w:cs="Times New Roman"/>
                <w:szCs w:val="22"/>
                <w:lang w:val="en-US" w:eastAsia="zh-CN"/>
              </w:rPr>
              <w:t>部目标</w:t>
            </w:r>
            <w:r>
              <w:rPr>
                <w:rFonts w:hint="eastAsia" w:cs="宋体"/>
              </w:rPr>
              <w:t>：</w:t>
            </w:r>
          </w:p>
          <w:p>
            <w:pPr>
              <w:rPr>
                <w:rFonts w:hint="eastAsia" w:cs="宋体"/>
              </w:rPr>
            </w:pPr>
            <w:r>
              <w:rPr>
                <w:rFonts w:hint="eastAsia" w:cs="宋体"/>
                <w:lang w:val="en-US" w:eastAsia="zh-CN"/>
              </w:rPr>
              <w:t>1、</w:t>
            </w:r>
            <w:r>
              <w:rPr>
                <w:rFonts w:hint="eastAsia" w:cs="宋体"/>
              </w:rPr>
              <w:t>准时发货率≥99%</w:t>
            </w:r>
          </w:p>
          <w:p>
            <w:pPr>
              <w:rPr>
                <w:rFonts w:hint="eastAsia" w:cs="宋体"/>
              </w:rPr>
            </w:pPr>
            <w:r>
              <w:rPr>
                <w:rFonts w:hint="eastAsia" w:cs="宋体"/>
                <w:lang w:val="en-US" w:eastAsia="zh-CN"/>
              </w:rPr>
              <w:t>2、</w:t>
            </w:r>
            <w:r>
              <w:rPr>
                <w:rFonts w:hint="eastAsia" w:cs="宋体"/>
              </w:rPr>
              <w:t>顾客意见反馈率≥99%</w:t>
            </w:r>
          </w:p>
          <w:p>
            <w:pPr>
              <w:rPr>
                <w:rFonts w:hint="eastAsia" w:cs="宋体"/>
                <w:lang w:val="en-US" w:eastAsia="zh-CN"/>
              </w:rPr>
            </w:pPr>
            <w:r>
              <w:rPr>
                <w:rFonts w:hint="eastAsia" w:cs="宋体"/>
                <w:lang w:val="en-US" w:eastAsia="zh-CN"/>
              </w:rPr>
              <w:t>3、无“长明灯”“ 长流水”等资源浪费事件；无化学品泄漏事件发生。</w:t>
            </w:r>
          </w:p>
          <w:p>
            <w:pPr>
              <w:rPr>
                <w:rFonts w:hint="eastAsia" w:cs="宋体"/>
              </w:rPr>
            </w:pPr>
            <w:r>
              <w:rPr>
                <w:rFonts w:hint="eastAsia" w:cs="宋体"/>
                <w:lang w:val="en-US" w:eastAsia="zh-CN"/>
              </w:rPr>
              <w:t>4、火灾、爆炸事故为0；</w:t>
            </w:r>
          </w:p>
          <w:p>
            <w:pPr>
              <w:rPr>
                <w:rFonts w:hint="default" w:ascii="宋体" w:hAnsi="宋体" w:eastAsia="宋体" w:cs="宋体"/>
                <w:bCs/>
                <w:spacing w:val="10"/>
                <w:kern w:val="2"/>
                <w:sz w:val="20"/>
                <w:szCs w:val="22"/>
                <w:lang w:val="en-US" w:eastAsia="zh-CN" w:bidi="ar-SA"/>
              </w:rPr>
            </w:pPr>
            <w:r>
              <w:rPr>
                <w:rFonts w:hint="eastAsia" w:cs="宋体"/>
              </w:rPr>
              <w:t>对目标进行了分解，建立了各部门的分目标，每季度末对目标进行考核，查看“</w:t>
            </w:r>
            <w:r>
              <w:t>20</w:t>
            </w:r>
            <w:r>
              <w:rPr>
                <w:rFonts w:hint="eastAsia"/>
                <w:lang w:val="en-US" w:eastAsia="zh-CN"/>
              </w:rPr>
              <w:t>22</w:t>
            </w:r>
            <w:r>
              <w:rPr>
                <w:rFonts w:hint="eastAsia" w:cs="宋体"/>
              </w:rPr>
              <w:t>年第</w:t>
            </w:r>
            <w:r>
              <w:rPr>
                <w:rFonts w:hint="eastAsia" w:cs="宋体"/>
                <w:lang w:val="en-US" w:eastAsia="zh-CN"/>
              </w:rPr>
              <w:t>1-4</w:t>
            </w:r>
            <w:r>
              <w:rPr>
                <w:rFonts w:hint="eastAsia" w:cs="宋体"/>
              </w:rPr>
              <w:t>季度</w:t>
            </w:r>
            <w:r>
              <w:rPr>
                <w:rFonts w:hint="eastAsia" w:cs="宋体"/>
                <w:lang w:eastAsia="zh-CN"/>
              </w:rPr>
              <w:t>，</w:t>
            </w:r>
            <w:r>
              <w:rPr>
                <w:rFonts w:hint="eastAsia" w:cs="宋体"/>
              </w:rPr>
              <w:t>目标完成情况统计表”，</w:t>
            </w:r>
            <w:r>
              <w:rPr>
                <w:rFonts w:hint="eastAsia" w:cs="宋体"/>
                <w:lang w:val="en-US" w:eastAsia="zh-CN"/>
              </w:rPr>
              <w:t>已达标。</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90" w:type="dxa"/>
            <w:vAlign w:val="center"/>
          </w:tcPr>
          <w:p>
            <w:pPr>
              <w:rPr>
                <w:rFonts w:hint="eastAsia"/>
                <w:lang w:val="en-US" w:eastAsia="zh-CN"/>
              </w:rPr>
            </w:pPr>
          </w:p>
          <w:p>
            <w:pPr>
              <w:rPr>
                <w:rFonts w:hint="eastAsia"/>
                <w:lang w:val="en-US" w:eastAsia="zh-CN"/>
              </w:rPr>
            </w:pPr>
            <w:r>
              <w:rPr>
                <w:rFonts w:hint="eastAsia"/>
                <w:lang w:val="en-US" w:eastAsia="zh-CN"/>
              </w:rPr>
              <w:t>产品和服务的要求</w:t>
            </w:r>
          </w:p>
          <w:p>
            <w:pPr>
              <w:pStyle w:val="2"/>
              <w:rPr>
                <w:rFonts w:hint="default"/>
                <w:lang w:val="en-US" w:eastAsia="zh-CN"/>
              </w:rPr>
            </w:pPr>
            <w:r>
              <w:rPr>
                <w:rFonts w:hint="eastAsia" w:ascii="Times New Roman" w:hAnsi="Times New Roman" w:cs="Times New Roman"/>
                <w:bCs w:val="0"/>
                <w:spacing w:val="0"/>
                <w:kern w:val="2"/>
                <w:sz w:val="21"/>
                <w:szCs w:val="22"/>
                <w:lang w:val="en-US" w:eastAsia="zh-CN" w:bidi="ar-SA"/>
              </w:rPr>
              <w:t>销售服务的控制</w:t>
            </w:r>
          </w:p>
        </w:tc>
        <w:tc>
          <w:tcPr>
            <w:tcW w:w="1030" w:type="dxa"/>
            <w:vAlign w:val="center"/>
          </w:tcPr>
          <w:p>
            <w:pPr>
              <w:rPr>
                <w:rFonts w:hint="eastAsia"/>
                <w:lang w:val="en-US" w:eastAsia="zh-CN"/>
              </w:rPr>
            </w:pPr>
            <w:r>
              <w:rPr>
                <w:rFonts w:hint="eastAsia"/>
                <w:lang w:val="en-US" w:eastAsia="zh-CN"/>
              </w:rPr>
              <w:t>Q8.2</w:t>
            </w:r>
          </w:p>
          <w:p>
            <w:pPr>
              <w:pStyle w:val="2"/>
              <w:rPr>
                <w:rFonts w:hint="default"/>
                <w:lang w:val="en-US" w:eastAsia="zh-CN"/>
              </w:rPr>
            </w:pPr>
            <w:r>
              <w:rPr>
                <w:rFonts w:hint="eastAsia" w:ascii="Times New Roman" w:hAnsi="Times New Roman" w:cs="Times New Roman"/>
                <w:bCs w:val="0"/>
                <w:spacing w:val="0"/>
                <w:kern w:val="2"/>
                <w:sz w:val="21"/>
                <w:szCs w:val="22"/>
                <w:lang w:val="en-US" w:eastAsia="zh-CN" w:bidi="ar-SA"/>
              </w:rPr>
              <w:t>8.5.1</w:t>
            </w:r>
          </w:p>
        </w:tc>
        <w:tc>
          <w:tcPr>
            <w:tcW w:w="10004" w:type="dxa"/>
            <w:vAlign w:val="center"/>
          </w:tcPr>
          <w:p>
            <w:pPr>
              <w:rPr>
                <w:rFonts w:hint="eastAsia"/>
                <w:lang w:val="en-US" w:eastAsia="zh-CN"/>
              </w:rPr>
            </w:pPr>
            <w:r>
              <w:rPr>
                <w:rFonts w:hint="eastAsia"/>
                <w:lang w:val="en-US" w:eastAsia="zh-CN"/>
              </w:rPr>
              <w:t>1、公司在确定产品和要求时，对以下方面进行了考虑：交付时间、产品的质量、产品的价格、产品的特别要求、售后服务等。</w:t>
            </w:r>
          </w:p>
          <w:p>
            <w:pPr>
              <w:rPr>
                <w:rFonts w:hint="eastAsia"/>
                <w:lang w:val="en-US" w:eastAsia="zh-CN"/>
              </w:rPr>
            </w:pPr>
            <w:r>
              <w:rPr>
                <w:rFonts w:hint="eastAsia"/>
                <w:lang w:val="en-US" w:eastAsia="zh-CN"/>
              </w:rPr>
              <w:t>2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rFonts w:hint="eastAsia"/>
                <w:lang w:val="en-US" w:eastAsia="zh-CN"/>
              </w:rPr>
            </w:pPr>
            <w:r>
              <w:rPr>
                <w:rFonts w:hint="eastAsia"/>
                <w:lang w:val="en-US" w:eastAsia="zh-CN"/>
              </w:rPr>
              <w:t>3、企业通过电话、客户了解市场的需求状态，识别顾客要求。通过适用法律法规、行业标准收集、分析、评价了解行业发展要求。通过对竞争对手分析确定公司的发展市场。</w:t>
            </w:r>
          </w:p>
          <w:p>
            <w:pPr>
              <w:rPr>
                <w:rFonts w:hint="eastAsia"/>
                <w:lang w:val="en-US" w:eastAsia="zh-CN"/>
              </w:rPr>
            </w:pPr>
            <w:r>
              <w:rPr>
                <w:rFonts w:hint="eastAsia"/>
                <w:lang w:val="en-US" w:eastAsia="zh-CN"/>
              </w:rPr>
              <w:t>-有双方负责人签字盖章.另抽查其他合同均符合要求。</w:t>
            </w:r>
          </w:p>
          <w:p>
            <w:pPr>
              <w:rPr>
                <w:rFonts w:hint="eastAsia"/>
                <w:lang w:val="en-US" w:eastAsia="zh-CN"/>
              </w:rPr>
            </w:pPr>
            <w:r>
              <w:rPr>
                <w:rFonts w:hint="eastAsia"/>
                <w:lang w:val="en-US" w:eastAsia="zh-CN"/>
              </w:rPr>
              <w:t>●抽各订单合同，</w:t>
            </w:r>
          </w:p>
          <w:p>
            <w:pPr>
              <w:rPr>
                <w:rFonts w:hint="eastAsia"/>
                <w:lang w:val="en-US" w:eastAsia="zh-CN"/>
              </w:rPr>
            </w:pPr>
            <w:r>
              <w:drawing>
                <wp:inline distT="0" distB="0" distL="114300" distR="114300">
                  <wp:extent cx="1936750" cy="2654935"/>
                  <wp:effectExtent l="0" t="0" r="6350" b="1206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1"/>
                          <a:stretch>
                            <a:fillRect/>
                          </a:stretch>
                        </pic:blipFill>
                        <pic:spPr>
                          <a:xfrm>
                            <a:off x="0" y="0"/>
                            <a:ext cx="1936750" cy="26549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63750" cy="2753360"/>
                  <wp:effectExtent l="0" t="0" r="6350" b="254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2"/>
                          <a:stretch>
                            <a:fillRect/>
                          </a:stretch>
                        </pic:blipFill>
                        <pic:spPr>
                          <a:xfrm>
                            <a:off x="0" y="0"/>
                            <a:ext cx="2063750" cy="2753360"/>
                          </a:xfrm>
                          <a:prstGeom prst="rect">
                            <a:avLst/>
                          </a:prstGeom>
                          <a:noFill/>
                          <a:ln>
                            <a:noFill/>
                          </a:ln>
                        </pic:spPr>
                      </pic:pic>
                    </a:graphicData>
                  </a:graphic>
                </wp:inline>
              </w:drawing>
            </w:r>
          </w:p>
          <w:p>
            <w:pPr>
              <w:rPr>
                <w:rFonts w:hint="eastAsia"/>
                <w:lang w:val="en-US" w:eastAsia="zh-CN"/>
              </w:rPr>
            </w:pPr>
            <w:r>
              <w:rPr>
                <w:rFonts w:hint="eastAsia"/>
                <w:lang w:val="en-US" w:eastAsia="zh-CN"/>
              </w:rPr>
              <w:t>查其他合同评审记录，基本符合要求。</w:t>
            </w:r>
          </w:p>
          <w:p>
            <w:pPr>
              <w:rPr>
                <w:rFonts w:hint="eastAsia"/>
                <w:lang w:val="en-US" w:eastAsia="zh-CN"/>
              </w:rPr>
            </w:pPr>
            <w:r>
              <w:rPr>
                <w:rFonts w:hint="eastAsia"/>
                <w:lang w:val="en-US" w:eastAsia="zh-CN"/>
              </w:rPr>
              <w:t>●公司通过微信、邮件及电话等方式与顾客交流，主要进行以下沟通：</w:t>
            </w:r>
          </w:p>
          <w:p>
            <w:pPr>
              <w:rPr>
                <w:rFonts w:hint="eastAsia"/>
                <w:lang w:val="en-US" w:eastAsia="zh-CN"/>
              </w:rPr>
            </w:pPr>
            <w:r>
              <w:rPr>
                <w:rFonts w:hint="eastAsia"/>
                <w:lang w:val="en-US" w:eastAsia="zh-CN"/>
              </w:rPr>
              <w:t>1、向顾客提供保证产品质量的有关信息，保修及应急措施。</w:t>
            </w:r>
          </w:p>
          <w:p>
            <w:pPr>
              <w:rPr>
                <w:rFonts w:hint="eastAsia"/>
                <w:lang w:val="en-US" w:eastAsia="zh-CN"/>
              </w:rPr>
            </w:pPr>
            <w:r>
              <w:rPr>
                <w:rFonts w:hint="eastAsia"/>
                <w:lang w:val="en-US" w:eastAsia="zh-CN"/>
              </w:rPr>
              <w:t>2、接受顾客问询、询价、合同的处理。</w:t>
            </w:r>
          </w:p>
          <w:p>
            <w:pPr>
              <w:rPr>
                <w:rFonts w:hint="eastAsia"/>
                <w:lang w:val="en-US" w:eastAsia="zh-CN"/>
              </w:rPr>
            </w:pPr>
            <w:r>
              <w:rPr>
                <w:rFonts w:hint="eastAsia"/>
                <w:lang w:val="en-US" w:eastAsia="zh-CN"/>
              </w:rPr>
              <w:t>3、根据合同要求进行有关的事宜，对顾客的投诉或意见进行处理和答复。</w:t>
            </w:r>
          </w:p>
          <w:p>
            <w:pPr>
              <w:rPr>
                <w:rFonts w:hint="eastAsia"/>
                <w:lang w:val="en-US" w:eastAsia="zh-CN"/>
              </w:rPr>
            </w:pPr>
            <w:r>
              <w:rPr>
                <w:rFonts w:hint="eastAsia"/>
                <w:lang w:val="en-US" w:eastAsia="zh-CN"/>
              </w:rPr>
              <w:t>4、合理处理顾客财产，主要是顾客报修产品。</w:t>
            </w:r>
          </w:p>
          <w:p>
            <w:pPr>
              <w:rPr>
                <w:rFonts w:hint="eastAsia"/>
                <w:lang w:val="en-US" w:eastAsia="zh-CN"/>
              </w:rPr>
            </w:pPr>
            <w:r>
              <w:rPr>
                <w:rFonts w:hint="eastAsia"/>
                <w:lang w:val="en-US" w:eastAsia="zh-CN"/>
              </w:rPr>
              <w:t>●目前沟通渠道畅通</w:t>
            </w:r>
          </w:p>
          <w:p>
            <w:pPr>
              <w:rPr>
                <w:rFonts w:hint="eastAsia"/>
                <w:lang w:val="en-US" w:eastAsia="zh-CN"/>
              </w:rPr>
            </w:pPr>
            <w:r>
              <w:rPr>
                <w:rFonts w:hint="eastAsia"/>
                <w:lang w:val="en-US" w:eastAsia="zh-CN"/>
              </w:rPr>
              <w:t>●目前无合同更改情况发生。</w:t>
            </w:r>
          </w:p>
          <w:p>
            <w:pPr>
              <w:rPr>
                <w:rFonts w:hint="eastAsia" w:ascii="Times New Roman" w:hAnsi="Times New Roman" w:eastAsia="宋体" w:cs="Times New Roman"/>
                <w:lang w:val="en-US" w:eastAsia="zh-CN"/>
              </w:rPr>
            </w:pPr>
            <w:r>
              <w:rPr>
                <w:rFonts w:hint="eastAsia"/>
                <w:lang w:val="en-US" w:eastAsia="zh-CN"/>
              </w:rPr>
              <w:t>●</w:t>
            </w:r>
            <w:r>
              <w:rPr>
                <w:rFonts w:hint="eastAsia" w:ascii="Times New Roman" w:hAnsi="Times New Roman" w:eastAsia="宋体" w:cs="Times New Roman"/>
                <w:lang w:val="en-US" w:eastAsia="zh-CN"/>
              </w:rPr>
              <w:t>现场查看，营销部配备了电脑、电话，巡视办公环境干净整洁，网络正常，满足运行环境。</w:t>
            </w:r>
          </w:p>
          <w:p>
            <w:pPr>
              <w:rPr>
                <w:rFonts w:hint="eastAsia"/>
                <w:lang w:val="en-US" w:eastAsia="zh-CN"/>
              </w:rPr>
            </w:pPr>
            <w:r>
              <w:rPr>
                <w:rFonts w:hint="eastAsia" w:ascii="Times New Roman" w:hAnsi="Times New Roman" w:eastAsia="宋体" w:cs="Times New Roman"/>
                <w:lang w:val="en-US" w:eastAsia="zh-CN"/>
              </w:rPr>
              <w:t>办公室张贴有销售计划和任务及招投标重要事项，业务员正在与华药沟通合作事宜。</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09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顾客或外部供方财产</w:t>
            </w:r>
          </w:p>
        </w:tc>
        <w:tc>
          <w:tcPr>
            <w:tcW w:w="103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Q8.5.3</w:t>
            </w:r>
          </w:p>
        </w:tc>
        <w:tc>
          <w:tcPr>
            <w:tcW w:w="10004"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rPr>
              <w:t>该公司顾客财产主要为顾客及</w:t>
            </w:r>
            <w:r>
              <w:rPr>
                <w:rFonts w:hint="eastAsia" w:ascii="宋体" w:hAnsi="宋体" w:eastAsia="宋体" w:cs="宋体"/>
                <w:sz w:val="21"/>
                <w:szCs w:val="21"/>
                <w:lang w:eastAsia="zh-CN"/>
              </w:rPr>
              <w:t>外部供方或</w:t>
            </w:r>
            <w:r>
              <w:rPr>
                <w:rFonts w:hint="eastAsia" w:ascii="宋体" w:hAnsi="宋体" w:eastAsia="宋体" w:cs="宋体"/>
                <w:sz w:val="21"/>
                <w:szCs w:val="21"/>
              </w:rPr>
              <w:t>顾客的个人信息等，由</w:t>
            </w:r>
            <w:r>
              <w:rPr>
                <w:rFonts w:hint="eastAsia" w:ascii="宋体" w:hAnsi="宋体" w:eastAsia="宋体" w:cs="宋体"/>
                <w:sz w:val="21"/>
                <w:szCs w:val="21"/>
                <w:lang w:val="en-US" w:eastAsia="zh-CN"/>
              </w:rPr>
              <w:t>营销部</w:t>
            </w:r>
            <w:r>
              <w:rPr>
                <w:rFonts w:hint="eastAsia" w:ascii="宋体" w:hAnsi="宋体" w:eastAsia="宋体" w:cs="宋体"/>
                <w:sz w:val="21"/>
                <w:szCs w:val="21"/>
              </w:rPr>
              <w:t>做好个人信息保密工作。</w:t>
            </w:r>
            <w:r>
              <w:rPr>
                <w:rFonts w:hint="eastAsia" w:ascii="宋体" w:hAnsi="宋体" w:eastAsia="宋体" w:cs="宋体"/>
                <w:sz w:val="21"/>
                <w:szCs w:val="21"/>
              </w:rPr>
              <w:br w:type="textWrapping"/>
            </w:r>
            <w:r>
              <w:rPr>
                <w:rFonts w:hint="eastAsia" w:ascii="宋体" w:hAnsi="宋体" w:eastAsia="宋体" w:cs="宋体"/>
                <w:sz w:val="21"/>
                <w:szCs w:val="21"/>
                <w:lang w:eastAsia="zh-CN"/>
              </w:rPr>
              <w:t>企业介绍，</w:t>
            </w:r>
            <w:r>
              <w:rPr>
                <w:rFonts w:hint="eastAsia" w:ascii="宋体" w:hAnsi="宋体" w:eastAsia="宋体" w:cs="宋体"/>
                <w:sz w:val="21"/>
                <w:szCs w:val="21"/>
              </w:rPr>
              <w:t>顾客财产没有发生损坏、丢失或泄露现象，保管完好。</w:t>
            </w:r>
          </w:p>
          <w:p>
            <w:pP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自体系运行以来</w:t>
            </w:r>
            <w:r>
              <w:rPr>
                <w:rFonts w:hint="eastAsia" w:ascii="宋体" w:hAnsi="宋体" w:eastAsia="宋体" w:cs="宋体"/>
                <w:sz w:val="21"/>
                <w:szCs w:val="21"/>
              </w:rPr>
              <w:t>没有顾客个人信息泄露情况发生。</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2090" w:type="dxa"/>
            <w:vAlign w:val="center"/>
          </w:tcPr>
          <w:p>
            <w:pPr>
              <w:rPr>
                <w:rFonts w:hint="eastAsia" w:cs="宋体"/>
              </w:rPr>
            </w:pPr>
            <w:r>
              <w:rPr>
                <w:rFonts w:hint="eastAsia" w:ascii="Times New Roman" w:hAnsi="Times New Roman" w:cs="宋体"/>
              </w:rPr>
              <w:t>交付后活动</w:t>
            </w:r>
          </w:p>
        </w:tc>
        <w:tc>
          <w:tcPr>
            <w:tcW w:w="1030" w:type="dxa"/>
            <w:vAlign w:val="center"/>
          </w:tcPr>
          <w:p>
            <w:pPr>
              <w:rPr>
                <w:rFonts w:hint="default" w:eastAsia="宋体"/>
                <w:lang w:val="en-US" w:eastAsia="zh-CN"/>
              </w:rPr>
            </w:pPr>
            <w:r>
              <w:rPr>
                <w:rFonts w:hint="eastAsia"/>
                <w:szCs w:val="22"/>
                <w:lang w:val="en-US" w:eastAsia="zh-CN"/>
              </w:rPr>
              <w:t>Q</w:t>
            </w:r>
            <w:r>
              <w:rPr>
                <w:rFonts w:hint="eastAsia"/>
                <w:szCs w:val="22"/>
              </w:rPr>
              <w:t>8.5.</w:t>
            </w:r>
            <w:r>
              <w:rPr>
                <w:rFonts w:hint="eastAsia"/>
                <w:szCs w:val="22"/>
                <w:lang w:val="en-US" w:eastAsia="zh-CN"/>
              </w:rPr>
              <w:t>5</w:t>
            </w:r>
          </w:p>
        </w:tc>
        <w:tc>
          <w:tcPr>
            <w:tcW w:w="10004" w:type="dxa"/>
            <w:vAlign w:val="center"/>
          </w:tcPr>
          <w:p>
            <w:pPr>
              <w:rPr>
                <w:rFonts w:hint="eastAsia" w:ascii="Times New Roman" w:hAnsi="Times New Roman" w:cs="宋体"/>
              </w:rPr>
            </w:pPr>
            <w:r>
              <w:rPr>
                <w:rFonts w:hint="eastAsia" w:ascii="Times New Roman" w:hAnsi="Times New Roman" w:cs="宋体"/>
              </w:rPr>
              <w:t>识别的交付后的活动：本部门与其它部门通过电话、网络或客户来现场等方式向顾客了解满意信息及顾客意见包括抱怨。当有改进的信息时，及时反馈到相关部门。</w:t>
            </w:r>
          </w:p>
          <w:p>
            <w:pPr>
              <w:rPr>
                <w:rFonts w:hint="eastAsia" w:cs="宋体"/>
              </w:rPr>
            </w:pPr>
            <w:r>
              <w:rPr>
                <w:rFonts w:hint="eastAsia" w:ascii="Times New Roman" w:hAnsi="Times New Roman" w:cs="宋体"/>
              </w:rPr>
              <w:t>目前未发生因产品质量问题导致的客户反馈及投诉的情况。</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2090" w:type="dxa"/>
            <w:vAlign w:val="center"/>
          </w:tcPr>
          <w:p>
            <w:pPr>
              <w:rPr>
                <w:rFonts w:hint="eastAsia" w:ascii="Times New Roman" w:hAnsi="Times New Roman" w:eastAsia="宋体" w:cs="Times New Roman"/>
                <w:kern w:val="2"/>
                <w:sz w:val="21"/>
                <w:lang w:val="en-US" w:eastAsia="zh-CN" w:bidi="ar-SA"/>
              </w:rPr>
            </w:pPr>
            <w:r>
              <w:rPr>
                <w:rFonts w:hint="eastAsia"/>
              </w:rPr>
              <w:t>顾客满意度</w:t>
            </w:r>
          </w:p>
        </w:tc>
        <w:tc>
          <w:tcPr>
            <w:tcW w:w="1030" w:type="dxa"/>
            <w:vAlign w:val="center"/>
          </w:tcPr>
          <w:p>
            <w:pPr>
              <w:rPr>
                <w:rFonts w:hint="eastAsia" w:ascii="Times New Roman" w:hAnsi="Times New Roman" w:eastAsia="宋体" w:cs="Times New Roman"/>
                <w:bCs/>
                <w:spacing w:val="10"/>
                <w:kern w:val="2"/>
                <w:sz w:val="21"/>
                <w:lang w:val="en-US" w:eastAsia="zh-CN" w:bidi="ar-SA"/>
              </w:rPr>
            </w:pPr>
            <w:r>
              <w:rPr>
                <w:rFonts w:hint="eastAsia"/>
              </w:rPr>
              <w:t>Q9.1.2</w:t>
            </w:r>
          </w:p>
        </w:tc>
        <w:tc>
          <w:tcPr>
            <w:tcW w:w="10004" w:type="dxa"/>
            <w:vAlign w:val="center"/>
          </w:tcPr>
          <w:p>
            <w:pPr>
              <w:rPr>
                <w:rFonts w:hint="eastAsia"/>
                <w:lang w:val="zh-CN"/>
              </w:rPr>
            </w:pPr>
            <w:r>
              <w:rPr>
                <w:rFonts w:hint="eastAsia"/>
                <w:lang w:val="zh-CN"/>
              </w:rPr>
              <w:t>公司通过电话，走访等形式，接受顾客反馈，了解顾客顾客满意度信息，发放调查表对顾客满意度进行定量测量。</w:t>
            </w:r>
          </w:p>
          <w:p>
            <w:pPr>
              <w:rPr>
                <w:rFonts w:hint="eastAsia"/>
              </w:rPr>
            </w:pPr>
            <w:r>
              <w:rPr>
                <w:rFonts w:hint="eastAsia"/>
                <w:lang w:val="zh-CN"/>
              </w:rPr>
              <w:t>提供“顾客满意程度调查表”，调查主要内容：</w:t>
            </w:r>
            <w:r>
              <w:rPr>
                <w:rFonts w:hint="eastAsia"/>
              </w:rPr>
              <w:t>质量、</w:t>
            </w:r>
            <w:r>
              <w:rPr>
                <w:rFonts w:hint="eastAsia"/>
                <w:lang w:val="en-US" w:eastAsia="zh-CN"/>
              </w:rPr>
              <w:t>交付、价格、服务</w:t>
            </w:r>
            <w:r>
              <w:rPr>
                <w:rFonts w:hint="eastAsia"/>
              </w:rPr>
              <w:t>等方面的满意程度</w:t>
            </w:r>
            <w:r>
              <w:rPr>
                <w:rFonts w:hint="eastAsia"/>
                <w:lang w:val="zh-CN"/>
              </w:rPr>
              <w:t>等，</w:t>
            </w:r>
            <w:r>
              <w:rPr>
                <w:rFonts w:hint="eastAsia"/>
              </w:rPr>
              <w:t>各项得分求平均值得最终结果</w:t>
            </w:r>
            <w:r>
              <w:rPr>
                <w:rFonts w:hint="eastAsia"/>
                <w:lang w:val="zh-CN"/>
              </w:rPr>
              <w:t>。对</w:t>
            </w:r>
            <w:r>
              <w:rPr>
                <w:rFonts w:hint="eastAsia"/>
                <w:lang w:val="en-US" w:eastAsia="zh-CN"/>
              </w:rPr>
              <w:t>7</w:t>
            </w:r>
            <w:r>
              <w:rPr>
                <w:rFonts w:hint="eastAsia"/>
                <w:lang w:val="zh-CN"/>
              </w:rPr>
              <w:t>个顾客进行了满意度调查。</w:t>
            </w:r>
            <w:r>
              <w:rPr>
                <w:rFonts w:hint="eastAsia"/>
              </w:rPr>
              <w:t>提供顾客满意调查分析。最终顾客满意率</w:t>
            </w:r>
            <w:r>
              <w:rPr>
                <w:rFonts w:hint="eastAsia"/>
                <w:lang w:val="en-US" w:eastAsia="zh-CN"/>
              </w:rPr>
              <w:t>100</w:t>
            </w:r>
            <w:r>
              <w:rPr>
                <w:rFonts w:hint="eastAsia"/>
              </w:rPr>
              <w:t>%。</w:t>
            </w:r>
          </w:p>
          <w:p>
            <w:pPr>
              <w:rPr>
                <w:rFonts w:hint="default"/>
                <w:lang w:val="en-US" w:eastAsia="zh-CN"/>
              </w:rPr>
            </w:pPr>
            <w:r>
              <w:rPr>
                <w:rFonts w:hint="eastAsia"/>
              </w:rPr>
              <w:t>该结果已提交管理评审。</w:t>
            </w:r>
          </w:p>
        </w:tc>
        <w:tc>
          <w:tcPr>
            <w:tcW w:w="1585" w:type="dxa"/>
          </w:tcPr>
          <w:p/>
          <w:p>
            <w:pPr>
              <w:pStyle w:val="9"/>
              <w:rPr>
                <w:rFonts w:hint="eastAsia" w:eastAsia="宋体"/>
                <w:lang w:val="en-US" w:eastAsia="zh-CN"/>
              </w:rPr>
            </w:pPr>
            <w:r>
              <w:rPr>
                <w:rFonts w:hint="eastAsia"/>
                <w:lang w:val="en-US" w:eastAsia="zh-CN"/>
              </w:rPr>
              <w:t>y</w:t>
            </w:r>
          </w:p>
          <w:p>
            <w:pPr>
              <w:pStyle w:val="9"/>
            </w:pPr>
          </w:p>
          <w:p>
            <w:pPr>
              <w:pStyle w:val="9"/>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0" w:type="dxa"/>
            <w:vAlign w:val="center"/>
          </w:tcPr>
          <w:p>
            <w:pPr>
              <w:rPr>
                <w:rFonts w:hint="default" w:eastAsia="宋体" w:cs="宋体"/>
                <w:lang w:val="en-US" w:eastAsia="zh-CN"/>
              </w:rPr>
            </w:pPr>
            <w:r>
              <w:rPr>
                <w:rFonts w:hint="eastAsia"/>
              </w:rPr>
              <w:t>环境因素</w:t>
            </w:r>
            <w:r>
              <w:rPr>
                <w:rFonts w:hint="eastAsia"/>
                <w:lang w:eastAsia="zh-CN"/>
              </w:rPr>
              <w:t>、</w:t>
            </w:r>
            <w:r>
              <w:rPr>
                <w:rFonts w:hint="eastAsia"/>
                <w:lang w:val="en-US" w:eastAsia="zh-CN"/>
              </w:rPr>
              <w:t>危险源</w:t>
            </w:r>
          </w:p>
        </w:tc>
        <w:tc>
          <w:tcPr>
            <w:tcW w:w="1030" w:type="dxa"/>
            <w:vAlign w:val="center"/>
          </w:tcPr>
          <w:p>
            <w:pPr>
              <w:numPr>
                <w:ilvl w:val="0"/>
                <w:numId w:val="0"/>
              </w:numPr>
              <w:rPr>
                <w:rFonts w:hint="default" w:ascii="Times New Roman" w:hAnsi="Times New Roman" w:eastAsia="宋体" w:cs="Times New Roman"/>
                <w:lang w:val="en-US" w:eastAsia="zh-CN"/>
              </w:rPr>
            </w:pPr>
            <w:r>
              <w:rPr>
                <w:rFonts w:hint="eastAsia" w:cs="Times New Roman"/>
                <w:lang w:val="en-US" w:eastAsia="zh-CN"/>
              </w:rPr>
              <w:t>EO</w:t>
            </w:r>
          </w:p>
          <w:p>
            <w:r>
              <w:rPr>
                <w:rFonts w:hint="eastAsia" w:ascii="Times New Roman" w:hAnsi="Times New Roman" w:cs="Times New Roman"/>
              </w:rPr>
              <w:t>6.1</w:t>
            </w:r>
            <w:r>
              <w:rPr>
                <w:rFonts w:hint="eastAsia" w:ascii="Times New Roman" w:hAnsi="Times New Roman" w:cs="Times New Roman"/>
                <w:lang w:val="en-US" w:eastAsia="zh-CN"/>
              </w:rPr>
              <w:t>.</w:t>
            </w:r>
            <w:r>
              <w:rPr>
                <w:rFonts w:hint="eastAsia" w:ascii="Times New Roman" w:hAnsi="Times New Roman" w:cs="Times New Roman"/>
              </w:rPr>
              <w:t>2</w:t>
            </w:r>
          </w:p>
        </w:tc>
        <w:tc>
          <w:tcPr>
            <w:tcW w:w="10004" w:type="dxa"/>
            <w:vAlign w:val="center"/>
          </w:tcPr>
          <w:p>
            <w:pPr>
              <w:rPr>
                <w:rFonts w:hint="eastAsia"/>
              </w:rPr>
            </w:pPr>
            <w:r>
              <w:rPr>
                <w:rFonts w:hint="eastAsia"/>
              </w:rPr>
              <w:t>提供了环境因素识别与评价表，涉及本部门的环境因素包括：水电消耗、废旧墨盒、废旧办公桌椅、生活垃圾、生活污水、消防器材的排放等。</w:t>
            </w:r>
          </w:p>
          <w:p>
            <w:pPr>
              <w:rPr>
                <w:rFonts w:hint="eastAsia"/>
              </w:rPr>
            </w:pPr>
            <w:r>
              <w:rPr>
                <w:rFonts w:hint="eastAsia"/>
              </w:rPr>
              <w:t>重要环境因素有：固废的排放、噪声的排放、废气的排放、潜在火灾的发生，评价基本准确。</w:t>
            </w:r>
          </w:p>
          <w:p>
            <w:pPr>
              <w:rPr>
                <w:rFonts w:hint="eastAsia"/>
                <w:lang w:val="en-US" w:eastAsia="zh-CN"/>
              </w:rPr>
            </w:pPr>
            <w:r>
              <w:rPr>
                <w:rFonts w:hint="eastAsia"/>
                <w:lang w:val="en-US" w:eastAsia="zh-CN"/>
              </w:rPr>
              <w:t>营销部根据工作职责识别危险源，主要包括：办公用品电器使用触电、着火；跑市场出差途中的交通安全等；</w:t>
            </w:r>
          </w:p>
          <w:p>
            <w:pPr>
              <w:pStyle w:val="2"/>
              <w:rPr>
                <w:rFonts w:hint="eastAsia"/>
              </w:rPr>
            </w:pPr>
            <w:r>
              <w:rPr>
                <w:rFonts w:hint="eastAsia"/>
                <w:sz w:val="21"/>
                <w:szCs w:val="21"/>
                <w:lang w:val="en-US" w:eastAsia="zh-CN"/>
              </w:rPr>
              <w:t>触电、火灾作为不可接受风险进行管控。</w:t>
            </w:r>
          </w:p>
        </w:tc>
        <w:tc>
          <w:tcPr>
            <w:tcW w:w="1585" w:type="dxa"/>
          </w:tcPr>
          <w:p>
            <w:pPr>
              <w:pStyle w:val="9"/>
              <w:rPr>
                <w:rFonts w:hint="default"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090" w:type="dxa"/>
            <w:vAlign w:val="center"/>
          </w:tcPr>
          <w:p>
            <w:pPr>
              <w:rPr>
                <w:rFonts w:hint="default" w:ascii="Times New Roman" w:hAnsi="Times New Roman" w:eastAsia="宋体" w:cs="Times New Roman"/>
                <w:bCs/>
                <w:spacing w:val="10"/>
                <w:kern w:val="2"/>
                <w:sz w:val="21"/>
                <w:lang w:val="en-US" w:eastAsia="zh-CN" w:bidi="ar-SA"/>
              </w:rPr>
            </w:pPr>
            <w:r>
              <w:rPr>
                <w:rFonts w:hint="eastAsia"/>
              </w:rPr>
              <w:t>运行控制</w:t>
            </w:r>
          </w:p>
        </w:tc>
        <w:tc>
          <w:tcPr>
            <w:tcW w:w="1030" w:type="dxa"/>
            <w:vAlign w:val="center"/>
          </w:tcPr>
          <w:p>
            <w:pPr>
              <w:rPr>
                <w:rFonts w:hint="default" w:ascii="Times New Roman" w:hAnsi="Times New Roman" w:eastAsia="宋体" w:cs="Times New Roman"/>
                <w:bCs/>
                <w:spacing w:val="10"/>
                <w:kern w:val="2"/>
                <w:sz w:val="21"/>
                <w:szCs w:val="21"/>
                <w:lang w:val="en-US" w:eastAsia="zh-CN" w:bidi="ar-SA"/>
              </w:rPr>
            </w:pPr>
            <w:r>
              <w:rPr>
                <w:rFonts w:hint="eastAsia"/>
              </w:rPr>
              <w:t>E</w:t>
            </w:r>
            <w:r>
              <w:rPr>
                <w:rFonts w:hint="eastAsia"/>
                <w:lang w:val="en-US" w:eastAsia="zh-CN"/>
              </w:rPr>
              <w:t>O</w:t>
            </w:r>
            <w:r>
              <w:rPr>
                <w:rFonts w:hint="eastAsia"/>
              </w:rPr>
              <w:t>8.1</w:t>
            </w:r>
          </w:p>
        </w:tc>
        <w:tc>
          <w:tcPr>
            <w:tcW w:w="10004" w:type="dxa"/>
            <w:vAlign w:val="center"/>
          </w:tcPr>
          <w:p>
            <w:pPr>
              <w:rPr>
                <w:rFonts w:hint="eastAsia"/>
              </w:rPr>
            </w:pPr>
            <w:r>
              <w:rPr>
                <w:rFonts w:hint="eastAsia"/>
              </w:rPr>
              <w:t>本部门应执行的运行控制文件包括：环境运行控制程序，固体废弃物管理规定、对相关方施加影响管理规定、节能降耗管理规定、消防安全管理制度、办公室安全管理制度</w:t>
            </w:r>
            <w:r>
              <w:rPr>
                <w:rFonts w:hint="eastAsia"/>
                <w:lang w:val="en-GB"/>
              </w:rPr>
              <w:t>、电脑使用管理办法</w:t>
            </w:r>
            <w:r>
              <w:rPr>
                <w:rFonts w:hint="eastAsia"/>
              </w:rPr>
              <w:t>等。</w:t>
            </w:r>
          </w:p>
          <w:p>
            <w:pPr>
              <w:rPr>
                <w:rFonts w:hint="eastAsia"/>
              </w:rPr>
            </w:pPr>
            <w:r>
              <w:rPr>
                <w:rFonts w:hint="eastAsia"/>
              </w:rPr>
              <w:t>查运行控制情况：</w:t>
            </w:r>
          </w:p>
          <w:p>
            <w:pPr>
              <w:rPr>
                <w:rFonts w:hint="eastAsia"/>
              </w:rPr>
            </w:pPr>
            <w:r>
              <w:rPr>
                <w:rFonts w:hint="eastAsia"/>
              </w:rPr>
              <w:t>办公过程注意节约用电，做到人走灯灭，电脑长时间不用时关机，下班前要关闭电源；</w:t>
            </w:r>
          </w:p>
          <w:p>
            <w:pPr>
              <w:rPr>
                <w:rFonts w:hint="default" w:ascii="Times New Roman" w:hAnsi="Times New Roman" w:eastAsia="宋体" w:cs="Times New Roman"/>
                <w:bCs w:val="0"/>
                <w:spacing w:val="0"/>
                <w:kern w:val="2"/>
                <w:sz w:val="21"/>
                <w:szCs w:val="22"/>
                <w:highlight w:val="yellow"/>
                <w:lang w:val="en-US" w:eastAsia="zh-CN" w:bidi="ar-SA"/>
              </w:rPr>
            </w:pPr>
            <w:r>
              <w:rPr>
                <w:rFonts w:hint="eastAsia"/>
              </w:rPr>
              <w:t>办公过程产生的固废按办公室要求放到指定地点，现场查看无混放现象；办公用品按要求由办公室负责发放，作好记录； 参加公司组织的应急方案学习，火灾应急演练；现场办公室设备、电器状态良好，无安全隐患。</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090" w:type="dxa"/>
            <w:vAlign w:val="top"/>
          </w:tcPr>
          <w:p>
            <w:pPr>
              <w:pStyle w:val="9"/>
              <w:rPr>
                <w:rFonts w:hint="default" w:ascii="Times New Roman" w:hAnsi="Times New Roman" w:eastAsia="宋体" w:cs="Times New Roman"/>
                <w:bCs/>
                <w:spacing w:val="10"/>
                <w:kern w:val="2"/>
                <w:sz w:val="21"/>
                <w:lang w:val="en-US" w:eastAsia="zh-CN" w:bidi="ar-SA"/>
              </w:rPr>
            </w:pPr>
            <w:r>
              <w:rPr>
                <w:rFonts w:hint="eastAsia"/>
                <w:lang w:val="en-US" w:eastAsia="zh-CN"/>
              </w:rPr>
              <w:t>应急准备和响应</w:t>
            </w:r>
          </w:p>
        </w:tc>
        <w:tc>
          <w:tcPr>
            <w:tcW w:w="1030" w:type="dxa"/>
            <w:vAlign w:val="top"/>
          </w:tcPr>
          <w:p>
            <w:pPr>
              <w:pStyle w:val="9"/>
              <w:rPr>
                <w:rFonts w:hint="eastAsia" w:ascii="Times New Roman" w:hAnsi="Times New Roman" w:eastAsia="宋体" w:cs="Times New Roman"/>
                <w:bCs/>
                <w:spacing w:val="10"/>
                <w:kern w:val="2"/>
                <w:sz w:val="21"/>
                <w:szCs w:val="21"/>
                <w:lang w:val="en-US" w:eastAsia="zh-CN" w:bidi="ar-SA"/>
              </w:rPr>
            </w:pPr>
            <w:r>
              <w:rPr>
                <w:rFonts w:hint="eastAsia"/>
                <w:sz w:val="21"/>
                <w:szCs w:val="21"/>
                <w:lang w:val="en-US" w:eastAsia="zh-CN"/>
              </w:rPr>
              <w:t>E8.2</w:t>
            </w:r>
          </w:p>
        </w:tc>
        <w:tc>
          <w:tcPr>
            <w:tcW w:w="10004" w:type="dxa"/>
            <w:vAlign w:val="top"/>
          </w:tcPr>
          <w:p>
            <w:pPr>
              <w:rPr>
                <w:rFonts w:hint="default" w:ascii="Times New Roman" w:hAnsi="Times New Roman" w:eastAsia="宋体" w:cs="Times New Roman"/>
                <w:bCs w:val="0"/>
                <w:spacing w:val="0"/>
                <w:kern w:val="2"/>
                <w:sz w:val="21"/>
                <w:szCs w:val="22"/>
                <w:highlight w:val="yellow"/>
                <w:lang w:val="en-US" w:eastAsia="zh-CN" w:bidi="ar-SA"/>
              </w:rPr>
            </w:pPr>
            <w:r>
              <w:rPr>
                <w:rFonts w:hint="eastAsia" w:ascii="Times New Roman" w:hAnsi="Times New Roman" w:cs="Times New Roman"/>
                <w:bCs w:val="0"/>
                <w:spacing w:val="0"/>
                <w:kern w:val="2"/>
                <w:sz w:val="21"/>
                <w:szCs w:val="22"/>
                <w:highlight w:val="none"/>
                <w:lang w:val="en-US" w:eastAsia="zh-CN" w:bidi="ar-SA"/>
              </w:rPr>
              <w:t>公司的应急预案及演练有行政部组织编制和组织演练，营销部参与公司行政部组织的应急演练。</w:t>
            </w:r>
          </w:p>
        </w:tc>
        <w:tc>
          <w:tcPr>
            <w:tcW w:w="1585" w:type="dxa"/>
          </w:tcPr>
          <w:p>
            <w:pPr>
              <w:rPr>
                <w:rFonts w:hint="eastAsia" w:eastAsia="宋体"/>
                <w:lang w:val="en-US" w:eastAsia="zh-CN"/>
              </w:rPr>
            </w:pPr>
            <w:r>
              <w:rPr>
                <w:rFonts w:hint="eastAsia"/>
                <w:lang w:val="en-US" w:eastAsia="zh-CN"/>
              </w:rPr>
              <w:t>y</w:t>
            </w:r>
          </w:p>
        </w:tc>
      </w:tr>
    </w:tbl>
    <w:p>
      <w:pPr>
        <w:pStyle w:val="5"/>
        <w:rPr>
          <w:rFonts w:hint="eastAsia"/>
        </w:rPr>
      </w:pPr>
    </w:p>
    <w:p>
      <w:pPr>
        <w:pStyle w:val="5"/>
      </w:pPr>
      <w:r>
        <w:rPr>
          <w:rFonts w:hint="eastAsia"/>
        </w:rPr>
        <w:t>说明：不符合标注N</w:t>
      </w:r>
    </w:p>
    <w:p>
      <w:pPr>
        <w:pStyle w:val="5"/>
        <w:rPr>
          <w:rFonts w:hint="eastAsia"/>
        </w:rPr>
      </w:pPr>
    </w:p>
    <w:p>
      <w:pPr>
        <w:pStyle w:val="5"/>
        <w:rPr>
          <w:rFonts w:hint="eastAsia"/>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103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9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3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采购部    </w:t>
            </w:r>
            <w:r>
              <w:rPr>
                <w:rFonts w:hint="eastAsia"/>
                <w:sz w:val="24"/>
                <w:szCs w:val="24"/>
              </w:rPr>
              <w:t>主管领导：</w:t>
            </w:r>
            <w:r>
              <w:rPr>
                <w:rFonts w:hint="eastAsia"/>
                <w:sz w:val="24"/>
                <w:szCs w:val="24"/>
                <w:lang w:val="en-US" w:eastAsia="zh-CN"/>
              </w:rPr>
              <w:t xml:space="preserve">王三红    </w:t>
            </w:r>
            <w:r>
              <w:rPr>
                <w:rFonts w:hint="eastAsia"/>
                <w:sz w:val="24"/>
                <w:szCs w:val="24"/>
              </w:rPr>
              <w:t>陪同人员：</w:t>
            </w:r>
            <w:r>
              <w:rPr>
                <w:rFonts w:hint="eastAsia"/>
                <w:sz w:val="24"/>
                <w:szCs w:val="24"/>
                <w:lang w:val="en-US" w:eastAsia="zh-CN"/>
              </w:rPr>
              <w:t>王佳楠</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90" w:type="dxa"/>
            <w:vMerge w:val="continue"/>
            <w:vAlign w:val="center"/>
          </w:tcPr>
          <w:p/>
        </w:tc>
        <w:tc>
          <w:tcPr>
            <w:tcW w:w="103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吉洁          </w:t>
            </w:r>
            <w:r>
              <w:rPr>
                <w:rFonts w:hint="eastAsia"/>
                <w:sz w:val="24"/>
                <w:szCs w:val="24"/>
              </w:rPr>
              <w:t>审核时间：</w:t>
            </w:r>
            <w:r>
              <w:rPr>
                <w:rFonts w:hint="eastAsia"/>
                <w:sz w:val="24"/>
                <w:szCs w:val="24"/>
                <w:lang w:val="en-US" w:eastAsia="zh-CN"/>
              </w:rPr>
              <w:t>2023.2.12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90" w:type="dxa"/>
            <w:vMerge w:val="continue"/>
            <w:vAlign w:val="center"/>
          </w:tcPr>
          <w:p/>
        </w:tc>
        <w:tc>
          <w:tcPr>
            <w:tcW w:w="1030" w:type="dxa"/>
            <w:vMerge w:val="continue"/>
            <w:vAlign w:val="center"/>
          </w:tcPr>
          <w:p/>
        </w:tc>
        <w:tc>
          <w:tcPr>
            <w:tcW w:w="10004" w:type="dxa"/>
            <w:vAlign w:val="top"/>
          </w:tcPr>
          <w:p>
            <w:pPr>
              <w:spacing w:line="300" w:lineRule="exact"/>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涉及条款：Q</w:t>
            </w:r>
            <w:r>
              <w:rPr>
                <w:rFonts w:hint="eastAsia"/>
                <w:sz w:val="21"/>
                <w:szCs w:val="21"/>
              </w:rPr>
              <w:t>5.3/6.2/8.</w:t>
            </w:r>
            <w:r>
              <w:rPr>
                <w:rFonts w:hint="eastAsia"/>
                <w:sz w:val="21"/>
                <w:szCs w:val="21"/>
                <w:lang w:val="en-US" w:eastAsia="zh-CN"/>
              </w:rPr>
              <w:t>4/</w:t>
            </w:r>
            <w:r>
              <w:rPr>
                <w:rFonts w:hint="eastAsia"/>
                <w:sz w:val="21"/>
                <w:szCs w:val="21"/>
                <w:lang w:eastAsia="zh-CN"/>
              </w:rPr>
              <w:t>；</w:t>
            </w:r>
            <w:r>
              <w:rPr>
                <w:rFonts w:hint="eastAsia"/>
                <w:sz w:val="21"/>
                <w:szCs w:val="21"/>
              </w:rPr>
              <w:t>E</w:t>
            </w:r>
            <w:r>
              <w:rPr>
                <w:rFonts w:hint="eastAsia"/>
                <w:sz w:val="21"/>
                <w:szCs w:val="21"/>
                <w:lang w:val="en-US" w:eastAsia="zh-CN"/>
              </w:rPr>
              <w:t>O</w:t>
            </w:r>
            <w:r>
              <w:rPr>
                <w:rFonts w:hint="eastAsia"/>
                <w:sz w:val="21"/>
                <w:szCs w:val="21"/>
              </w:rPr>
              <w:t>5.3/6.2/6.1.2/8.1/8.2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90" w:type="dxa"/>
          </w:tcPr>
          <w:p>
            <w:pPr>
              <w:rPr>
                <w:rFonts w:hint="default" w:eastAsia="宋体"/>
                <w:lang w:val="en-US" w:eastAsia="zh-CN"/>
              </w:rPr>
            </w:pPr>
            <w:r>
              <w:rPr>
                <w:rFonts w:hint="eastAsia"/>
                <w:lang w:val="en-US" w:eastAsia="zh-CN"/>
              </w:rPr>
              <w:t>职责、权限</w:t>
            </w:r>
          </w:p>
        </w:tc>
        <w:tc>
          <w:tcPr>
            <w:tcW w:w="1030" w:type="dxa"/>
          </w:tcPr>
          <w:p>
            <w:pPr>
              <w:pStyle w:val="9"/>
              <w:rPr>
                <w:rFonts w:hint="default"/>
                <w:lang w:val="en-US" w:eastAsia="zh-CN"/>
              </w:rPr>
            </w:pPr>
            <w:r>
              <w:rPr>
                <w:rFonts w:hint="eastAsia"/>
                <w:lang w:val="en-US" w:eastAsia="zh-CN"/>
              </w:rPr>
              <w:t>QEO5.3</w:t>
            </w:r>
          </w:p>
        </w:tc>
        <w:tc>
          <w:tcPr>
            <w:tcW w:w="10004" w:type="dxa"/>
          </w:tcPr>
          <w:p>
            <w:pPr>
              <w:keepNext w:val="0"/>
              <w:keepLines w:val="0"/>
              <w:widowControl/>
              <w:suppressLineNumbers w:val="0"/>
              <w:jc w:val="left"/>
              <w:rPr>
                <w:rFonts w:hint="eastAsia"/>
                <w:lang w:val="en-US" w:eastAsia="zh-CN"/>
              </w:rPr>
            </w:pPr>
            <w:r>
              <w:rPr>
                <w:rFonts w:hint="eastAsia"/>
                <w:lang w:val="en-US" w:eastAsia="zh-CN"/>
              </w:rPr>
              <w:t>采购部：贯彻执行公司的管理方针和管理目标，落实管理手册在本部门的运行；</w:t>
            </w:r>
          </w:p>
          <w:p>
            <w:pPr>
              <w:keepNext w:val="0"/>
              <w:keepLines w:val="0"/>
              <w:widowControl/>
              <w:suppressLineNumbers w:val="0"/>
              <w:jc w:val="left"/>
              <w:rPr>
                <w:rFonts w:hint="eastAsia"/>
                <w:lang w:val="en-US" w:eastAsia="zh-CN"/>
              </w:rPr>
            </w:pPr>
            <w:r>
              <w:rPr>
                <w:rFonts w:hint="eastAsia"/>
                <w:lang w:val="en-US" w:eastAsia="zh-CN"/>
              </w:rPr>
              <w:t>负责获取、评价、更新公司适用的环境法律法规与其他要求；对物资采购及过程产品、产品及服务质量进行检查和评定，标识检验和试验；负责采购的不合格品控制，防止不合格品非预期使用；分析不合格品产生的原因，采取纠正和预防措施；负责对供方的评审，将评审结果呈报管理者代表审批，保存合格供方档案；贯彻执行公司的方针和管理目标，落实管理手册在本部门的运行；负责对相关方的控制，实施绿色采购；负责本部门环境因素、危险源的识别及其控制。</w:t>
            </w:r>
          </w:p>
          <w:p>
            <w:pPr>
              <w:pStyle w:val="14"/>
              <w:ind w:left="0" w:leftChars="0" w:firstLine="0" w:firstLineChars="0"/>
              <w:rPr>
                <w:rFonts w:hint="default"/>
                <w:lang w:val="en-US" w:eastAsia="zh-CN"/>
              </w:rPr>
            </w:pPr>
            <w:r>
              <w:rPr>
                <w:rFonts w:hint="eastAsia" w:ascii="Times New Roman" w:hAnsi="Times New Roman" w:eastAsia="宋体" w:cs="Times New Roman"/>
                <w:kern w:val="2"/>
                <w:sz w:val="21"/>
                <w:szCs w:val="20"/>
                <w:lang w:val="en-US" w:eastAsia="zh-CN" w:bidi="ar-SA"/>
              </w:rPr>
              <w:t>部门领导熟悉职责，基本符合要求。</w:t>
            </w:r>
          </w:p>
        </w:tc>
        <w:tc>
          <w:tcPr>
            <w:tcW w:w="1585" w:type="dxa"/>
            <w:vAlign w:val="top"/>
          </w:tcPr>
          <w:p>
            <w:pPr>
              <w:spacing w:line="300" w:lineRule="exact"/>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90" w:type="dxa"/>
            <w:vAlign w:val="center"/>
          </w:tcPr>
          <w:p>
            <w:pPr>
              <w:rPr>
                <w:rFonts w:hint="eastAsia"/>
                <w:lang w:val="en-US" w:eastAsia="zh-CN"/>
              </w:rPr>
            </w:pPr>
            <w:r>
              <w:rPr>
                <w:rFonts w:hint="eastAsia" w:cs="宋体"/>
              </w:rPr>
              <w:t>目标指标</w:t>
            </w:r>
          </w:p>
        </w:tc>
        <w:tc>
          <w:tcPr>
            <w:tcW w:w="1030" w:type="dxa"/>
            <w:vAlign w:val="center"/>
          </w:tcPr>
          <w:p>
            <w:pPr>
              <w:rPr>
                <w:rFonts w:hint="eastAsia" w:eastAsia="宋体"/>
                <w:lang w:val="en-US" w:eastAsia="zh-CN"/>
              </w:rPr>
            </w:pPr>
            <w:r>
              <w:t>QE</w:t>
            </w:r>
            <w:r>
              <w:rPr>
                <w:rFonts w:hint="eastAsia"/>
                <w:lang w:val="en-US" w:eastAsia="zh-CN"/>
              </w:rPr>
              <w:t>O</w:t>
            </w:r>
          </w:p>
          <w:p>
            <w:pPr>
              <w:rPr>
                <w:rFonts w:hint="eastAsia"/>
                <w:lang w:val="en-US" w:eastAsia="zh-CN"/>
              </w:rPr>
            </w:pPr>
            <w:r>
              <w:t>6.2</w:t>
            </w:r>
          </w:p>
        </w:tc>
        <w:tc>
          <w:tcPr>
            <w:tcW w:w="10004" w:type="dxa"/>
            <w:vAlign w:val="center"/>
          </w:tcPr>
          <w:p>
            <w:pPr>
              <w:keepNext w:val="0"/>
              <w:keepLines w:val="0"/>
              <w:widowControl/>
              <w:suppressLineNumbers w:val="0"/>
              <w:jc w:val="left"/>
              <w:rPr>
                <w:rFonts w:hint="eastAsia" w:ascii="Times New Roman" w:hAnsi="Times New Roman" w:cs="Times New Roman"/>
                <w:lang w:val="en-US" w:eastAsia="zh-CN"/>
              </w:rPr>
            </w:pPr>
            <w:r>
              <w:rPr>
                <w:rFonts w:hint="eastAsia" w:ascii="Times New Roman" w:hAnsi="Times New Roman" w:cs="Times New Roman"/>
                <w:lang w:val="en-US" w:eastAsia="zh-CN"/>
              </w:rPr>
              <w:t>采购部目标：</w:t>
            </w:r>
          </w:p>
          <w:p>
            <w:pPr>
              <w:keepNext w:val="0"/>
              <w:keepLines w:val="0"/>
              <w:widowControl/>
              <w:suppressLineNumbers w:val="0"/>
              <w:jc w:val="left"/>
              <w:rPr>
                <w:rFonts w:hint="eastAsia" w:ascii="Times New Roman" w:hAnsi="Times New Roman" w:cs="Times New Roman"/>
                <w:lang w:val="en-US" w:eastAsia="zh-CN"/>
              </w:rPr>
            </w:pPr>
            <w:r>
              <w:rPr>
                <w:rFonts w:hint="eastAsia" w:ascii="Times New Roman" w:hAnsi="Times New Roman" w:cs="Times New Roman"/>
                <w:lang w:val="en-US" w:eastAsia="zh-CN"/>
              </w:rPr>
              <w:t>1、采购原材料一次检验合格率≥97%</w:t>
            </w:r>
          </w:p>
          <w:p>
            <w:pPr>
              <w:keepNext w:val="0"/>
              <w:keepLines w:val="0"/>
              <w:widowControl/>
              <w:suppressLineNumbers w:val="0"/>
              <w:jc w:val="left"/>
              <w:rPr>
                <w:rFonts w:hint="eastAsia" w:ascii="Times New Roman" w:hAnsi="Times New Roman" w:cs="Times New Roman"/>
                <w:lang w:val="en-US" w:eastAsia="zh-CN"/>
              </w:rPr>
            </w:pPr>
            <w:r>
              <w:rPr>
                <w:rFonts w:hint="eastAsia" w:ascii="Times New Roman" w:hAnsi="Times New Roman" w:cs="Times New Roman"/>
                <w:lang w:val="en-US" w:eastAsia="zh-CN"/>
              </w:rPr>
              <w:t>2、A类合格供方调查评审率：100﹪</w:t>
            </w:r>
          </w:p>
          <w:p>
            <w:pPr>
              <w:keepNext w:val="0"/>
              <w:keepLines w:val="0"/>
              <w:widowControl/>
              <w:suppressLineNumbers w:val="0"/>
              <w:jc w:val="left"/>
              <w:rPr>
                <w:rFonts w:hint="eastAsia" w:ascii="Times New Roman" w:hAnsi="Times New Roman" w:cs="Times New Roman"/>
                <w:lang w:val="en-US" w:eastAsia="zh-CN"/>
              </w:rPr>
            </w:pPr>
            <w:r>
              <w:rPr>
                <w:rFonts w:hint="eastAsia" w:ascii="Times New Roman" w:hAnsi="Times New Roman" w:cs="Times New Roman"/>
                <w:lang w:val="en-US" w:eastAsia="zh-CN"/>
              </w:rPr>
              <w:t>3、帐、卡、物一致率：100﹪</w:t>
            </w:r>
          </w:p>
          <w:p>
            <w:pPr>
              <w:spacing w:after="0" w:line="241" w:lineRule="auto"/>
              <w:ind w:left="3"/>
              <w:rPr>
                <w:rFonts w:ascii="宋体" w:hAnsi="宋体" w:eastAsia="宋体" w:cs="宋体"/>
                <w:sz w:val="20"/>
              </w:rPr>
            </w:pPr>
            <w:r>
              <w:rPr>
                <w:rFonts w:hint="eastAsia" w:cs="宋体"/>
                <w:lang w:val="en-US" w:eastAsia="zh-CN"/>
              </w:rPr>
              <w:t>4</w:t>
            </w:r>
            <w:r>
              <w:rPr>
                <w:rFonts w:hint="eastAsia" w:cs="宋体"/>
              </w:rPr>
              <w:t>、</w:t>
            </w:r>
            <w:r>
              <w:rPr>
                <w:rFonts w:ascii="宋体" w:hAnsi="宋体" w:eastAsia="宋体" w:cs="宋体"/>
                <w:sz w:val="20"/>
              </w:rPr>
              <w:t>无“长明灯”“ 长流水”等资源浪费事件；无</w:t>
            </w:r>
            <w:r>
              <w:rPr>
                <w:rFonts w:hint="eastAsia" w:ascii="宋体" w:hAnsi="宋体" w:eastAsia="宋体" w:cs="宋体"/>
                <w:sz w:val="20"/>
              </w:rPr>
              <w:t>化学品</w:t>
            </w:r>
            <w:r>
              <w:rPr>
                <w:rFonts w:ascii="宋体" w:hAnsi="宋体" w:eastAsia="宋体" w:cs="宋体"/>
                <w:sz w:val="20"/>
              </w:rPr>
              <w:t>泄漏事件发生。</w:t>
            </w:r>
          </w:p>
          <w:p>
            <w:pPr>
              <w:pStyle w:val="9"/>
              <w:rPr>
                <w:rFonts w:hint="eastAsia" w:ascii="宋体" w:hAnsi="宋体" w:eastAsia="宋体" w:cs="宋体"/>
                <w:sz w:val="20"/>
                <w:lang w:val="zh-CN" w:eastAsia="zh-CN"/>
              </w:rPr>
            </w:pPr>
            <w:r>
              <w:rPr>
                <w:rFonts w:hint="eastAsia" w:ascii="宋体" w:hAnsi="宋体" w:cs="宋体"/>
                <w:sz w:val="20"/>
                <w:lang w:val="en-US" w:eastAsia="zh-CN"/>
              </w:rPr>
              <w:t>5、</w:t>
            </w:r>
            <w:r>
              <w:rPr>
                <w:rFonts w:ascii="宋体" w:hAnsi="宋体" w:eastAsia="宋体" w:cs="宋体"/>
                <w:sz w:val="20"/>
              </w:rPr>
              <w:t>火灾、爆炸事故为</w:t>
            </w:r>
            <w:r>
              <w:rPr>
                <w:rFonts w:ascii="Times New Roman" w:hAnsi="Times New Roman" w:eastAsia="Times New Roman" w:cs="Times New Roman"/>
                <w:sz w:val="20"/>
              </w:rPr>
              <w:t>0</w:t>
            </w:r>
            <w:r>
              <w:rPr>
                <w:rFonts w:ascii="宋体" w:hAnsi="宋体" w:eastAsia="宋体" w:cs="宋体"/>
                <w:sz w:val="20"/>
              </w:rPr>
              <w:t>；</w:t>
            </w:r>
          </w:p>
          <w:p>
            <w:pPr>
              <w:rPr>
                <w:rFonts w:hint="eastAsia" w:ascii="Times New Roman" w:hAnsi="Times New Roman" w:eastAsia="宋体" w:cs="Times New Roman"/>
                <w:kern w:val="2"/>
                <w:sz w:val="21"/>
                <w:szCs w:val="20"/>
                <w:lang w:val="en-US" w:eastAsia="zh-CN" w:bidi="ar-SA"/>
              </w:rPr>
            </w:pPr>
            <w:r>
              <w:rPr>
                <w:rFonts w:hint="eastAsia" w:cs="宋体"/>
              </w:rPr>
              <w:t>对目标进行了分解，建立了各部门的分目标，每季度末对目标进行考核，查看“</w:t>
            </w:r>
            <w:r>
              <w:t>20</w:t>
            </w:r>
            <w:r>
              <w:rPr>
                <w:rFonts w:hint="eastAsia"/>
                <w:lang w:val="en-US" w:eastAsia="zh-CN"/>
              </w:rPr>
              <w:t>22</w:t>
            </w:r>
            <w:r>
              <w:rPr>
                <w:rFonts w:hint="eastAsia" w:cs="宋体"/>
              </w:rPr>
              <w:t>年第</w:t>
            </w:r>
            <w:r>
              <w:rPr>
                <w:rFonts w:hint="eastAsia" w:cs="宋体"/>
                <w:lang w:val="en-US" w:eastAsia="zh-CN"/>
              </w:rPr>
              <w:t>1-4</w:t>
            </w:r>
            <w:r>
              <w:rPr>
                <w:rFonts w:hint="eastAsia" w:cs="宋体"/>
              </w:rPr>
              <w:t>季度</w:t>
            </w:r>
            <w:r>
              <w:rPr>
                <w:rFonts w:hint="eastAsia" w:cs="宋体"/>
                <w:lang w:eastAsia="zh-CN"/>
              </w:rPr>
              <w:t>，</w:t>
            </w:r>
            <w:r>
              <w:rPr>
                <w:rFonts w:hint="eastAsia" w:cs="宋体"/>
              </w:rPr>
              <w:t>目标完成情况统计表”，见各部门考核情况。</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90" w:type="dxa"/>
            <w:vAlign w:val="center"/>
          </w:tcPr>
          <w:p>
            <w:pPr>
              <w:rPr>
                <w:rFonts w:hint="default" w:ascii="Times New Roman" w:hAnsi="Times New Roman" w:eastAsia="宋体" w:cs="Times New Roman"/>
                <w:kern w:val="2"/>
                <w:sz w:val="21"/>
                <w:szCs w:val="21"/>
                <w:lang w:val="en-US" w:eastAsia="zh-CN" w:bidi="ar-SA"/>
              </w:rPr>
            </w:pPr>
            <w:r>
              <w:rPr>
                <w:rFonts w:hint="eastAsia"/>
              </w:rPr>
              <w:t>环境因素</w:t>
            </w:r>
            <w:r>
              <w:rPr>
                <w:rFonts w:hint="eastAsia"/>
                <w:lang w:eastAsia="zh-CN"/>
              </w:rPr>
              <w:t>、</w:t>
            </w:r>
            <w:r>
              <w:rPr>
                <w:rFonts w:hint="eastAsia"/>
                <w:lang w:val="en-US" w:eastAsia="zh-CN"/>
              </w:rPr>
              <w:t>危险源</w:t>
            </w:r>
          </w:p>
        </w:tc>
        <w:tc>
          <w:tcPr>
            <w:tcW w:w="1030" w:type="dxa"/>
            <w:vAlign w:val="center"/>
          </w:tcPr>
          <w:p>
            <w:pPr>
              <w:rPr>
                <w:rFonts w:hint="eastAsia" w:ascii="Times New Roman" w:hAnsi="Times New Roman" w:eastAsia="宋体" w:cs="Times New Roman"/>
                <w:lang w:val="en-US" w:eastAsia="zh-CN"/>
              </w:rPr>
            </w:pPr>
            <w:r>
              <w:rPr>
                <w:rFonts w:hint="eastAsia" w:ascii="Times New Roman" w:hAnsi="Times New Roman" w:cs="Times New Roman"/>
              </w:rPr>
              <w:t>E</w:t>
            </w:r>
            <w:r>
              <w:rPr>
                <w:rFonts w:hint="eastAsia" w:cs="Times New Roman"/>
                <w:lang w:val="en-US" w:eastAsia="zh-CN"/>
              </w:rPr>
              <w:t>O</w:t>
            </w:r>
          </w:p>
          <w:p>
            <w:pPr>
              <w:rPr>
                <w:rFonts w:hint="eastAsia" w:ascii="Times New Roman" w:hAnsi="Times New Roman" w:eastAsia="宋体" w:cs="Times New Roman"/>
                <w:kern w:val="2"/>
                <w:sz w:val="21"/>
                <w:lang w:val="en-US" w:eastAsia="zh-CN" w:bidi="ar-SA"/>
              </w:rPr>
            </w:pPr>
            <w:r>
              <w:rPr>
                <w:rFonts w:hint="eastAsia" w:ascii="Times New Roman" w:hAnsi="Times New Roman" w:cs="Times New Roman"/>
              </w:rPr>
              <w:t>6.1</w:t>
            </w:r>
            <w:r>
              <w:rPr>
                <w:rFonts w:hint="eastAsia" w:ascii="Times New Roman" w:hAnsi="Times New Roman" w:cs="Times New Roman"/>
                <w:lang w:val="en-US" w:eastAsia="zh-CN"/>
              </w:rPr>
              <w:t>.</w:t>
            </w:r>
            <w:r>
              <w:rPr>
                <w:rFonts w:hint="eastAsia" w:ascii="Times New Roman" w:hAnsi="Times New Roman" w:cs="Times New Roman"/>
              </w:rPr>
              <w:t>2</w:t>
            </w:r>
          </w:p>
        </w:tc>
        <w:tc>
          <w:tcPr>
            <w:tcW w:w="10004" w:type="dxa"/>
            <w:vAlign w:val="center"/>
          </w:tcPr>
          <w:p>
            <w:pPr>
              <w:rPr>
                <w:rFonts w:hint="eastAsia"/>
              </w:rPr>
            </w:pPr>
            <w:r>
              <w:rPr>
                <w:rFonts w:hint="eastAsia"/>
              </w:rPr>
              <w:t>提供了环境因素识别与评价表，涉及本部门的环境因素包括：水电消耗、废旧墨盒、废旧办公桌椅、生活垃圾、生活污水、消防器材的排放等。</w:t>
            </w:r>
          </w:p>
          <w:p>
            <w:pPr>
              <w:rPr>
                <w:rFonts w:hint="eastAsia"/>
              </w:rPr>
            </w:pPr>
            <w:r>
              <w:rPr>
                <w:rFonts w:hint="eastAsia"/>
              </w:rPr>
              <w:t>重要环境因素有：固废的排放、噪声的排放、废气的排放、潜在火灾的发生，评价基本准确。</w:t>
            </w:r>
          </w:p>
          <w:p>
            <w:pPr>
              <w:rPr>
                <w:rFonts w:hint="eastAsia"/>
                <w:lang w:val="en-US" w:eastAsia="zh-CN"/>
              </w:rPr>
            </w:pPr>
            <w:r>
              <w:rPr>
                <w:rFonts w:hint="eastAsia"/>
                <w:lang w:val="en-US" w:eastAsia="zh-CN"/>
              </w:rPr>
              <w:t>采购部根据工作职责识别危险源，主要包括：办公用品电器使用触电、着火；跑市场出差途中的交通安全等；</w:t>
            </w:r>
          </w:p>
          <w:p>
            <w:pPr>
              <w:pStyle w:val="2"/>
              <w:rPr>
                <w:rFonts w:hint="eastAsia"/>
                <w:lang w:val="en-US" w:eastAsia="zh-CN"/>
              </w:rPr>
            </w:pPr>
            <w:r>
              <w:rPr>
                <w:rFonts w:hint="eastAsia"/>
                <w:sz w:val="21"/>
                <w:szCs w:val="21"/>
                <w:lang w:val="en-US" w:eastAsia="zh-CN"/>
              </w:rPr>
              <w:t>触电、火灾作为不可接受风险进行管控</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090" w:type="dxa"/>
            <w:vAlign w:val="center"/>
          </w:tcPr>
          <w:p>
            <w:pPr>
              <w:rPr>
                <w:rFonts w:hint="default" w:ascii="Times New Roman" w:hAnsi="Times New Roman" w:eastAsia="宋体" w:cs="Times New Roman"/>
                <w:bCs/>
                <w:spacing w:val="10"/>
                <w:kern w:val="2"/>
                <w:sz w:val="21"/>
                <w:lang w:val="en-US" w:eastAsia="zh-CN" w:bidi="ar-SA"/>
              </w:rPr>
            </w:pPr>
            <w:r>
              <w:rPr>
                <w:rFonts w:hint="eastAsia"/>
              </w:rPr>
              <w:t>运行控制</w:t>
            </w:r>
          </w:p>
        </w:tc>
        <w:tc>
          <w:tcPr>
            <w:tcW w:w="1030" w:type="dxa"/>
            <w:vAlign w:val="center"/>
          </w:tcPr>
          <w:p>
            <w:pPr>
              <w:rPr>
                <w:rFonts w:hint="default" w:ascii="Times New Roman" w:hAnsi="Times New Roman" w:eastAsia="宋体" w:cs="Times New Roman"/>
                <w:bCs/>
                <w:spacing w:val="10"/>
                <w:kern w:val="2"/>
                <w:sz w:val="21"/>
                <w:szCs w:val="21"/>
                <w:lang w:val="en-US" w:eastAsia="zh-CN" w:bidi="ar-SA"/>
              </w:rPr>
            </w:pPr>
            <w:r>
              <w:rPr>
                <w:rFonts w:hint="eastAsia"/>
              </w:rPr>
              <w:t>E</w:t>
            </w:r>
            <w:r>
              <w:rPr>
                <w:rFonts w:hint="eastAsia"/>
                <w:lang w:val="en-US" w:eastAsia="zh-CN"/>
              </w:rPr>
              <w:t>O</w:t>
            </w:r>
            <w:r>
              <w:rPr>
                <w:rFonts w:hint="eastAsia"/>
              </w:rPr>
              <w:t>8.1</w:t>
            </w:r>
          </w:p>
        </w:tc>
        <w:tc>
          <w:tcPr>
            <w:tcW w:w="10004" w:type="dxa"/>
            <w:vAlign w:val="center"/>
          </w:tcPr>
          <w:p>
            <w:pPr>
              <w:rPr>
                <w:rFonts w:hint="eastAsia"/>
              </w:rPr>
            </w:pPr>
            <w:r>
              <w:rPr>
                <w:rFonts w:hint="eastAsia"/>
              </w:rPr>
              <w:t>本部门应执行的运行控制文件包括：环境运行控制程序，固体废弃物管理规定、对相关方施加影响管理规定、节能降耗管理规定、消防安全管理制度、办公室安全管理制度</w:t>
            </w:r>
            <w:r>
              <w:rPr>
                <w:rFonts w:hint="eastAsia"/>
                <w:lang w:val="en-GB"/>
              </w:rPr>
              <w:t>、电脑使用管理办法</w:t>
            </w:r>
            <w:r>
              <w:rPr>
                <w:rFonts w:hint="eastAsia"/>
              </w:rPr>
              <w:t>等。</w:t>
            </w:r>
          </w:p>
          <w:p>
            <w:pPr>
              <w:rPr>
                <w:rFonts w:hint="eastAsia"/>
              </w:rPr>
            </w:pPr>
            <w:r>
              <w:rPr>
                <w:rFonts w:hint="eastAsia"/>
              </w:rPr>
              <w:t>查运行控制情况：</w:t>
            </w:r>
          </w:p>
          <w:p>
            <w:pPr>
              <w:rPr>
                <w:rFonts w:hint="eastAsia"/>
              </w:rPr>
            </w:pPr>
            <w:r>
              <w:rPr>
                <w:rFonts w:hint="eastAsia"/>
              </w:rPr>
              <w:t>办公过程注意节约用电，做到人走灯灭，电脑长时间不用时关机，下班前要关闭电源；</w:t>
            </w:r>
          </w:p>
          <w:p>
            <w:pPr>
              <w:rPr>
                <w:rFonts w:hint="default" w:ascii="Times New Roman" w:hAnsi="Times New Roman" w:eastAsia="宋体" w:cs="Times New Roman"/>
                <w:bCs w:val="0"/>
                <w:spacing w:val="0"/>
                <w:kern w:val="2"/>
                <w:sz w:val="21"/>
                <w:szCs w:val="22"/>
                <w:highlight w:val="yellow"/>
                <w:lang w:val="en-US" w:eastAsia="zh-CN" w:bidi="ar-SA"/>
              </w:rPr>
            </w:pPr>
            <w:r>
              <w:rPr>
                <w:rFonts w:hint="eastAsia"/>
              </w:rPr>
              <w:t>办公过程产生的固废按办公室要求放到指定地点，现场查看无混放现象；办公用品按要求由办公室负责发放，作好记录； 参加公司组织的应急方案学习，火灾应急演练；现场办公室设备、电器状态良好，无安全隐患。</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090" w:type="dxa"/>
            <w:vAlign w:val="top"/>
          </w:tcPr>
          <w:p>
            <w:pPr>
              <w:pStyle w:val="9"/>
              <w:rPr>
                <w:rFonts w:hint="default" w:ascii="Times New Roman" w:hAnsi="Times New Roman" w:eastAsia="宋体" w:cs="Times New Roman"/>
                <w:bCs/>
                <w:spacing w:val="10"/>
                <w:kern w:val="2"/>
                <w:sz w:val="21"/>
                <w:lang w:val="en-US" w:eastAsia="zh-CN" w:bidi="ar-SA"/>
              </w:rPr>
            </w:pPr>
            <w:r>
              <w:rPr>
                <w:rFonts w:hint="eastAsia"/>
                <w:lang w:val="en-US" w:eastAsia="zh-CN"/>
              </w:rPr>
              <w:t>应急准备和响应</w:t>
            </w:r>
          </w:p>
        </w:tc>
        <w:tc>
          <w:tcPr>
            <w:tcW w:w="1030" w:type="dxa"/>
            <w:vAlign w:val="top"/>
          </w:tcPr>
          <w:p>
            <w:pPr>
              <w:pStyle w:val="9"/>
              <w:rPr>
                <w:rFonts w:hint="eastAsia" w:ascii="Times New Roman" w:hAnsi="Times New Roman" w:eastAsia="宋体" w:cs="Times New Roman"/>
                <w:bCs/>
                <w:spacing w:val="10"/>
                <w:kern w:val="2"/>
                <w:sz w:val="21"/>
                <w:szCs w:val="21"/>
                <w:lang w:val="en-US" w:eastAsia="zh-CN" w:bidi="ar-SA"/>
              </w:rPr>
            </w:pPr>
            <w:r>
              <w:rPr>
                <w:rFonts w:hint="eastAsia"/>
                <w:sz w:val="21"/>
                <w:szCs w:val="21"/>
                <w:lang w:val="en-US" w:eastAsia="zh-CN"/>
              </w:rPr>
              <w:t>E8.2</w:t>
            </w:r>
          </w:p>
        </w:tc>
        <w:tc>
          <w:tcPr>
            <w:tcW w:w="10004" w:type="dxa"/>
            <w:vAlign w:val="top"/>
          </w:tcPr>
          <w:p>
            <w:pPr>
              <w:rPr>
                <w:rFonts w:hint="default" w:ascii="Times New Roman" w:hAnsi="Times New Roman" w:eastAsia="宋体" w:cs="Times New Roman"/>
                <w:bCs w:val="0"/>
                <w:spacing w:val="0"/>
                <w:kern w:val="2"/>
                <w:sz w:val="21"/>
                <w:szCs w:val="22"/>
                <w:highlight w:val="yellow"/>
                <w:lang w:val="en-US" w:eastAsia="zh-CN" w:bidi="ar-SA"/>
              </w:rPr>
            </w:pPr>
            <w:r>
              <w:rPr>
                <w:rFonts w:hint="eastAsia" w:ascii="Times New Roman" w:hAnsi="Times New Roman" w:cs="Times New Roman"/>
                <w:bCs w:val="0"/>
                <w:spacing w:val="0"/>
                <w:kern w:val="2"/>
                <w:sz w:val="21"/>
                <w:szCs w:val="22"/>
                <w:highlight w:val="none"/>
                <w:lang w:val="en-US" w:eastAsia="zh-CN" w:bidi="ar-SA"/>
              </w:rPr>
              <w:t>公司的应急预案及演练有行政部组织编制和组织演练，采购部参与公司行政部组织的应急演练。</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090" w:type="dxa"/>
            <w:vAlign w:val="center"/>
          </w:tcPr>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外部提供的过程、产品和服务的控制</w:t>
            </w:r>
          </w:p>
        </w:tc>
        <w:tc>
          <w:tcPr>
            <w:tcW w:w="1030" w:type="dxa"/>
            <w:vAlign w:val="center"/>
          </w:tcPr>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Q8.4</w:t>
            </w:r>
          </w:p>
        </w:tc>
        <w:tc>
          <w:tcPr>
            <w:tcW w:w="10004" w:type="dxa"/>
            <w:vAlign w:val="center"/>
          </w:tcPr>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现场提供有《合格供方目录》，由总经理解军威批准。</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合格供方名称                    供应产品名称</w:t>
            </w:r>
          </w:p>
          <w:p>
            <w:pPr>
              <w:rPr>
                <w:rFonts w:hint="default"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保龄宝生物股份有限公司            一水/无水葡萄糖</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山东百龙创园生物科技股份有限公司     低聚异麦芽糖粉</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杨凌圣妃乳业有限公司             调制乳粉</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天津市真如果食品工业有限公司    甜橙粉</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陕西森弗天然制品有限公司         山药粉</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安徽天凯生物科技有限公司           DHA藻油</w:t>
            </w:r>
          </w:p>
          <w:p>
            <w:pPr>
              <w:rPr>
                <w:rFonts w:hint="eastAsia" w:ascii="Times New Roman" w:hAnsi="Times New Roman" w:eastAsia="宋体" w:cs="Times New Roman"/>
                <w:bCs w:val="0"/>
                <w:spacing w:val="0"/>
                <w:kern w:val="2"/>
                <w:sz w:val="21"/>
                <w:szCs w:val="22"/>
                <w:highlight w:val="none"/>
                <w:lang w:val="en-US" w:eastAsia="zh-CN" w:bidi="ar-SA"/>
              </w:rPr>
            </w:pPr>
            <w:r>
              <w:rPr>
                <w:rFonts w:hint="default" w:ascii="Times New Roman" w:hAnsi="Times New Roman" w:eastAsia="宋体" w:cs="Times New Roman"/>
                <w:bCs w:val="0"/>
                <w:spacing w:val="0"/>
                <w:kern w:val="2"/>
                <w:sz w:val="21"/>
                <w:szCs w:val="22"/>
                <w:highlight w:val="none"/>
                <w:lang w:val="en-US" w:eastAsia="zh-CN" w:bidi="ar-SA"/>
              </w:rPr>
              <w:t>苏州绿香源食品有限公司</w:t>
            </w:r>
            <w:r>
              <w:rPr>
                <w:rFonts w:hint="eastAsia" w:ascii="Times New Roman" w:hAnsi="Times New Roman" w:eastAsia="宋体" w:cs="Times New Roman"/>
                <w:bCs w:val="0"/>
                <w:spacing w:val="0"/>
                <w:kern w:val="2"/>
                <w:sz w:val="21"/>
                <w:szCs w:val="22"/>
                <w:highlight w:val="none"/>
                <w:lang w:val="en-US" w:eastAsia="zh-CN" w:bidi="ar-SA"/>
              </w:rPr>
              <w:t xml:space="preserve">          葵花籽油</w:t>
            </w:r>
          </w:p>
          <w:p>
            <w:pPr>
              <w:rPr>
                <w:rFonts w:hint="default"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 xml:space="preserve">。。。。。。。。 </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查 供方的调查及评价。</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针对合格供方保龄宝生物股份有限公司等的评价：评价内容：交货及时、售后服务好、产品质量可靠等；符合相关规定，纳入合格供方。</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查山东百龙创园生物科技股份有限公司 评价记录，评价内容：交货及时、售后服务好、产品质量可靠等；符合相关规定，纳入合格供方。</w:t>
            </w:r>
          </w:p>
          <w:p>
            <w:pPr>
              <w:pStyle w:val="2"/>
              <w:rPr>
                <w:rFonts w:hint="default"/>
                <w:lang w:val="en-US" w:eastAsia="zh-CN"/>
              </w:rPr>
            </w:pPr>
            <w:r>
              <w:rPr>
                <w:rFonts w:hint="eastAsia" w:ascii="Times New Roman" w:hAnsi="Times New Roman" w:cs="Times New Roman"/>
                <w:bCs w:val="0"/>
                <w:spacing w:val="0"/>
                <w:kern w:val="2"/>
                <w:sz w:val="21"/>
                <w:szCs w:val="22"/>
                <w:highlight w:val="none"/>
                <w:lang w:val="en-US" w:eastAsia="zh-CN" w:bidi="ar-SA"/>
              </w:rPr>
              <w:t>对上述供方进行了年度评价，可继续纳入合格供方。</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本公司需求物资的采购信息由质量部负责，通过签订书面采购订单方式向合格供方进行产品采购。</w:t>
            </w: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采购检验见Q8.6</w:t>
            </w:r>
          </w:p>
        </w:tc>
        <w:tc>
          <w:tcPr>
            <w:tcW w:w="1585" w:type="dxa"/>
          </w:tcPr>
          <w:p>
            <w:pPr>
              <w:rPr>
                <w:rFonts w:hint="eastAsia" w:eastAsia="宋体"/>
                <w:lang w:val="en-US" w:eastAsia="zh-CN"/>
              </w:rPr>
            </w:pPr>
            <w:r>
              <w:rPr>
                <w:rFonts w:hint="eastAsia"/>
                <w:lang w:val="en-US" w:eastAsia="zh-CN"/>
              </w:rPr>
              <w:t>y</w:t>
            </w:r>
          </w:p>
        </w:tc>
      </w:tr>
    </w:tbl>
    <w:p>
      <w:pPr>
        <w:pStyle w:val="5"/>
      </w:pPr>
      <w:r>
        <w:rPr>
          <w:rFonts w:hint="eastAsia"/>
        </w:rPr>
        <w:t>说明：不符合标注N</w:t>
      </w:r>
    </w:p>
    <w:p>
      <w:pPr>
        <w:pStyle w:val="5"/>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文本框 1025"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QfhE2AAAAAsBAAAPAAAAAAAAAAEAIAAAACIAAABkcnMvZG93bnJl&#10;di54bWxQSwECFAAUAAAACACHTuJA1Om+d8QBAAB6AwAADgAAAAAAAAABACAAAAAnAQAAZHJzL2Uy&#10;b0RvYy54bWxQSwUGAAAAAAYABgBZAQAAXQ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AE5EF"/>
    <w:multiLevelType w:val="singleLevel"/>
    <w:tmpl w:val="804AE5E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3MmNiNTA4Y2RiYTNkMzhmODU1Yjg5OTYxMzY5NzMifQ=="/>
  </w:docVars>
  <w:rsids>
    <w:rsidRoot w:val="00000000"/>
    <w:rsid w:val="018F0AB8"/>
    <w:rsid w:val="03922A7A"/>
    <w:rsid w:val="03BE76CA"/>
    <w:rsid w:val="0461189E"/>
    <w:rsid w:val="047B05E5"/>
    <w:rsid w:val="065026A6"/>
    <w:rsid w:val="08114CFB"/>
    <w:rsid w:val="087E0050"/>
    <w:rsid w:val="08C2151C"/>
    <w:rsid w:val="09774987"/>
    <w:rsid w:val="098460A4"/>
    <w:rsid w:val="0B7C40A9"/>
    <w:rsid w:val="0E2203A6"/>
    <w:rsid w:val="11515ABE"/>
    <w:rsid w:val="1519066E"/>
    <w:rsid w:val="16B658EE"/>
    <w:rsid w:val="16BC3DB9"/>
    <w:rsid w:val="187F3D26"/>
    <w:rsid w:val="193725BE"/>
    <w:rsid w:val="193D2775"/>
    <w:rsid w:val="1AA9357D"/>
    <w:rsid w:val="1B792EEB"/>
    <w:rsid w:val="1D6F55B0"/>
    <w:rsid w:val="1F244D63"/>
    <w:rsid w:val="1F3E77A1"/>
    <w:rsid w:val="1F63162F"/>
    <w:rsid w:val="21111EDC"/>
    <w:rsid w:val="23183F12"/>
    <w:rsid w:val="263D4632"/>
    <w:rsid w:val="273F6C96"/>
    <w:rsid w:val="2CC70F14"/>
    <w:rsid w:val="2D6C3F53"/>
    <w:rsid w:val="2ECB35A9"/>
    <w:rsid w:val="2F6C1017"/>
    <w:rsid w:val="31C866DF"/>
    <w:rsid w:val="31FC47DE"/>
    <w:rsid w:val="32B4468B"/>
    <w:rsid w:val="336710A3"/>
    <w:rsid w:val="34CF1681"/>
    <w:rsid w:val="35BD5952"/>
    <w:rsid w:val="35FE72D6"/>
    <w:rsid w:val="3CA75F09"/>
    <w:rsid w:val="3EE50147"/>
    <w:rsid w:val="409F0B9B"/>
    <w:rsid w:val="40DC0732"/>
    <w:rsid w:val="45266A0C"/>
    <w:rsid w:val="457E7663"/>
    <w:rsid w:val="47CA1B4A"/>
    <w:rsid w:val="48EC3360"/>
    <w:rsid w:val="4B0735C9"/>
    <w:rsid w:val="4C8049A8"/>
    <w:rsid w:val="4E2E44B5"/>
    <w:rsid w:val="51470579"/>
    <w:rsid w:val="558E0D1D"/>
    <w:rsid w:val="55B931F8"/>
    <w:rsid w:val="57654F16"/>
    <w:rsid w:val="57EB5624"/>
    <w:rsid w:val="5AA01C3E"/>
    <w:rsid w:val="5C7D73CD"/>
    <w:rsid w:val="5C8D3328"/>
    <w:rsid w:val="5E006AC4"/>
    <w:rsid w:val="5F5774D2"/>
    <w:rsid w:val="5FFF65BC"/>
    <w:rsid w:val="63C46E0F"/>
    <w:rsid w:val="640A7606"/>
    <w:rsid w:val="647C7B30"/>
    <w:rsid w:val="660014C1"/>
    <w:rsid w:val="677237B6"/>
    <w:rsid w:val="67970A99"/>
    <w:rsid w:val="681B72B9"/>
    <w:rsid w:val="6AF52FDB"/>
    <w:rsid w:val="6FA174DF"/>
    <w:rsid w:val="6FF459C2"/>
    <w:rsid w:val="74FC0CE6"/>
    <w:rsid w:val="7576114C"/>
    <w:rsid w:val="769949E9"/>
    <w:rsid w:val="77C24A29"/>
    <w:rsid w:val="7A200C17"/>
    <w:rsid w:val="7D5A40F6"/>
    <w:rsid w:val="7F7D79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jc w:val="center"/>
      <w:outlineLvl w:val="0"/>
    </w:pPr>
    <w:rPr>
      <w:rFonts w:ascii="Calibri" w:hAnsi="Calibri" w:eastAsia="宋体" w:cs="Times New Roman"/>
      <w:b/>
      <w:kern w:val="44"/>
      <w:sz w:val="44"/>
      <w:szCs w:val="2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0"/>
    <w:rPr>
      <w:rFonts w:ascii="Times New Roman" w:hAnsi="Times New Roman" w:eastAsia="宋体" w:cs="Times New Roman"/>
      <w:sz w:val="22"/>
      <w:szCs w:val="22"/>
      <w:lang w:val="en-US" w:eastAsia="zh-CN" w:bidi="ar-SA"/>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9">
    <w:name w:val="表格文字"/>
    <w:basedOn w:val="1"/>
    <w:qFormat/>
    <w:uiPriority w:val="0"/>
    <w:pPr>
      <w:spacing w:before="25" w:after="25"/>
    </w:pPr>
    <w:rPr>
      <w:bCs/>
      <w:spacing w:val="10"/>
    </w:rPr>
  </w:style>
  <w:style w:type="character" w:customStyle="1" w:styleId="10">
    <w:name w:val="页眉 Char"/>
    <w:basedOn w:val="8"/>
    <w:link w:val="6"/>
    <w:qFormat/>
    <w:uiPriority w:val="99"/>
    <w:rPr>
      <w:rFonts w:ascii="Times New Roman" w:hAnsi="Times New Roman" w:eastAsia="宋体" w:cs="Times New Roman"/>
      <w:sz w:val="18"/>
      <w:szCs w:val="18"/>
    </w:rPr>
  </w:style>
  <w:style w:type="character" w:customStyle="1" w:styleId="11">
    <w:name w:val="页脚 Char"/>
    <w:basedOn w:val="8"/>
    <w:link w:val="5"/>
    <w:qFormat/>
    <w:uiPriority w:val="99"/>
    <w:rPr>
      <w:rFonts w:ascii="Times New Roman" w:hAnsi="Times New Roman" w:eastAsia="宋体" w:cs="Times New Roman"/>
      <w:sz w:val="18"/>
      <w:szCs w:val="18"/>
    </w:rPr>
  </w:style>
  <w:style w:type="character" w:customStyle="1" w:styleId="12">
    <w:name w:val="批注框文本 Char"/>
    <w:basedOn w:val="8"/>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正文 首行缩进:  2 字符"/>
    <w:basedOn w:val="1"/>
    <w:qFormat/>
    <w:uiPriority w:val="0"/>
    <w:pPr>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2023-02-17T06:44:21Z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