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149"/>
        <w:gridCol w:w="660"/>
        <w:gridCol w:w="149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彤博士健康产业河北有限公司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石家庄高新区兴安大街153号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石家庄高新区兴安大街153号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卓林双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18033765825</w:t>
            </w:r>
            <w:bookmarkEnd w:id="4"/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0561-2020-QEO-2023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649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审核范围"/>
            <w:r>
              <w:rPr>
                <w:b w:val="0"/>
                <w:bCs w:val="0"/>
                <w:sz w:val="21"/>
                <w:szCs w:val="21"/>
              </w:rPr>
              <w:t>Q：许可范围内的饮料、食用油、油脂及其制品、调味品的生产及销售.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E：许可范围内的饮料、食用油、油脂及其制品、调味品的生产及销售所涉及场所的相关环境管理活动.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O：许可范围内的饮料、食用油、油脂及其制品、调味品的生产及销售所涉及场所的相关职业健康安全管理活动.</w:t>
            </w:r>
            <w:bookmarkEnd w:id="20"/>
          </w:p>
        </w:tc>
        <w:tc>
          <w:tcPr>
            <w:tcW w:w="66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1" w:name="专业代码"/>
            <w:r>
              <w:rPr>
                <w:b w:val="0"/>
                <w:bCs w:val="0"/>
                <w:sz w:val="21"/>
                <w:szCs w:val="21"/>
              </w:rPr>
              <w:t>Q：03.04.01;03.04.02;03.08.03;03.08.04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E：03.04.01;03.04.02;03.08.03;03.08.04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O：03.04.01;03.04.02;03.08.03;03.08.04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bookmarkStart w:id="25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2023年02月11日 上午至2023年02月12日 下午</w:t>
            </w:r>
            <w:bookmarkEnd w:id="26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7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2.0</w:t>
            </w:r>
            <w:bookmarkEnd w:id="27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2023-N1OHSMS-4022240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杨捷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ISC-JSZJ-163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Q:03.04.01,03.04.02,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03.08.03,03.08.04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E:03.04.01,03.04.02,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03.08.03,03.08.04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O:03.04.01,03.04.02,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03.08.03,03.08.04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12091007518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现工作单位名称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  <w:lang w:val="de-DE"/>
              </w:rPr>
              <w:t>12091007518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8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2023.2.9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2023.2.9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2023.2.9</w:t>
            </w:r>
          </w:p>
        </w:tc>
      </w:tr>
    </w:tbl>
    <w:p>
      <w:bookmarkStart w:id="29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-814070</wp:posOffset>
            </wp:positionV>
            <wp:extent cx="7609840" cy="11185525"/>
            <wp:effectExtent l="0" t="0" r="10160" b="3175"/>
            <wp:wrapNone/>
            <wp:docPr id="3" name="图片 3" descr="新文档 2023-02-17 08.29.3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3-02-17 08.29.30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18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9"/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50"/>
        <w:gridCol w:w="645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2023.2.11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/>
                <w:sz w:val="21"/>
                <w:szCs w:val="21"/>
              </w:rPr>
              <w:t>不符合的验证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认证证书及标志使用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  <w:r>
              <w:rPr>
                <w:rFonts w:hint="eastAsia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环境因素、危险源</w:t>
            </w:r>
            <w:r>
              <w:rPr>
                <w:rFonts w:hint="eastAsia"/>
                <w:color w:val="auto"/>
                <w:sz w:val="21"/>
                <w:szCs w:val="21"/>
              </w:rPr>
              <w:t>识别评价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岗位、职责权限；目标、指标管理方案；环境因素/危险源识别评价；文件化信息；人员、组织知识；能力；意识；沟通；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eastAsia"/>
                <w:color w:val="auto"/>
                <w:sz w:val="21"/>
                <w:szCs w:val="21"/>
              </w:rPr>
              <w:t>参与和协商；运行策划和控制；应急准备和响应；合规义务；法律法规要求；绩效的监视和测量；合规性评价；不合格及纠正措施控制；内部审核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Q5.3/6.2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/9.1.1/9.2/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EO5.3/6.2</w:t>
            </w:r>
            <w:r>
              <w:rPr>
                <w:rFonts w:hint="eastAsia"/>
                <w:color w:val="auto"/>
                <w:sz w:val="21"/>
                <w:szCs w:val="21"/>
              </w:rPr>
              <w:t>/6.1.2/6.1.3/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8.1/8.2/9.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1.1/9.1.2/9.2/10.2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质量部</w:t>
            </w:r>
            <w:r>
              <w:rPr>
                <w:rFonts w:hint="eastAsia"/>
                <w:sz w:val="21"/>
                <w:szCs w:val="21"/>
              </w:rPr>
              <w:t>：组织的岗位、职责权限；目标；监视和测量资源；产品和服务的放行；不合格输出的控制；环境因素、危险源辨识、风险评价和控制措施的确定；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7.1.5/8.6/8.7/9.1.3；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2023.2.12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危险源识别评价；产品和服务要求；生产和服务提供的控制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5.3/6.2/6.1.2/8.1/8.2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：组织的岗位、职责权限；目标；基础设施；运行环境；运行的策划和控制；生产和服务提供的控制；标识和可追溯性；产品防护；变更的控制；环境因素、危险源辨识、风险评价和控制措施的确定；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7.1.3/7.1.4/8.1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审核组内部沟通，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D8E21DD"/>
    <w:rsid w:val="65AB7FF2"/>
    <w:rsid w:val="67727B23"/>
    <w:rsid w:val="777A5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1770</Words>
  <Characters>3027</Characters>
  <Lines>37</Lines>
  <Paragraphs>10</Paragraphs>
  <TotalTime>0</TotalTime>
  <ScaleCrop>false</ScaleCrop>
  <LinksUpToDate>false</LinksUpToDate>
  <CharactersWithSpaces>3059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2023-02-17T03:14:06Z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