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山东金坤规划设计研究院有限公司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34.01.01;34.01.02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34.01.01;34.01.02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整治规划：政府通过招标或投标—中标—调研、勘测、分析--确定土地整治具体项目—土地勘察、清查—编制项目可行性研究报告—报批—政府部门进行论证决定是否立项—编制规划设计报告与预算—报审—政府主管部门组织评审—备案（或批准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土地利用规划：政府通过招标或投标—中标—工作准备—调查分析与专题研究—规划方案编制—规划公示及意见征询—规划方案论证—规划评审—成果报批—规划公告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楷体"/>
                <w:b/>
                <w:sz w:val="2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楷体" w:hAnsi="楷体" w:eastAsia="楷体"/>
              </w:rPr>
              <w:t>方案设计</w:t>
            </w:r>
            <w:r>
              <w:rPr>
                <w:rFonts w:hint="eastAsia" w:ascii="楷体" w:hAnsi="楷体" w:eastAsia="楷体"/>
                <w:lang w:val="en-US" w:eastAsia="zh-CN"/>
              </w:rPr>
              <w:t>过程。控制参数：</w:t>
            </w:r>
            <w:r>
              <w:rPr>
                <w:rFonts w:hint="eastAsia" w:ascii="楷体" w:hAnsi="楷体" w:eastAsia="楷体" w:cs="等线"/>
              </w:rPr>
              <w:t>设备能力、人员能力</w:t>
            </w:r>
            <w:r>
              <w:rPr>
                <w:rFonts w:hint="eastAsia" w:ascii="楷体" w:hAnsi="楷体" w:eastAsia="楷体" w:cs="等线"/>
                <w:lang w:eastAsia="zh-CN"/>
              </w:rPr>
              <w:t>、</w:t>
            </w:r>
            <w:r>
              <w:rPr>
                <w:rFonts w:hint="eastAsia" w:ascii="楷体" w:hAnsi="楷体" w:eastAsia="楷体" w:cs="等线"/>
                <w:lang w:val="en-US" w:eastAsia="zh-CN"/>
              </w:rPr>
              <w:t>评审达标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《中华人民共和国土地管理法》《中华人民共和国土地管理法实施条例》《基本农田保护条例》《中华人民共和国农业法》《中华人民共和国水土保持法》《中华人民共和国环境保护法》《土地整治项目设计报告编制规程》（TD/T 1038-2013）；《土地整治项目规划设计规范》（TD/T1012-2016）；《土地整治工程建设标准》（TB37/T2840-2016）；《土地整治项目工程量计算规则》（TD/T 1012-2016）；《土地整治项目制图规范》（TD/T 1040-2013）；《土地开发整理项目验收规程》（TD/T 1041-2013）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148590</wp:posOffset>
                  </wp:positionV>
                  <wp:extent cx="554990" cy="279400"/>
                  <wp:effectExtent l="0" t="0" r="8890" b="10160"/>
                  <wp:wrapNone/>
                  <wp:docPr id="13" name="图片 13" descr="708b31b1f058d9076bfb748f70c9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08b31b1f058d9076bfb748f70c98a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189865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2D900D0"/>
    <w:rsid w:val="62680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590</Words>
  <Characters>715</Characters>
  <Lines>2</Lines>
  <Paragraphs>1</Paragraphs>
  <TotalTime>1162</TotalTime>
  <ScaleCrop>false</ScaleCrop>
  <LinksUpToDate>false</LinksUpToDate>
  <CharactersWithSpaces>720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2023-01-13T03:18:09Z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2052-11.1.0.13012</vt:lpwstr>
  </property>
</Properties>
</file>