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-595630</wp:posOffset>
            </wp:positionH>
            <wp:positionV relativeFrom="paragraph">
              <wp:posOffset>-809625</wp:posOffset>
            </wp:positionV>
            <wp:extent cx="7752080" cy="11360150"/>
            <wp:effectExtent l="0" t="0" r="7620" b="6350"/>
            <wp:wrapNone/>
            <wp:docPr id="1" name="图片 1" descr="新文档 2023-01-15 09.15.14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3-01-15 09.15.14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2080" cy="1136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408"/>
        <w:gridCol w:w="272"/>
        <w:gridCol w:w="15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河北省信息产业与信息化协会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河北省石家庄市新华区和平西路402号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河北省石家庄市新华区和平西路402号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曹延英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13503337118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hbitcyy@163.com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1355-2022-Q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信息服务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</w:t>
            </w:r>
            <w:r>
              <w:rPr>
                <w:sz w:val="21"/>
                <w:szCs w:val="21"/>
              </w:rPr>
              <w:t>咨询诊断</w:t>
            </w:r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34.06.00;35.04.02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2023年01月09日 上午至2023年01月09日 下午</w:t>
            </w:r>
            <w:bookmarkEnd w:id="28"/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1.0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2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97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2022-N1QMS-4022240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34.06.00,35.04.02</w:t>
            </w:r>
          </w:p>
        </w:tc>
        <w:tc>
          <w:tcPr>
            <w:tcW w:w="1382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297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</w:tr>
    </w:tbl>
    <w:p/>
    <w:p/>
    <w:p/>
    <w:tbl>
      <w:tblPr>
        <w:tblStyle w:val="6"/>
        <w:tblpPr w:leftFromText="180" w:rightFromText="180" w:vertAnchor="text" w:horzAnchor="page" w:tblpX="917" w:tblpY="386"/>
        <w:tblOverlap w:val="never"/>
        <w:tblW w:w="10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402"/>
        <w:gridCol w:w="6219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7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0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受审核部门、场所及审核内容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2023.1.9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atLeast"/>
        </w:trPr>
        <w:tc>
          <w:tcPr>
            <w:tcW w:w="120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*企业相关资质情况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一阶段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4.1/4.2/4.3/4.4/5.1.1/5.1.2/5.2/5.3/6.1/6.2/6.3/7.1/9.1.1/9.3/10.1/10.3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120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10:00-12:00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：组织的岗位、职责权限；目标；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人员；知识；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能力、培训；意识；沟通；文件化信息；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产品和服务要求；</w:t>
            </w:r>
            <w:r>
              <w:rPr>
                <w:rFonts w:hint="eastAsia"/>
                <w:color w:val="auto"/>
                <w:sz w:val="21"/>
                <w:szCs w:val="21"/>
              </w:rPr>
              <w:t>外部提供的过程、产品和服务的控制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；顾客满意度</w:t>
            </w:r>
            <w:r>
              <w:rPr>
                <w:rFonts w:hint="eastAsia"/>
                <w:color w:val="auto"/>
                <w:sz w:val="21"/>
                <w:szCs w:val="21"/>
              </w:rPr>
              <w:t>；内部审核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不合格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/>
                <w:color w:val="auto"/>
                <w:sz w:val="21"/>
                <w:szCs w:val="21"/>
              </w:rPr>
              <w:t>纠正措施控制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eastAsia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5.3/6.2/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lang w:val="en-US" w:eastAsia="zh-CN"/>
              </w:rPr>
              <w:t>7.1.2/7.1.6/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/7.2/7.3/7.4/7.5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/8.2/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8.4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/9.1.2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eastAsia="楷体" w:cs="Times New Roman"/>
                <w:sz w:val="21"/>
                <w:szCs w:val="21"/>
                <w:lang w:val="en-US" w:eastAsia="zh-CN"/>
              </w:rPr>
              <w:t>9.1.3/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9.2/10.2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</w:trPr>
        <w:tc>
          <w:tcPr>
            <w:tcW w:w="120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12:30-16:30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bookmarkStart w:id="31" w:name="_GoBack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信息化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/交流合作部</w:t>
            </w:r>
            <w:bookmarkEnd w:id="31"/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：组织的岗位、职责权限；目标；基础设施；运行环境；监视和测量资源；运行的策划和控制；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生产和服务提供的控制；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顾客或外部供方财产；交付后的活动；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标识和可追溯性；产品防护；变更的控制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产品和服务的放行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；不合格输出的控制</w:t>
            </w: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5.3/6.2/7.1.3/7.1.4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/7.1.5/8.1/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/8.5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/8.6/8.7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午休时间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</w:tr>
    </w:tbl>
    <w:p>
      <w:pPr>
        <w:pStyle w:val="2"/>
      </w:pP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NhMjk0NDI2YjNjYzhhN2E3NjUyZmQ5YmIxMmQzOTYifQ=="/>
  </w:docVars>
  <w:rsids>
    <w:rsidRoot w:val="00000000"/>
    <w:rsid w:val="0863057D"/>
    <w:rsid w:val="10CF6A6E"/>
    <w:rsid w:val="2B2D5DF7"/>
    <w:rsid w:val="7DC854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</TotalTime>
  <ScaleCrop>false</ScaleCrop>
  <LinksUpToDate>false</LinksUpToDate>
  <CharactersWithSpaces>5345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2023-01-15T08:52:23Z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