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隶书" w:hAnsi="宋体" w:eastAsia="隶书"/>
          <w:bCs/>
          <w:color w:val="000000"/>
          <w:sz w:val="40"/>
          <w:szCs w:val="40"/>
        </w:rPr>
      </w:pPr>
      <w:r>
        <w:rPr>
          <w:rFonts w:hint="eastAsia" w:ascii="隶书" w:hAnsi="宋体" w:eastAsia="隶书"/>
          <w:bCs/>
          <w:color w:val="000000"/>
          <w:sz w:val="40"/>
          <w:szCs w:val="40"/>
        </w:rPr>
        <w:t>管理体系审核记录表</w:t>
      </w:r>
    </w:p>
    <w:tbl>
      <w:tblPr>
        <w:tblStyle w:val="8"/>
        <w:tblW w:w="49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1026"/>
        <w:gridCol w:w="9896"/>
        <w:gridCol w:w="15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rPr>
            </w:pPr>
            <w:r>
              <w:rPr>
                <w:rFonts w:hint="eastAsia" w:ascii="楷体" w:hAnsi="楷体" w:eastAsia="楷体"/>
                <w:sz w:val="24"/>
                <w:szCs w:val="24"/>
              </w:rPr>
              <w:t>抽样计划</w:t>
            </w:r>
          </w:p>
        </w:tc>
        <w:tc>
          <w:tcPr>
            <w:tcW w:w="1026"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涉及</w:t>
            </w:r>
          </w:p>
          <w:p>
            <w:pPr>
              <w:jc w:val="center"/>
              <w:rPr>
                <w:rFonts w:ascii="楷体" w:hAnsi="楷体" w:eastAsia="楷体"/>
              </w:rPr>
            </w:pPr>
            <w:r>
              <w:rPr>
                <w:rFonts w:hint="eastAsia" w:ascii="楷体" w:hAnsi="楷体" w:eastAsia="楷体"/>
                <w:sz w:val="24"/>
                <w:szCs w:val="24"/>
              </w:rPr>
              <w:t>条款</w:t>
            </w:r>
          </w:p>
        </w:tc>
        <w:tc>
          <w:tcPr>
            <w:tcW w:w="9898" w:type="dxa"/>
            <w:tcBorders>
              <w:top w:val="single" w:color="auto" w:sz="8" w:space="0"/>
              <w:bottom w:val="single" w:color="auto" w:sz="4" w:space="0"/>
            </w:tcBorders>
            <w:vAlign w:val="center"/>
          </w:tcPr>
          <w:p>
            <w:pPr>
              <w:rPr>
                <w:rFonts w:ascii="楷体" w:hAnsi="楷体" w:eastAsia="楷体"/>
                <w:sz w:val="24"/>
                <w:szCs w:val="24"/>
              </w:rPr>
            </w:pPr>
            <w:r>
              <w:rPr>
                <w:rFonts w:hint="eastAsia" w:ascii="楷体" w:hAnsi="楷体" w:eastAsia="楷体"/>
                <w:sz w:val="24"/>
                <w:szCs w:val="24"/>
              </w:rPr>
              <w:t>受审核部门：管理层、员工代表</w:t>
            </w:r>
          </w:p>
          <w:p>
            <w:pPr>
              <w:rPr>
                <w:rFonts w:ascii="楷体" w:hAnsi="楷体" w:eastAsia="楷体"/>
                <w:sz w:val="24"/>
                <w:szCs w:val="24"/>
              </w:rPr>
            </w:pPr>
            <w:r>
              <w:rPr>
                <w:rFonts w:hint="eastAsia" w:ascii="楷体" w:hAnsi="楷体" w:eastAsia="楷体"/>
                <w:sz w:val="24"/>
                <w:szCs w:val="24"/>
              </w:rPr>
              <w:t>主管领导：丁飞（总经理）、程洁（管理者代表）、赵胜涛（安全事务代表）</w:t>
            </w:r>
          </w:p>
          <w:p>
            <w:pPr>
              <w:rPr>
                <w:rFonts w:hint="default" w:ascii="楷体" w:hAnsi="楷体" w:eastAsia="楷体"/>
                <w:sz w:val="24"/>
                <w:szCs w:val="24"/>
                <w:lang w:val="en-US" w:eastAsia="zh-CN"/>
              </w:rPr>
            </w:pPr>
            <w:r>
              <w:rPr>
                <w:rFonts w:hint="eastAsia" w:ascii="楷体" w:hAnsi="楷体" w:eastAsia="楷体"/>
                <w:sz w:val="24"/>
                <w:szCs w:val="24"/>
              </w:rPr>
              <w:t>陪同人员：</w:t>
            </w:r>
            <w:r>
              <w:rPr>
                <w:rFonts w:hint="eastAsia" w:ascii="楷体" w:hAnsi="楷体" w:eastAsia="楷体"/>
                <w:sz w:val="24"/>
                <w:szCs w:val="24"/>
                <w:lang w:val="en-US" w:eastAsia="zh-CN"/>
              </w:rPr>
              <w:t>徐金玲</w:t>
            </w:r>
          </w:p>
        </w:tc>
        <w:tc>
          <w:tcPr>
            <w:tcW w:w="1572"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判定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vMerge w:val="continue"/>
            <w:tcBorders>
              <w:top w:val="single" w:color="auto" w:sz="4" w:space="0"/>
              <w:bottom w:val="single" w:color="auto" w:sz="4" w:space="0"/>
            </w:tcBorders>
            <w:vAlign w:val="center"/>
          </w:tcPr>
          <w:p/>
        </w:tc>
        <w:tc>
          <w:tcPr>
            <w:tcW w:w="1026" w:type="dxa"/>
            <w:vMerge w:val="continue"/>
            <w:tcBorders>
              <w:top w:val="single" w:color="auto" w:sz="4" w:space="0"/>
              <w:bottom w:val="single" w:color="auto" w:sz="4" w:space="0"/>
            </w:tcBorders>
            <w:vAlign w:val="center"/>
          </w:tcPr>
          <w:p/>
        </w:tc>
        <w:tc>
          <w:tcPr>
            <w:tcW w:w="9898" w:type="dxa"/>
            <w:tcBorders>
              <w:top w:val="single" w:color="auto" w:sz="4" w:space="0"/>
              <w:bottom w:val="single" w:color="auto" w:sz="4" w:space="0"/>
            </w:tcBorders>
            <w:vAlign w:val="center"/>
          </w:tcPr>
          <w:p>
            <w:pPr>
              <w:rPr>
                <w:rFonts w:hint="eastAsia" w:ascii="楷体" w:hAnsi="楷体" w:eastAsia="楷体"/>
                <w:lang w:val="en-US" w:eastAsia="zh-CN"/>
              </w:rPr>
            </w:pPr>
            <w:r>
              <w:rPr>
                <w:rFonts w:hint="eastAsia" w:ascii="楷体" w:hAnsi="楷体" w:eastAsia="楷体"/>
                <w:sz w:val="24"/>
                <w:szCs w:val="24"/>
              </w:rPr>
              <w:t>审核员：汪桂丽                             审核时间：</w:t>
            </w:r>
            <w:r>
              <w:rPr>
                <w:rFonts w:ascii="楷体" w:hAnsi="楷体" w:eastAsia="楷体"/>
                <w:sz w:val="24"/>
                <w:szCs w:val="24"/>
              </w:rPr>
              <w:t>202</w:t>
            </w:r>
            <w:r>
              <w:rPr>
                <w:rFonts w:hint="eastAsia" w:ascii="楷体" w:hAnsi="楷体" w:eastAsia="楷体"/>
                <w:sz w:val="24"/>
                <w:szCs w:val="24"/>
                <w:lang w:val="en-US" w:eastAsia="zh-CN"/>
              </w:rPr>
              <w:t>3</w:t>
            </w:r>
            <w:r>
              <w:rPr>
                <w:rFonts w:ascii="楷体" w:hAnsi="楷体" w:eastAsia="楷体"/>
                <w:sz w:val="24"/>
                <w:szCs w:val="24"/>
              </w:rPr>
              <w:t>.1.</w:t>
            </w:r>
            <w:r>
              <w:rPr>
                <w:rFonts w:hint="eastAsia" w:ascii="楷体" w:hAnsi="楷体" w:eastAsia="楷体"/>
                <w:sz w:val="24"/>
                <w:szCs w:val="24"/>
                <w:lang w:val="en-US" w:eastAsia="zh-CN"/>
              </w:rPr>
              <w:t>7</w:t>
            </w:r>
          </w:p>
        </w:tc>
        <w:tc>
          <w:tcPr>
            <w:tcW w:w="1572" w:type="dxa"/>
            <w:vMerge w:val="continue"/>
            <w:tcBorders>
              <w:top w:val="single" w:color="auto" w:sz="4" w:space="0"/>
              <w:bottom w:val="single" w:color="auto" w:sz="4" w:space="0"/>
            </w:tcBorders>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142" w:type="dxa"/>
            <w:vMerge w:val="continue"/>
            <w:tcBorders>
              <w:top w:val="single" w:color="auto" w:sz="4" w:space="0"/>
              <w:bottom w:val="single" w:color="auto" w:sz="8" w:space="0"/>
            </w:tcBorders>
            <w:vAlign w:val="center"/>
          </w:tcPr>
          <w:p/>
        </w:tc>
        <w:tc>
          <w:tcPr>
            <w:tcW w:w="1026" w:type="dxa"/>
            <w:vMerge w:val="continue"/>
            <w:tcBorders>
              <w:top w:val="single" w:color="auto" w:sz="4" w:space="0"/>
              <w:bottom w:val="single" w:color="auto" w:sz="8" w:space="0"/>
            </w:tcBorders>
            <w:vAlign w:val="center"/>
          </w:tcPr>
          <w:p/>
        </w:tc>
        <w:tc>
          <w:tcPr>
            <w:tcW w:w="9898" w:type="dxa"/>
            <w:tcBorders>
              <w:top w:val="single" w:color="auto" w:sz="4" w:space="0"/>
              <w:bottom w:val="single" w:color="auto" w:sz="8" w:space="0"/>
            </w:tcBorders>
            <w:vAlign w:val="center"/>
          </w:tcPr>
          <w:p>
            <w:pPr>
              <w:adjustRightInd w:val="0"/>
              <w:snapToGrid w:val="0"/>
              <w:spacing w:line="280" w:lineRule="exact"/>
              <w:ind w:right="105" w:rightChars="50"/>
              <w:textAlignment w:val="baseline"/>
              <w:rPr>
                <w:rFonts w:ascii="宋体" w:hAnsi="宋体" w:cs="Arial"/>
                <w:szCs w:val="21"/>
              </w:rPr>
            </w:pPr>
            <w:r>
              <w:rPr>
                <w:rFonts w:hint="eastAsia" w:ascii="楷体" w:hAnsi="楷体" w:eastAsia="楷体"/>
                <w:sz w:val="24"/>
                <w:szCs w:val="24"/>
              </w:rPr>
              <w:t>审核条款：</w:t>
            </w:r>
            <w:r>
              <w:rPr>
                <w:rFonts w:hint="eastAsia" w:ascii="宋体" w:hAnsi="宋体" w:cs="Arial"/>
                <w:b/>
                <w:bCs/>
                <w:szCs w:val="21"/>
              </w:rPr>
              <w:t>QEO:</w:t>
            </w:r>
            <w:r>
              <w:rPr>
                <w:rFonts w:hint="eastAsia" w:ascii="宋体" w:hAnsi="宋体" w:cs="Arial"/>
                <w:szCs w:val="21"/>
              </w:rPr>
              <w:t>4.1理解组织及其环境、4.2理解相关方的需求和期望、4.3 确定管理体系的范围、4.4质量/环境/职业健康安全管理体系及其过程、5.1领导作用和承诺、5.2质量/环境/职业健康安全方针、5.3组织的岗位、职责和权限、5.4（O）协商与参与、6.1应对风险和机遇的措施、6.2质量/环境/职业健康安全目标及其实现的策划、6.3变更的策划、7.1.1（EO7.1）资源总则、7.4沟通（信息交流7.4.1总则、7.4.2内部信息、7.4.3外部信息交流）、9.3管理评审、10.1改进、10.3持续改进，</w:t>
            </w:r>
          </w:p>
          <w:p>
            <w:pPr>
              <w:adjustRightInd w:val="0"/>
              <w:snapToGrid w:val="0"/>
              <w:spacing w:line="280" w:lineRule="exact"/>
              <w:ind w:right="105" w:rightChars="50"/>
              <w:textAlignment w:val="baseline"/>
            </w:pPr>
            <w:r>
              <w:rPr>
                <w:rFonts w:hint="eastAsia" w:asciiTheme="minorEastAsia" w:hAnsiTheme="minorEastAsia" w:eastAsiaTheme="minorEastAsia"/>
                <w:sz w:val="21"/>
                <w:szCs w:val="21"/>
              </w:rPr>
              <w:t>对</w:t>
            </w:r>
            <w:r>
              <w:rPr>
                <w:rFonts w:hint="eastAsia" w:asciiTheme="minorEastAsia" w:hAnsiTheme="minorEastAsia" w:eastAsiaTheme="minorEastAsia"/>
                <w:sz w:val="21"/>
                <w:szCs w:val="21"/>
                <w:lang w:val="en-US" w:eastAsia="zh-CN"/>
              </w:rPr>
              <w:t>上次</w:t>
            </w:r>
            <w:r>
              <w:rPr>
                <w:rFonts w:hint="eastAsia" w:asciiTheme="minorEastAsia" w:hAnsiTheme="minorEastAsia" w:eastAsiaTheme="minorEastAsia"/>
                <w:sz w:val="21"/>
                <w:szCs w:val="21"/>
              </w:rPr>
              <w:t>审核整改情况的确认；事故事件及</w:t>
            </w:r>
            <w:r>
              <w:rPr>
                <w:rFonts w:hint="eastAsia" w:asciiTheme="minorEastAsia" w:hAnsiTheme="minorEastAsia" w:eastAsiaTheme="minorEastAsia"/>
                <w:sz w:val="21"/>
                <w:szCs w:val="21"/>
                <w:lang w:val="en-US" w:eastAsia="zh-CN"/>
              </w:rPr>
              <w:t>投拆</w:t>
            </w:r>
            <w:r>
              <w:rPr>
                <w:rFonts w:hint="eastAsia" w:asciiTheme="minorEastAsia" w:hAnsiTheme="minorEastAsia" w:eastAsiaTheme="minorEastAsia"/>
                <w:sz w:val="21"/>
                <w:szCs w:val="21"/>
              </w:rPr>
              <w:t>处理情况，质量</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环境</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职业健康</w:t>
            </w:r>
            <w:r>
              <w:rPr>
                <w:rFonts w:hint="eastAsia" w:asciiTheme="minorEastAsia" w:hAnsiTheme="minorEastAsia" w:eastAsiaTheme="minorEastAsia"/>
                <w:sz w:val="21"/>
                <w:szCs w:val="21"/>
              </w:rPr>
              <w:t>安全</w:t>
            </w:r>
            <w:r>
              <w:rPr>
                <w:rFonts w:hint="eastAsia" w:asciiTheme="minorEastAsia" w:hAnsiTheme="minorEastAsia" w:eastAsiaTheme="minorEastAsia"/>
                <w:sz w:val="21"/>
                <w:szCs w:val="21"/>
                <w:lang w:val="en-US" w:eastAsia="zh-CN"/>
              </w:rPr>
              <w:t>主管部门抽查</w:t>
            </w:r>
            <w:r>
              <w:rPr>
                <w:rFonts w:hint="eastAsia" w:asciiTheme="minorEastAsia" w:hAnsiTheme="minorEastAsia" w:eastAsiaTheme="minorEastAsia"/>
                <w:sz w:val="21"/>
                <w:szCs w:val="21"/>
              </w:rPr>
              <w:t>情况，资质</w:t>
            </w:r>
            <w:r>
              <w:rPr>
                <w:rFonts w:hint="eastAsia" w:asciiTheme="minorEastAsia" w:hAnsiTheme="minorEastAsia" w:eastAsiaTheme="minorEastAsia"/>
                <w:sz w:val="21"/>
                <w:szCs w:val="21"/>
                <w:lang w:eastAsia="zh-CN"/>
              </w:rPr>
              <w:t>；</w:t>
            </w:r>
            <w:r>
              <w:rPr>
                <w:rFonts w:hint="eastAsia" w:ascii="宋体" w:hAnsi="宋体" w:cs="Arial"/>
                <w:spacing w:val="-6"/>
                <w:sz w:val="21"/>
                <w:szCs w:val="21"/>
                <w:lang w:val="en-US" w:eastAsia="zh-CN"/>
              </w:rPr>
              <w:t>认证证书</w:t>
            </w:r>
            <w:r>
              <w:rPr>
                <w:rFonts w:hint="eastAsia" w:ascii="宋体" w:hAnsi="宋体" w:cs="Arial"/>
                <w:spacing w:val="-6"/>
                <w:sz w:val="21"/>
                <w:szCs w:val="21"/>
              </w:rPr>
              <w:t>/</w:t>
            </w:r>
            <w:r>
              <w:rPr>
                <w:rFonts w:hint="eastAsia" w:ascii="宋体" w:hAnsi="宋体" w:cs="Arial"/>
                <w:spacing w:val="-6"/>
                <w:sz w:val="21"/>
                <w:szCs w:val="21"/>
                <w:lang w:val="en-US" w:eastAsia="zh-CN"/>
              </w:rPr>
              <w:t>标志的使用情况</w:t>
            </w:r>
            <w:r>
              <w:rPr>
                <w:rFonts w:hint="eastAsia" w:asciiTheme="minorEastAsia" w:hAnsiTheme="minorEastAsia" w:eastAsiaTheme="minorEastAsia"/>
                <w:sz w:val="21"/>
                <w:szCs w:val="21"/>
              </w:rPr>
              <w:t>等</w:t>
            </w:r>
            <w:r>
              <w:rPr>
                <w:rFonts w:ascii="宋体" w:hAnsi="宋体" w:cs="Arial"/>
                <w:sz w:val="21"/>
                <w:szCs w:val="21"/>
              </w:rPr>
              <w:t xml:space="preserve"> </w:t>
            </w:r>
          </w:p>
        </w:tc>
        <w:tc>
          <w:tcPr>
            <w:tcW w:w="1572" w:type="dxa"/>
            <w:vMerge w:val="continue"/>
            <w:tcBorders>
              <w:top w:val="single" w:color="auto" w:sz="4" w:space="0"/>
              <w:bottom w:val="single" w:color="auto" w:sz="8" w:space="0"/>
            </w:tcBorders>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Borders>
              <w:top w:val="single" w:color="auto" w:sz="8" w:space="0"/>
            </w:tcBorders>
          </w:tcPr>
          <w:p>
            <w:pPr>
              <w:rPr>
                <w:rFonts w:ascii="宋体" w:hAnsi="宋体" w:cs="Arial"/>
                <w:szCs w:val="21"/>
              </w:rPr>
            </w:pPr>
            <w:r>
              <w:rPr>
                <w:rFonts w:hint="eastAsia" w:ascii="宋体" w:hAnsi="宋体" w:cs="Arial"/>
                <w:szCs w:val="21"/>
              </w:rPr>
              <w:t>理解组织及其环境</w:t>
            </w:r>
          </w:p>
        </w:tc>
        <w:tc>
          <w:tcPr>
            <w:tcW w:w="1026" w:type="dxa"/>
            <w:tcBorders>
              <w:top w:val="single" w:color="auto" w:sz="8" w:space="0"/>
            </w:tcBorders>
          </w:tcPr>
          <w:p>
            <w:pPr>
              <w:rPr>
                <w:rFonts w:ascii="宋体" w:hAnsi="宋体" w:cs="Arial"/>
                <w:szCs w:val="21"/>
              </w:rPr>
            </w:pPr>
            <w:r>
              <w:rPr>
                <w:rFonts w:hint="eastAsia" w:ascii="宋体" w:hAnsi="宋体" w:cs="Arial"/>
                <w:szCs w:val="21"/>
              </w:rPr>
              <w:t>4.1</w:t>
            </w:r>
          </w:p>
        </w:tc>
        <w:tc>
          <w:tcPr>
            <w:tcW w:w="9898" w:type="dxa"/>
            <w:tcBorders>
              <w:top w:val="single" w:color="auto" w:sz="8" w:space="0"/>
            </w:tcBorders>
          </w:tcPr>
          <w:p>
            <w:pPr>
              <w:ind w:firstLine="420" w:firstLineChars="200"/>
              <w:jc w:val="left"/>
            </w:pPr>
            <w:r>
              <w:rPr>
                <w:rFonts w:hint="eastAsia"/>
                <w:lang w:val="en-US" w:eastAsia="zh-CN"/>
              </w:rPr>
              <w:t>与</w:t>
            </w:r>
            <w:r>
              <w:rPr>
                <w:rFonts w:hint="eastAsia"/>
              </w:rPr>
              <w:t>公司总经理丁飞交流：</w:t>
            </w:r>
          </w:p>
          <w:p>
            <w:pPr>
              <w:spacing w:line="360" w:lineRule="auto"/>
              <w:ind w:firstLine="420" w:firstLineChars="200"/>
              <w:rPr>
                <w:rFonts w:ascii="宋体"/>
                <w:color w:val="000000"/>
              </w:rPr>
            </w:pPr>
            <w:r>
              <w:rPr>
                <w:rFonts w:hint="eastAsia" w:ascii="宋体" w:hAnsi="宋体"/>
                <w:color w:val="000000"/>
              </w:rPr>
              <w:t>公司确定外部（</w:t>
            </w:r>
            <w:bookmarkStart w:id="0" w:name="OLE_LINK241"/>
            <w:r>
              <w:rPr>
                <w:rFonts w:hint="eastAsia" w:ascii="宋体" w:hAnsi="宋体"/>
                <w:color w:val="000000"/>
              </w:rPr>
              <w:t>包括</w:t>
            </w:r>
            <w:bookmarkStart w:id="1" w:name="OLE_LINK243"/>
            <w:r>
              <w:rPr>
                <w:rFonts w:hint="eastAsia" w:ascii="宋体" w:hAnsi="宋体"/>
                <w:color w:val="000000"/>
              </w:rPr>
              <w:t>法规、先进技术、产品和服务使用者的文化、经济性及市场环境等</w:t>
            </w:r>
            <w:bookmarkEnd w:id="0"/>
            <w:bookmarkEnd w:id="1"/>
            <w:r>
              <w:rPr>
                <w:rFonts w:hint="eastAsia" w:ascii="宋体" w:hAnsi="宋体"/>
                <w:color w:val="000000"/>
              </w:rPr>
              <w:t>）和内部（企业的经营理念、经营战略、企业文化、公司知识和经验等）那些与组织的宗旨、战略方向有关、影响质量、环境、职业健康安全综合管理体系实现预期结果的能力的事务。</w:t>
            </w:r>
          </w:p>
          <w:p>
            <w:pPr>
              <w:spacing w:line="360" w:lineRule="auto"/>
              <w:ind w:firstLine="420" w:firstLineChars="200"/>
              <w:rPr>
                <w:rFonts w:ascii="宋体"/>
                <w:color w:val="000000"/>
              </w:rPr>
            </w:pPr>
            <w:r>
              <w:rPr>
                <w:rFonts w:hint="eastAsia" w:ascii="宋体" w:hAnsi="宋体"/>
                <w:color w:val="000000"/>
              </w:rPr>
              <w:t>公司在确定这些相关的内部和外部事宜时，公同考虑以下方面：</w:t>
            </w:r>
          </w:p>
          <w:p>
            <w:pPr>
              <w:spacing w:line="360" w:lineRule="auto"/>
              <w:ind w:left="420" w:leftChars="200"/>
              <w:rPr>
                <w:rFonts w:ascii="宋体"/>
                <w:color w:val="000000"/>
              </w:rPr>
            </w:pPr>
            <w:r>
              <w:rPr>
                <w:rFonts w:ascii="宋体" w:hAnsi="宋体"/>
                <w:color w:val="000000"/>
              </w:rPr>
              <w:t>a</w:t>
            </w:r>
            <w:r>
              <w:rPr>
                <w:rFonts w:hint="eastAsia" w:ascii="宋体" w:hAnsi="宋体"/>
                <w:color w:val="000000"/>
              </w:rPr>
              <w:t>）可能对公司的目标造成影响的变更和趋势；</w:t>
            </w:r>
          </w:p>
          <w:p>
            <w:pPr>
              <w:spacing w:line="360" w:lineRule="auto"/>
              <w:ind w:left="420" w:leftChars="200"/>
              <w:rPr>
                <w:rFonts w:ascii="宋体"/>
                <w:color w:val="000000"/>
              </w:rPr>
            </w:pPr>
            <w:r>
              <w:rPr>
                <w:rFonts w:ascii="宋体" w:hAnsi="宋体"/>
                <w:color w:val="000000"/>
              </w:rPr>
              <w:t>b</w:t>
            </w:r>
            <w:r>
              <w:rPr>
                <w:rFonts w:hint="eastAsia" w:ascii="宋体" w:hAnsi="宋体"/>
                <w:color w:val="000000"/>
              </w:rPr>
              <w:t>）与相关方的关系，以及相关方的理念、价值观；</w:t>
            </w:r>
          </w:p>
          <w:p>
            <w:pPr>
              <w:spacing w:line="360" w:lineRule="auto"/>
              <w:ind w:left="420" w:leftChars="200"/>
              <w:rPr>
                <w:rFonts w:ascii="宋体"/>
                <w:color w:val="000000"/>
              </w:rPr>
            </w:pPr>
            <w:r>
              <w:rPr>
                <w:rFonts w:ascii="宋体" w:hAnsi="宋体"/>
                <w:color w:val="000000"/>
              </w:rPr>
              <w:t>c</w:t>
            </w:r>
            <w:r>
              <w:rPr>
                <w:rFonts w:hint="eastAsia" w:ascii="宋体" w:hAnsi="宋体"/>
                <w:color w:val="000000"/>
              </w:rPr>
              <w:t>）公司管理、战略优先、内部政策和承诺；</w:t>
            </w:r>
          </w:p>
          <w:p>
            <w:pPr>
              <w:spacing w:line="360" w:lineRule="auto"/>
              <w:ind w:left="420" w:leftChars="200"/>
              <w:rPr>
                <w:rFonts w:ascii="宋体"/>
                <w:color w:val="000000"/>
              </w:rPr>
            </w:pPr>
            <w:r>
              <w:rPr>
                <w:rFonts w:ascii="宋体" w:hAnsi="宋体"/>
                <w:color w:val="000000"/>
              </w:rPr>
              <w:t>d</w:t>
            </w:r>
            <w:r>
              <w:rPr>
                <w:rFonts w:hint="eastAsia" w:ascii="宋体" w:hAnsi="宋体"/>
                <w:color w:val="000000"/>
              </w:rPr>
              <w:t>）资源的获得和优先供给、技术变更；</w:t>
            </w:r>
          </w:p>
          <w:p>
            <w:pPr>
              <w:spacing w:line="360" w:lineRule="auto"/>
              <w:ind w:left="420" w:leftChars="200"/>
              <w:rPr>
                <w:rFonts w:ascii="宋体" w:hAnsi="宋体" w:cs="宋体"/>
                <w:bCs/>
                <w:color w:val="000000"/>
                <w:spacing w:val="10"/>
                <w:sz w:val="22"/>
                <w:szCs w:val="22"/>
              </w:rPr>
            </w:pPr>
            <w:r>
              <w:rPr>
                <w:rFonts w:ascii="宋体" w:hAnsi="宋体"/>
                <w:color w:val="000000"/>
              </w:rPr>
              <w:t xml:space="preserve">e) </w:t>
            </w:r>
            <w:r>
              <w:rPr>
                <w:rFonts w:hint="eastAsia" w:ascii="宋体" w:hAnsi="宋体"/>
                <w:color w:val="000000"/>
              </w:rPr>
              <w:t>受组织影响的或能够影响组织的环境因素、职业健康安全因素。</w:t>
            </w:r>
          </w:p>
        </w:tc>
        <w:tc>
          <w:tcPr>
            <w:tcW w:w="1572" w:type="dxa"/>
            <w:tcBorders>
              <w:top w:val="single" w:color="auto" w:sz="8" w:space="0"/>
            </w:tcBorders>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rPr>
                <w:rFonts w:ascii="宋体" w:hAnsi="宋体" w:cs="Arial"/>
                <w:szCs w:val="21"/>
              </w:rPr>
            </w:pPr>
            <w:r>
              <w:rPr>
                <w:rFonts w:hint="eastAsia" w:ascii="宋体" w:hAnsi="宋体" w:cs="Arial"/>
                <w:szCs w:val="21"/>
              </w:rPr>
              <w:t>理解相关方的需求和期望</w:t>
            </w:r>
          </w:p>
        </w:tc>
        <w:tc>
          <w:tcPr>
            <w:tcW w:w="1026" w:type="dxa"/>
          </w:tcPr>
          <w:p>
            <w:pPr>
              <w:rPr>
                <w:rFonts w:ascii="宋体" w:hAnsi="宋体" w:cs="Arial"/>
                <w:szCs w:val="21"/>
              </w:rPr>
            </w:pPr>
            <w:r>
              <w:rPr>
                <w:rFonts w:hint="eastAsia" w:ascii="宋体" w:hAnsi="宋体" w:cs="Arial"/>
                <w:szCs w:val="21"/>
              </w:rPr>
              <w:t>4.2</w:t>
            </w:r>
          </w:p>
        </w:tc>
        <w:tc>
          <w:tcPr>
            <w:tcW w:w="9898" w:type="dxa"/>
          </w:tcPr>
          <w:p>
            <w:pPr>
              <w:ind w:firstLine="420" w:firstLineChars="200"/>
              <w:jc w:val="left"/>
            </w:pPr>
            <w:r>
              <w:rPr>
                <w:rFonts w:hint="eastAsia"/>
              </w:rPr>
              <w:t xml:space="preserve">公司各负责部门建立了管理文件，分别对相关方的需求及期望进行识别确认，并对这类需求及要求等进行管理及定期更新，保持有效性。各负责部门按控制措施执行，满足这些相关方需求和期望，没有发生相关方投诉现象。 </w:t>
            </w:r>
          </w:p>
          <w:p>
            <w:pPr>
              <w:ind w:firstLine="420" w:firstLineChars="200"/>
              <w:jc w:val="left"/>
            </w:pPr>
            <w:r>
              <w:rPr>
                <w:rFonts w:hint="eastAsia"/>
              </w:rPr>
              <w:t>公司总经理说明公司相关方包括：客户（最终使用者以及直接客户）、供方、委托方、员工（包括管理者）、政府部门，以及其他人员。</w:t>
            </w:r>
          </w:p>
          <w:p>
            <w:pPr>
              <w:ind w:firstLine="420" w:firstLineChars="200"/>
              <w:jc w:val="left"/>
            </w:pPr>
            <w:r>
              <w:rPr>
                <w:rFonts w:hint="eastAsia"/>
              </w:rPr>
              <w:t>公司识别、收集了适用的法律法规及其他相关要求并形成清单，定期对本公司环境、职业健康安全管理体系运行过程中，应遵循的国家环境保护、安全防护法律法规的承诺状况进行了评价。</w:t>
            </w:r>
          </w:p>
          <w:p>
            <w:pPr>
              <w:pStyle w:val="2"/>
            </w:pP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rPr>
                <w:rFonts w:ascii="宋体" w:hAnsi="宋体" w:cs="Arial"/>
                <w:szCs w:val="21"/>
                <w:lang w:val="en-GB"/>
              </w:rPr>
            </w:pPr>
            <w:r>
              <w:rPr>
                <w:rFonts w:hint="eastAsia" w:ascii="宋体" w:hAnsi="宋体" w:cs="Arial"/>
                <w:szCs w:val="21"/>
              </w:rPr>
              <w:t>确定质量环境</w:t>
            </w:r>
            <w:r>
              <w:rPr>
                <w:rFonts w:hint="eastAsia" w:ascii="宋体" w:hAnsi="宋体" w:cs="Arial"/>
                <w:szCs w:val="21"/>
                <w:lang w:val="en-GB"/>
              </w:rPr>
              <w:t>职业健康安全</w:t>
            </w:r>
            <w:r>
              <w:rPr>
                <w:rFonts w:hint="eastAsia" w:ascii="宋体" w:hAnsi="宋体" w:cs="Arial"/>
                <w:szCs w:val="21"/>
              </w:rPr>
              <w:t xml:space="preserve">管理体系的范围 </w:t>
            </w:r>
          </w:p>
          <w:p/>
        </w:tc>
        <w:tc>
          <w:tcPr>
            <w:tcW w:w="1026" w:type="dxa"/>
          </w:tcPr>
          <w:p>
            <w:pPr>
              <w:rPr>
                <w:rFonts w:ascii="宋体" w:hAnsi="宋体" w:cs="Arial"/>
                <w:szCs w:val="21"/>
              </w:rPr>
            </w:pPr>
            <w:r>
              <w:rPr>
                <w:rFonts w:hint="eastAsia" w:ascii="宋体" w:hAnsi="宋体" w:cs="Arial"/>
                <w:szCs w:val="21"/>
              </w:rPr>
              <w:t xml:space="preserve">4.3 </w:t>
            </w:r>
          </w:p>
        </w:tc>
        <w:tc>
          <w:tcPr>
            <w:tcW w:w="9898" w:type="dxa"/>
          </w:tcPr>
          <w:p>
            <w:pPr>
              <w:ind w:firstLine="420" w:firstLineChars="200"/>
              <w:jc w:val="left"/>
              <w:rPr>
                <w:rFonts w:hint="eastAsia"/>
              </w:rPr>
            </w:pPr>
            <w:r>
              <w:rPr>
                <w:rFonts w:hint="eastAsia"/>
              </w:rPr>
              <w:t>公司的部门设置包括：管理层、综合办公室（含财务）及厂区、公共工程、采购部（含原材料库）、生产技术部、销售部（含成品库）；</w:t>
            </w:r>
          </w:p>
          <w:p>
            <w:pPr>
              <w:ind w:firstLine="420" w:firstLineChars="200"/>
              <w:jc w:val="left"/>
              <w:rPr>
                <w:rFonts w:hint="eastAsia"/>
              </w:rPr>
            </w:pPr>
            <w:r>
              <w:rPr>
                <w:rFonts w:hint="eastAsia"/>
              </w:rPr>
              <w:t>公司在确定管理体系范围时公司考虑了以下内容：各种内部和外部因素；相关方的要求，相关合规义务；组织的活动、产品和服务等；</w:t>
            </w:r>
          </w:p>
          <w:p>
            <w:pPr>
              <w:ind w:firstLine="420" w:firstLineChars="200"/>
              <w:jc w:val="left"/>
              <w:rPr>
                <w:rFonts w:hint="eastAsia"/>
              </w:rPr>
            </w:pPr>
            <w:r>
              <w:rPr>
                <w:rFonts w:hint="eastAsia"/>
              </w:rPr>
              <w:t>公司位于在</w:t>
            </w:r>
            <w:bookmarkStart w:id="2" w:name="注册地址"/>
            <w:r>
              <w:rPr>
                <w:rFonts w:hint="eastAsia"/>
              </w:rPr>
              <w:t>山东省青岛市黄岛区东佳路207号</w:t>
            </w:r>
            <w:bookmarkEnd w:id="2"/>
            <w:r>
              <w:rPr>
                <w:rFonts w:hint="eastAsia"/>
              </w:rPr>
              <w:t>；</w:t>
            </w:r>
          </w:p>
          <w:p>
            <w:pPr>
              <w:ind w:firstLine="420" w:firstLineChars="200"/>
              <w:jc w:val="left"/>
              <w:rPr>
                <w:rFonts w:hint="eastAsia"/>
              </w:rPr>
            </w:pPr>
            <w:r>
              <w:rPr>
                <w:rFonts w:hint="eastAsia"/>
              </w:rPr>
              <w:t>公司管理体系范围为：</w:t>
            </w:r>
          </w:p>
          <w:p>
            <w:pPr>
              <w:ind w:firstLine="420" w:firstLineChars="200"/>
              <w:jc w:val="left"/>
              <w:rPr>
                <w:rFonts w:hint="eastAsia"/>
              </w:rPr>
            </w:pPr>
            <w:bookmarkStart w:id="3" w:name="审核范围"/>
            <w:r>
              <w:rPr>
                <w:rFonts w:hint="eastAsia"/>
              </w:rPr>
              <w:t>Q：液位仪、测漏报警仪、加油站油气回收在线监测系统的生产（组装）及维护服务</w:t>
            </w:r>
          </w:p>
          <w:p>
            <w:pPr>
              <w:ind w:firstLine="420" w:firstLineChars="200"/>
              <w:jc w:val="left"/>
              <w:rPr>
                <w:rFonts w:hint="eastAsia"/>
              </w:rPr>
            </w:pPr>
            <w:r>
              <w:rPr>
                <w:rFonts w:hint="eastAsia"/>
              </w:rPr>
              <w:t>E：液位仪、测漏报警仪、加油站油气回收在线监测系统的生产（组装）及维护服务所涉及场所的相关环境管理活动</w:t>
            </w:r>
          </w:p>
          <w:p>
            <w:pPr>
              <w:ind w:firstLine="420" w:firstLineChars="200"/>
              <w:jc w:val="left"/>
              <w:rPr>
                <w:rFonts w:hint="eastAsia"/>
              </w:rPr>
            </w:pPr>
            <w:r>
              <w:rPr>
                <w:rFonts w:hint="eastAsia"/>
              </w:rPr>
              <w:t>O：液位仪、测漏报警仪、加油站油气回收在线监测系统的生产（组装）及维护服务所涉及场所的相关职业健康安全管理活动</w:t>
            </w:r>
            <w:bookmarkEnd w:id="3"/>
          </w:p>
          <w:p>
            <w:pPr>
              <w:ind w:firstLine="420" w:firstLineChars="200"/>
              <w:jc w:val="left"/>
              <w:rPr>
                <w:rFonts w:hint="eastAsia"/>
              </w:rPr>
            </w:pPr>
            <w:r>
              <w:rPr>
                <w:rFonts w:hint="eastAsia"/>
              </w:rPr>
              <w:t>无不适用条款；</w:t>
            </w:r>
          </w:p>
          <w:p>
            <w:pPr>
              <w:ind w:firstLine="420" w:firstLineChars="200"/>
              <w:jc w:val="left"/>
              <w:rPr>
                <w:rFonts w:ascii="宋体" w:hAnsi="宋体" w:cs="宋体"/>
                <w:bCs/>
                <w:color w:val="000000"/>
                <w:spacing w:val="10"/>
                <w:sz w:val="22"/>
                <w:szCs w:val="22"/>
              </w:rPr>
            </w:pPr>
            <w:r>
              <w:rPr>
                <w:rFonts w:hint="eastAsia"/>
              </w:rPr>
              <w:t>外包过程：线路板制作、零部件制作。</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rPr>
                <w:rFonts w:ascii="宋体" w:hAnsi="宋体" w:cs="Arial"/>
                <w:szCs w:val="21"/>
              </w:rPr>
            </w:pPr>
            <w:r>
              <w:rPr>
                <w:rFonts w:hint="eastAsia" w:ascii="宋体" w:hAnsi="宋体" w:cs="Arial"/>
                <w:szCs w:val="21"/>
              </w:rPr>
              <w:t>质量、环境 、职业健康安全管理体系及其过程</w:t>
            </w:r>
          </w:p>
          <w:p/>
        </w:tc>
        <w:tc>
          <w:tcPr>
            <w:tcW w:w="1026" w:type="dxa"/>
          </w:tcPr>
          <w:p>
            <w:pPr>
              <w:rPr>
                <w:rFonts w:ascii="宋体" w:hAnsi="宋体" w:cs="Arial"/>
                <w:szCs w:val="21"/>
              </w:rPr>
            </w:pPr>
            <w:r>
              <w:rPr>
                <w:rFonts w:hint="eastAsia" w:ascii="宋体" w:hAnsi="宋体" w:cs="Arial"/>
                <w:szCs w:val="21"/>
              </w:rPr>
              <w:t xml:space="preserve">4.4 </w:t>
            </w:r>
          </w:p>
          <w:p/>
        </w:tc>
        <w:tc>
          <w:tcPr>
            <w:tcW w:w="9898" w:type="dxa"/>
          </w:tcPr>
          <w:p>
            <w:pPr>
              <w:ind w:firstLine="420" w:firstLineChars="200"/>
              <w:jc w:val="left"/>
              <w:rPr>
                <w:rFonts w:hint="eastAsia"/>
              </w:rPr>
            </w:pPr>
            <w:r>
              <w:rPr>
                <w:rFonts w:hint="eastAsia"/>
              </w:rPr>
              <w:t>公司确定体系的目标和实现这些目标所需的过程；明确了为管理过程确定职责、权限和义务；确定了组织的能力及预先确定资源约束条件；确定了过程相互依赖的关系，分析了个别过程的变更对整个体系的影响；公司为确保获得必要的信息，以运行和改进过程并监视、分析和评价整个体系的绩效；</w:t>
            </w:r>
          </w:p>
          <w:p>
            <w:pPr>
              <w:ind w:firstLine="420" w:firstLineChars="200"/>
              <w:jc w:val="left"/>
              <w:rPr>
                <w:rFonts w:hint="eastAsia"/>
              </w:rPr>
            </w:pPr>
            <w:r>
              <w:rPr>
                <w:rFonts w:hint="eastAsia"/>
              </w:rPr>
              <w:t>公</w:t>
            </w:r>
            <w:r>
              <w:rPr>
                <w:rFonts w:hint="eastAsia"/>
                <w:lang w:val="en-US" w:eastAsia="zh-CN"/>
              </w:rPr>
              <w:t>司</w:t>
            </w:r>
            <w:r>
              <w:rPr>
                <w:rFonts w:hint="eastAsia"/>
              </w:rPr>
              <w:t>保持质量、环境和职业健康安全管理体系时，考虑了标准4.1和4.2获得的知识并已形成文件化信息要求；</w:t>
            </w:r>
          </w:p>
          <w:p>
            <w:pPr>
              <w:ind w:firstLine="420" w:firstLineChars="200"/>
              <w:jc w:val="left"/>
              <w:rPr>
                <w:rFonts w:hint="eastAsia"/>
              </w:rPr>
            </w:pPr>
            <w:r>
              <w:rPr>
                <w:rFonts w:hint="eastAsia"/>
              </w:rPr>
              <w:t>明确了管理可能影响过程输出和管理体系整体结果的风险；其中包括确定了管理体系范围、组织结构图、销售服务的过程/能力、绩效指标的确定、风险及机遇的识别、职责和权限的公示、识别了变更对过程的影响、及体系应获取的资源、提供了内审和管理评审的实施情况等。</w:t>
            </w:r>
          </w:p>
          <w:p>
            <w:pPr>
              <w:ind w:firstLine="420" w:firstLineChars="200"/>
              <w:jc w:val="left"/>
              <w:rPr>
                <w:rFonts w:hint="eastAsia"/>
              </w:rPr>
            </w:pPr>
            <w:r>
              <w:rPr>
                <w:rFonts w:hint="eastAsia"/>
                <w:lang w:val="en-US" w:eastAsia="zh-CN"/>
              </w:rPr>
              <w:t>近年</w:t>
            </w:r>
            <w:r>
              <w:rPr>
                <w:rFonts w:hint="eastAsia"/>
              </w:rPr>
              <w:t>来，没有变更的情况。</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r>
              <w:rPr>
                <w:rFonts w:hint="eastAsia" w:ascii="宋体" w:hAnsi="宋体" w:cs="宋体"/>
                <w:szCs w:val="21"/>
              </w:rPr>
              <w:t>领导作用与承诺——总则</w:t>
            </w:r>
          </w:p>
        </w:tc>
        <w:tc>
          <w:tcPr>
            <w:tcW w:w="1026" w:type="dxa"/>
          </w:tcPr>
          <w:p>
            <w:pPr>
              <w:rPr>
                <w:rFonts w:ascii="宋体" w:hAnsi="宋体" w:cs="宋体"/>
                <w:szCs w:val="21"/>
              </w:rPr>
            </w:pPr>
            <w:r>
              <w:rPr>
                <w:rFonts w:hint="eastAsia" w:ascii="宋体" w:hAnsi="宋体" w:cs="宋体"/>
                <w:szCs w:val="21"/>
              </w:rPr>
              <w:t>5.1</w:t>
            </w:r>
          </w:p>
          <w:p>
            <w:pPr>
              <w:rPr>
                <w:rFonts w:ascii="宋体" w:hAnsi="宋体" w:cs="宋体"/>
                <w:szCs w:val="21"/>
              </w:rPr>
            </w:pPr>
            <w:r>
              <w:rPr>
                <w:rFonts w:hint="eastAsia" w:ascii="宋体" w:hAnsi="宋体" w:cs="宋体"/>
                <w:szCs w:val="21"/>
              </w:rPr>
              <w:t>5.1.1</w:t>
            </w:r>
          </w:p>
          <w:p/>
        </w:tc>
        <w:tc>
          <w:tcPr>
            <w:tcW w:w="9898" w:type="dxa"/>
            <w:vAlign w:val="center"/>
          </w:tcPr>
          <w:p>
            <w:pPr>
              <w:ind w:firstLine="420" w:firstLineChars="200"/>
              <w:jc w:val="left"/>
              <w:rPr>
                <w:rFonts w:hint="eastAsia"/>
              </w:rPr>
            </w:pPr>
            <w:r>
              <w:rPr>
                <w:rFonts w:hint="eastAsia"/>
              </w:rPr>
              <w:t>管理层通过制定方针和目标并通过会议、培训等形式要求员工理解企业的方针目标以及传达守法经营及达到顾客满意的质量意识的重要性并形成制度化，强调企业实施管理体系的重要性。</w:t>
            </w:r>
          </w:p>
          <w:p>
            <w:pPr>
              <w:ind w:firstLine="420" w:firstLineChars="200"/>
              <w:jc w:val="left"/>
              <w:rPr>
                <w:rFonts w:hint="eastAsia"/>
              </w:rPr>
            </w:pPr>
            <w:r>
              <w:rPr>
                <w:rFonts w:hint="eastAsia"/>
              </w:rPr>
              <w:t>最高管理者应通过以下方面证实其质量、环境、职业健康安全管理体系的领导作用与承诺：</w:t>
            </w:r>
          </w:p>
          <w:p>
            <w:pPr>
              <w:numPr>
                <w:ilvl w:val="0"/>
                <w:numId w:val="1"/>
              </w:numPr>
              <w:ind w:left="845" w:leftChars="0" w:hanging="425" w:firstLineChars="0"/>
              <w:jc w:val="left"/>
              <w:rPr>
                <w:rFonts w:hint="eastAsia"/>
              </w:rPr>
            </w:pPr>
            <w:r>
              <w:rPr>
                <w:rFonts w:hint="eastAsia"/>
              </w:rPr>
              <w:t>确保质量、环境、职业健康安全方针和目标得到建立，并与组织的战略方向保持一致；</w:t>
            </w:r>
          </w:p>
          <w:p>
            <w:pPr>
              <w:numPr>
                <w:ilvl w:val="0"/>
                <w:numId w:val="1"/>
              </w:numPr>
              <w:ind w:left="845" w:leftChars="0" w:hanging="425" w:firstLineChars="0"/>
              <w:jc w:val="left"/>
              <w:rPr>
                <w:rFonts w:hint="eastAsia"/>
              </w:rPr>
            </w:pPr>
            <w:r>
              <w:rPr>
                <w:rFonts w:hint="eastAsia"/>
              </w:rPr>
              <w:t>确保质量、环境、职业健康安全方针在组织内得到理解和实施；</w:t>
            </w:r>
          </w:p>
          <w:p>
            <w:pPr>
              <w:numPr>
                <w:ilvl w:val="0"/>
                <w:numId w:val="1"/>
              </w:numPr>
              <w:ind w:left="845" w:leftChars="0" w:hanging="425" w:firstLineChars="0"/>
              <w:jc w:val="left"/>
              <w:rPr>
                <w:rFonts w:hint="eastAsia"/>
              </w:rPr>
            </w:pPr>
            <w:r>
              <w:rPr>
                <w:rFonts w:hint="eastAsia"/>
              </w:rPr>
              <w:t>确保质量、环境、职业健康安全管理体系的要求纳入到组织的业务动作；</w:t>
            </w:r>
          </w:p>
          <w:p>
            <w:pPr>
              <w:numPr>
                <w:ilvl w:val="0"/>
                <w:numId w:val="1"/>
              </w:numPr>
              <w:ind w:left="845" w:leftChars="0" w:hanging="425" w:firstLineChars="0"/>
              <w:jc w:val="left"/>
              <w:rPr>
                <w:rFonts w:hint="eastAsia"/>
              </w:rPr>
            </w:pPr>
            <w:r>
              <w:rPr>
                <w:rFonts w:hint="eastAsia"/>
              </w:rPr>
              <w:t>提高过程方法的意识；</w:t>
            </w:r>
          </w:p>
          <w:p>
            <w:pPr>
              <w:numPr>
                <w:ilvl w:val="0"/>
                <w:numId w:val="1"/>
              </w:numPr>
              <w:ind w:left="845" w:leftChars="0" w:hanging="425" w:firstLineChars="0"/>
              <w:jc w:val="left"/>
              <w:rPr>
                <w:rFonts w:hint="eastAsia"/>
              </w:rPr>
            </w:pPr>
            <w:r>
              <w:rPr>
                <w:rFonts w:hint="eastAsia"/>
              </w:rPr>
              <w:t>确保质量、环境、职业健康安全管理体系所需的资源的获得；</w:t>
            </w:r>
          </w:p>
          <w:p>
            <w:pPr>
              <w:numPr>
                <w:ilvl w:val="0"/>
                <w:numId w:val="1"/>
              </w:numPr>
              <w:ind w:left="845" w:leftChars="0" w:hanging="425" w:firstLineChars="0"/>
              <w:jc w:val="left"/>
              <w:rPr>
                <w:rFonts w:hint="eastAsia"/>
              </w:rPr>
            </w:pPr>
            <w:r>
              <w:rPr>
                <w:rFonts w:hint="eastAsia"/>
              </w:rPr>
              <w:t>传达有效的质量、环境、职业健康安全管理以及满足管理体系、产品和服务要求的重要性；</w:t>
            </w:r>
          </w:p>
          <w:p>
            <w:pPr>
              <w:numPr>
                <w:ilvl w:val="0"/>
                <w:numId w:val="1"/>
              </w:numPr>
              <w:ind w:left="845" w:leftChars="0" w:hanging="425" w:firstLineChars="0"/>
              <w:jc w:val="left"/>
              <w:rPr>
                <w:rFonts w:hint="eastAsia"/>
              </w:rPr>
            </w:pPr>
            <w:r>
              <w:rPr>
                <w:rFonts w:hint="eastAsia"/>
              </w:rPr>
              <w:t>确保质量、环境、职业健康安全管理体系实现预期的输出；</w:t>
            </w:r>
          </w:p>
          <w:p>
            <w:pPr>
              <w:numPr>
                <w:ilvl w:val="0"/>
                <w:numId w:val="1"/>
              </w:numPr>
              <w:ind w:left="845" w:leftChars="0" w:hanging="425" w:firstLineChars="0"/>
              <w:jc w:val="left"/>
              <w:rPr>
                <w:rFonts w:hint="eastAsia"/>
              </w:rPr>
            </w:pPr>
            <w:r>
              <w:rPr>
                <w:rFonts w:hint="eastAsia"/>
              </w:rPr>
              <w:t>吸纳、指导和支持员工参与对质量、环境、职业健康安全管理体系的有效性作出贡献；</w:t>
            </w:r>
          </w:p>
          <w:p>
            <w:pPr>
              <w:numPr>
                <w:ilvl w:val="0"/>
                <w:numId w:val="1"/>
              </w:numPr>
              <w:ind w:left="845" w:leftChars="0" w:hanging="425" w:firstLineChars="0"/>
              <w:jc w:val="left"/>
              <w:rPr>
                <w:rFonts w:hint="eastAsia"/>
              </w:rPr>
            </w:pPr>
            <w:r>
              <w:rPr>
                <w:rFonts w:hint="eastAsia"/>
              </w:rPr>
              <w:t>增强持续改进和创新；</w:t>
            </w:r>
          </w:p>
          <w:p>
            <w:pPr>
              <w:numPr>
                <w:ilvl w:val="0"/>
                <w:numId w:val="1"/>
              </w:numPr>
              <w:ind w:left="845" w:leftChars="0" w:hanging="425" w:firstLineChars="0"/>
              <w:jc w:val="left"/>
              <w:rPr>
                <w:rFonts w:hint="eastAsia"/>
              </w:rPr>
            </w:pPr>
            <w:r>
              <w:rPr>
                <w:rFonts w:hint="eastAsia"/>
              </w:rPr>
              <w:t>支持其他的管理者在其负责的领域证实其领导作用。</w:t>
            </w:r>
          </w:p>
          <w:p>
            <w:pPr>
              <w:ind w:firstLine="420" w:firstLineChars="200"/>
              <w:jc w:val="left"/>
              <w:rPr>
                <w:rFonts w:hint="eastAsia"/>
              </w:rPr>
            </w:pPr>
            <w:r>
              <w:rPr>
                <w:rFonts w:hint="eastAsia"/>
              </w:rPr>
              <w:t>公司通过会议、培训等形式要求员工理解公司的方针和目标，以及遵守法律法规的重要性及顾客满意的重要性，并形成制度化，规定了定期检查落实的情况，并有具体要求。</w:t>
            </w:r>
          </w:p>
          <w:p>
            <w:pPr>
              <w:ind w:firstLine="420" w:firstLineChars="200"/>
              <w:jc w:val="left"/>
              <w:rPr>
                <w:rFonts w:hint="eastAsia"/>
              </w:rPr>
            </w:pPr>
            <w:r>
              <w:rPr>
                <w:rFonts w:hint="eastAsia"/>
              </w:rPr>
              <w:t>公司对全体员工进行了产品质量以及顾客关注焦点的宣传和培训，制定了管理文件和管理目标并按规定进行了管理评审，管理体系基本得到了落实。</w:t>
            </w:r>
          </w:p>
          <w:p>
            <w:pPr>
              <w:ind w:firstLine="420" w:firstLineChars="200"/>
              <w:jc w:val="left"/>
              <w:rPr>
                <w:rFonts w:hint="eastAsia"/>
              </w:rPr>
            </w:pPr>
            <w:r>
              <w:rPr>
                <w:rFonts w:hint="eastAsia"/>
              </w:rPr>
              <w:t>资源提供充分并通过定期进行管理评审发现过程中存在问题并加以改进，承诺基本有效。</w:t>
            </w:r>
          </w:p>
          <w:p>
            <w:pPr>
              <w:ind w:firstLine="420" w:firstLineChars="200"/>
              <w:jc w:val="left"/>
              <w:rPr>
                <w:rFonts w:hint="eastAsia"/>
              </w:rPr>
            </w:pP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rPr>
                <w:rFonts w:ascii="宋体" w:hAnsi="宋体" w:cs="宋体"/>
                <w:szCs w:val="21"/>
              </w:rPr>
            </w:pPr>
            <w:r>
              <w:rPr>
                <w:rFonts w:hint="eastAsia" w:ascii="宋体" w:hAnsi="宋体" w:cs="宋体"/>
                <w:szCs w:val="21"/>
              </w:rPr>
              <w:t>以顾客为关注焦点</w:t>
            </w:r>
          </w:p>
        </w:tc>
        <w:tc>
          <w:tcPr>
            <w:tcW w:w="1026" w:type="dxa"/>
          </w:tcPr>
          <w:p>
            <w:pPr>
              <w:rPr>
                <w:rFonts w:ascii="宋体" w:hAnsi="宋体" w:cs="宋体"/>
                <w:szCs w:val="21"/>
              </w:rPr>
            </w:pPr>
            <w:r>
              <w:rPr>
                <w:rFonts w:hint="eastAsia" w:ascii="宋体" w:hAnsi="宋体" w:cs="宋体"/>
                <w:szCs w:val="21"/>
              </w:rPr>
              <w:t>5.1.2</w:t>
            </w:r>
          </w:p>
          <w:p/>
        </w:tc>
        <w:tc>
          <w:tcPr>
            <w:tcW w:w="9898" w:type="dxa"/>
          </w:tcPr>
          <w:p>
            <w:pPr>
              <w:ind w:firstLine="420" w:firstLineChars="200"/>
              <w:jc w:val="left"/>
              <w:rPr>
                <w:rFonts w:hint="eastAsia"/>
              </w:rPr>
            </w:pPr>
            <w:r>
              <w:rPr>
                <w:rFonts w:hint="eastAsia"/>
              </w:rPr>
              <w:t>公司以顾客满意、环境因素、危险源为关注焦点，公司通过制度、培训、会议/文件要求确保得到全员关注：</w:t>
            </w:r>
          </w:p>
          <w:p>
            <w:pPr>
              <w:ind w:firstLine="420" w:firstLineChars="200"/>
              <w:jc w:val="left"/>
              <w:rPr>
                <w:rFonts w:hint="eastAsia"/>
              </w:rPr>
            </w:pPr>
            <w:r>
              <w:rPr>
                <w:rFonts w:hint="eastAsia"/>
              </w:rPr>
              <w:t>—公司准确识别和应对可能影响产品符合性、顾客满意度、环境因素、危险源的风险等；</w:t>
            </w:r>
          </w:p>
          <w:p>
            <w:pPr>
              <w:ind w:firstLine="420" w:firstLineChars="200"/>
              <w:jc w:val="left"/>
              <w:rPr>
                <w:rFonts w:hint="eastAsia"/>
              </w:rPr>
            </w:pPr>
            <w:r>
              <w:rPr>
                <w:rFonts w:hint="eastAsia"/>
              </w:rPr>
              <w:t>—公司确定了顾客要求、环境因素、危险源的管理要求并予以满足；</w:t>
            </w:r>
          </w:p>
          <w:p>
            <w:pPr>
              <w:ind w:firstLine="420" w:firstLineChars="200"/>
              <w:jc w:val="left"/>
              <w:rPr>
                <w:rFonts w:hint="eastAsia"/>
              </w:rPr>
            </w:pPr>
            <w:r>
              <w:rPr>
                <w:rFonts w:hint="eastAsia"/>
              </w:rPr>
              <w:t>—公司明确了相关法律法规要求，保持以稳定提供满足顾客和相关法规要求产品为焦点；</w:t>
            </w:r>
          </w:p>
          <w:p>
            <w:pPr>
              <w:ind w:firstLine="420" w:firstLineChars="200"/>
              <w:jc w:val="left"/>
              <w:rPr>
                <w:rFonts w:hint="eastAsia"/>
              </w:rPr>
            </w:pPr>
            <w:r>
              <w:rPr>
                <w:rFonts w:hint="eastAsia"/>
              </w:rPr>
              <w:t>—切实达到了以增强顾客满意、实现污染、安全预防为目的。</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rPr>
                <w:rFonts w:ascii="宋体" w:hAnsi="宋体" w:cs="宋体"/>
                <w:szCs w:val="21"/>
              </w:rPr>
            </w:pPr>
            <w:r>
              <w:rPr>
                <w:rFonts w:hint="eastAsia" w:ascii="宋体" w:hAnsi="宋体" w:cs="宋体"/>
                <w:szCs w:val="21"/>
              </w:rPr>
              <w:t>质量/环境/职业健康安全方针</w:t>
            </w:r>
          </w:p>
        </w:tc>
        <w:tc>
          <w:tcPr>
            <w:tcW w:w="1026" w:type="dxa"/>
          </w:tcPr>
          <w:p>
            <w:pPr>
              <w:rPr>
                <w:rFonts w:ascii="宋体" w:hAnsi="宋体" w:cs="宋体"/>
                <w:szCs w:val="21"/>
              </w:rPr>
            </w:pPr>
            <w:r>
              <w:rPr>
                <w:rFonts w:hint="eastAsia" w:ascii="宋体" w:hAnsi="宋体" w:cs="宋体"/>
                <w:szCs w:val="21"/>
              </w:rPr>
              <w:t>5.2</w:t>
            </w:r>
          </w:p>
          <w:p>
            <w:pPr>
              <w:ind w:firstLine="420" w:firstLineChars="200"/>
              <w:rPr>
                <w:rFonts w:ascii="宋体" w:hAnsi="宋体" w:cs="宋体"/>
                <w:szCs w:val="21"/>
              </w:rPr>
            </w:pPr>
          </w:p>
        </w:tc>
        <w:tc>
          <w:tcPr>
            <w:tcW w:w="9898" w:type="dxa"/>
            <w:vAlign w:val="center"/>
          </w:tcPr>
          <w:p>
            <w:pPr>
              <w:ind w:firstLine="420" w:firstLineChars="200"/>
              <w:jc w:val="left"/>
              <w:rPr>
                <w:rFonts w:hint="eastAsia"/>
              </w:rPr>
            </w:pPr>
            <w:r>
              <w:rPr>
                <w:rFonts w:hint="eastAsia"/>
              </w:rPr>
              <w:t>公司以质量、环境、职业健康安全标准为基础结合公司实际特制定管理方针。与公司总经理丁飞交谈，其对方针内涵的理解较深刻。方针能为制定目标提供框架，方针基本符合标准的要求。</w:t>
            </w:r>
          </w:p>
          <w:p>
            <w:pPr>
              <w:ind w:firstLine="420" w:firstLineChars="200"/>
              <w:jc w:val="left"/>
              <w:rPr>
                <w:rFonts w:hint="eastAsia"/>
              </w:rPr>
            </w:pPr>
            <w:r>
              <w:rPr>
                <w:rFonts w:hint="eastAsia"/>
              </w:rPr>
              <w:t>公司管理方针为：点点滴滴，成就非凡，我们通过产品赢得尊重和信任，</w:t>
            </w:r>
          </w:p>
          <w:p>
            <w:pPr>
              <w:ind w:firstLine="420" w:firstLineChars="200"/>
              <w:jc w:val="left"/>
              <w:rPr>
                <w:rFonts w:hint="eastAsia"/>
              </w:rPr>
            </w:pPr>
            <w:r>
              <w:rPr>
                <w:rFonts w:hint="eastAsia"/>
              </w:rPr>
              <w:t>精心策划，以人为本，遵规守法，节能降耗，预防污染，持续发展，关注员工健康安全，向顾客提供先进可靠的满意产品。</w:t>
            </w:r>
          </w:p>
          <w:p>
            <w:pPr>
              <w:ind w:firstLine="420" w:firstLineChars="200"/>
              <w:jc w:val="left"/>
              <w:rPr>
                <w:rFonts w:hint="eastAsia"/>
              </w:rPr>
            </w:pPr>
            <w:r>
              <w:rPr>
                <w:rFonts w:hint="eastAsia"/>
              </w:rPr>
              <w:t>总经理用会议、文件等方法确保管理方针为全体员工理解并落实到工作中，通过管理评审时对方针的持续适宜性进行了评审，有评审记录。</w:t>
            </w:r>
          </w:p>
          <w:p>
            <w:pPr>
              <w:ind w:firstLine="420" w:firstLineChars="200"/>
              <w:jc w:val="left"/>
              <w:rPr>
                <w:rFonts w:hint="eastAsia"/>
              </w:rPr>
            </w:pPr>
            <w:r>
              <w:rPr>
                <w:rFonts w:hint="eastAsia"/>
              </w:rPr>
              <w:t>以上管理方针通过文件、培训等形式将公司管理方针传达给所有为公司工作或代表公司的人员，相关方也可通过相关部门获取公司管理方针。</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jc w:val="left"/>
              <w:rPr>
                <w:rFonts w:ascii="宋体" w:hAnsi="宋体" w:cs="宋体"/>
                <w:szCs w:val="21"/>
              </w:rPr>
            </w:pPr>
            <w:r>
              <w:rPr>
                <w:rFonts w:hint="eastAsia" w:ascii="宋体" w:hAnsi="宋体" w:cs="宋体"/>
                <w:szCs w:val="21"/>
              </w:rPr>
              <w:t>组织的岗位、职责和权限</w:t>
            </w:r>
          </w:p>
          <w:p>
            <w:pPr>
              <w:ind w:firstLine="420" w:firstLineChars="200"/>
              <w:jc w:val="left"/>
            </w:pPr>
          </w:p>
        </w:tc>
        <w:tc>
          <w:tcPr>
            <w:tcW w:w="1026" w:type="dxa"/>
          </w:tcPr>
          <w:p>
            <w:pPr>
              <w:rPr>
                <w:rFonts w:ascii="宋体" w:hAnsi="宋体" w:cs="宋体"/>
                <w:szCs w:val="21"/>
              </w:rPr>
            </w:pPr>
            <w:r>
              <w:rPr>
                <w:rFonts w:hint="eastAsia" w:ascii="宋体" w:hAnsi="宋体" w:cs="宋体"/>
                <w:szCs w:val="21"/>
              </w:rPr>
              <w:t xml:space="preserve">5.3 </w:t>
            </w:r>
          </w:p>
        </w:tc>
        <w:tc>
          <w:tcPr>
            <w:tcW w:w="9898" w:type="dxa"/>
            <w:vAlign w:val="center"/>
          </w:tcPr>
          <w:p>
            <w:pPr>
              <w:ind w:firstLine="420" w:firstLineChars="200"/>
              <w:jc w:val="left"/>
              <w:rPr>
                <w:rFonts w:hint="eastAsia"/>
              </w:rPr>
            </w:pPr>
            <w:r>
              <w:rPr>
                <w:rFonts w:hint="eastAsia"/>
              </w:rPr>
              <w:t>公司确定组织机构并提供组织机构图，规定了各部门、各岗位人员职责、权限和相互关系；</w:t>
            </w:r>
          </w:p>
          <w:p>
            <w:pPr>
              <w:ind w:firstLine="420" w:firstLineChars="200"/>
              <w:jc w:val="left"/>
              <w:rPr>
                <w:rFonts w:hint="eastAsia"/>
              </w:rPr>
            </w:pPr>
            <w:r>
              <w:rPr>
                <w:rFonts w:hint="eastAsia"/>
              </w:rPr>
              <w:t>为实施和保持公司管理体系所需的过程，</w:t>
            </w:r>
            <w:r>
              <w:rPr>
                <w:rFonts w:hint="eastAsia"/>
                <w:lang w:val="en-US" w:eastAsia="zh-CN"/>
              </w:rPr>
              <w:t>因原管理者代表不再负责本公司业务，2022年1月1日</w:t>
            </w:r>
            <w:r>
              <w:rPr>
                <w:rFonts w:hint="eastAsia"/>
              </w:rPr>
              <w:t>公司任命程洁为管理者代表，赵胜涛</w:t>
            </w:r>
            <w:r>
              <w:rPr>
                <w:rFonts w:hint="eastAsia"/>
                <w:lang w:val="en-US" w:eastAsia="zh-CN"/>
              </w:rPr>
              <w:t>还</w:t>
            </w:r>
            <w:r>
              <w:rPr>
                <w:rFonts w:hint="eastAsia"/>
              </w:rPr>
              <w:t>为安全事务代表。</w:t>
            </w:r>
          </w:p>
          <w:p>
            <w:pPr>
              <w:ind w:firstLine="420" w:firstLineChars="200"/>
              <w:jc w:val="left"/>
              <w:rPr>
                <w:rFonts w:hint="eastAsia"/>
              </w:rPr>
            </w:pPr>
            <w:r>
              <w:rPr>
                <w:rFonts w:hint="eastAsia"/>
              </w:rPr>
              <w:t>与管代交流明确其职责和权限：</w:t>
            </w:r>
          </w:p>
          <w:p>
            <w:pPr>
              <w:ind w:firstLine="420" w:firstLineChars="200"/>
              <w:jc w:val="left"/>
              <w:rPr>
                <w:rFonts w:hint="eastAsia"/>
              </w:rPr>
            </w:pPr>
            <w:r>
              <w:rPr>
                <w:rFonts w:hint="eastAsia"/>
              </w:rPr>
              <w:t>确保按照GB/T 19001-2016、GB/T 24001-2016、GB/T 45001-2020标准建立、实施并保持综合管理体系。</w:t>
            </w:r>
          </w:p>
          <w:p>
            <w:pPr>
              <w:ind w:firstLine="420" w:firstLineChars="200"/>
              <w:jc w:val="left"/>
              <w:rPr>
                <w:rFonts w:hint="eastAsia"/>
              </w:rPr>
            </w:pPr>
            <w:r>
              <w:rPr>
                <w:rFonts w:hint="eastAsia"/>
              </w:rPr>
              <w:t>向总经理报告质量、环境、职业健康安全管理体系的运行情况，包括对改进的需求。</w:t>
            </w:r>
          </w:p>
          <w:p>
            <w:pPr>
              <w:ind w:firstLine="420" w:firstLineChars="200"/>
              <w:jc w:val="left"/>
              <w:rPr>
                <w:rFonts w:hint="eastAsia"/>
              </w:rPr>
            </w:pPr>
            <w:r>
              <w:rPr>
                <w:rFonts w:hint="eastAsia"/>
              </w:rPr>
              <w:t>提高公司全体员工的质量、环境、职业健康安全意识。</w:t>
            </w:r>
          </w:p>
          <w:p>
            <w:pPr>
              <w:ind w:firstLine="420" w:firstLineChars="200"/>
              <w:jc w:val="left"/>
              <w:rPr>
                <w:rFonts w:hint="eastAsia"/>
              </w:rPr>
            </w:pPr>
            <w:r>
              <w:rPr>
                <w:rFonts w:hint="eastAsia"/>
              </w:rPr>
              <w:t>负责公司质量、环境、职业健康安全综合管理体系与外部有关各方的联络工作。</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jc w:val="left"/>
              <w:rPr>
                <w:rFonts w:ascii="宋体" w:hAnsi="宋体" w:cs="宋体"/>
                <w:szCs w:val="21"/>
              </w:rPr>
            </w:pPr>
            <w:r>
              <w:rPr>
                <w:rFonts w:hint="eastAsia" w:ascii="宋体" w:hAnsi="宋体" w:cs="宋体"/>
                <w:szCs w:val="21"/>
              </w:rPr>
              <w:t>协商与参与</w:t>
            </w:r>
          </w:p>
          <w:p>
            <w:pPr>
              <w:ind w:firstLine="420" w:firstLineChars="200"/>
              <w:jc w:val="left"/>
            </w:pPr>
          </w:p>
        </w:tc>
        <w:tc>
          <w:tcPr>
            <w:tcW w:w="1026" w:type="dxa"/>
          </w:tcPr>
          <w:p>
            <w:pPr>
              <w:jc w:val="left"/>
              <w:rPr>
                <w:rFonts w:ascii="宋体" w:hAnsi="宋体" w:cs="宋体"/>
                <w:szCs w:val="21"/>
              </w:rPr>
            </w:pPr>
            <w:r>
              <w:rPr>
                <w:rFonts w:hint="eastAsia" w:ascii="宋体" w:hAnsi="宋体" w:cs="宋体"/>
                <w:szCs w:val="21"/>
              </w:rPr>
              <w:t xml:space="preserve">O 5.4 </w:t>
            </w:r>
          </w:p>
          <w:p>
            <w:pPr>
              <w:ind w:firstLine="420" w:firstLineChars="200"/>
              <w:jc w:val="left"/>
            </w:pPr>
          </w:p>
        </w:tc>
        <w:tc>
          <w:tcPr>
            <w:tcW w:w="9898" w:type="dxa"/>
          </w:tcPr>
          <w:p>
            <w:pPr>
              <w:ind w:firstLine="420" w:firstLineChars="200"/>
              <w:jc w:val="left"/>
              <w:rPr>
                <w:rFonts w:hint="eastAsia"/>
              </w:rPr>
            </w:pPr>
            <w:r>
              <w:rPr>
                <w:rFonts w:hint="eastAsia"/>
              </w:rPr>
              <w:t>公司设立了安全事务代表，提供时间、培训、人力财力物力等资源，及时提供渠道，以获取清晰的、可理解的和相关的职业健康安全信息。考虑了确定和消除妨碍参与的障碍或壁垒，并尽可能减少那些无法消除的障碍或壁垒。明确了与非管理类工作人员的协商和参与内容。</w:t>
            </w:r>
          </w:p>
          <w:p>
            <w:pPr>
              <w:ind w:firstLine="420" w:firstLineChars="200"/>
              <w:jc w:val="left"/>
              <w:rPr>
                <w:rFonts w:hint="eastAsia"/>
              </w:rPr>
            </w:pPr>
            <w:r>
              <w:rPr>
                <w:rFonts w:hint="eastAsia"/>
              </w:rPr>
              <w:t>公司安全事务代表须经公司各部门会议选举，并正式公告。</w:t>
            </w:r>
          </w:p>
          <w:p>
            <w:pPr>
              <w:ind w:firstLine="420" w:firstLineChars="200"/>
              <w:jc w:val="left"/>
              <w:rPr>
                <w:rFonts w:hint="eastAsia"/>
              </w:rPr>
            </w:pPr>
            <w:r>
              <w:rPr>
                <w:rFonts w:hint="eastAsia"/>
              </w:rPr>
              <w:t>与安全事务代表交流其应当履行的职责和权限：收集员工对职业健康安全存在的问题和建议，向管理者代表和公司汇报职业健康安全存在的问题、提出意见和建议，并对公司职业健康安全管理体系的运行进行监督，为评审和改进职业健康安全管理体系提供依据。</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jc w:val="left"/>
              <w:rPr>
                <w:rFonts w:ascii="宋体" w:hAnsi="宋体" w:cs="宋体"/>
                <w:szCs w:val="21"/>
              </w:rPr>
            </w:pPr>
            <w:r>
              <w:rPr>
                <w:rFonts w:hint="eastAsia" w:ascii="宋体" w:hAnsi="宋体" w:cs="宋体"/>
                <w:szCs w:val="21"/>
              </w:rPr>
              <w:t>应对风险和机遇的措施</w:t>
            </w:r>
          </w:p>
          <w:p>
            <w:pPr>
              <w:jc w:val="left"/>
            </w:pPr>
          </w:p>
        </w:tc>
        <w:tc>
          <w:tcPr>
            <w:tcW w:w="1026" w:type="dxa"/>
          </w:tcPr>
          <w:p>
            <w:pPr>
              <w:jc w:val="left"/>
              <w:rPr>
                <w:rFonts w:ascii="宋体" w:hAnsi="宋体" w:cs="宋体"/>
                <w:szCs w:val="21"/>
              </w:rPr>
            </w:pPr>
            <w:r>
              <w:rPr>
                <w:rFonts w:hint="eastAsia" w:ascii="宋体" w:hAnsi="宋体" w:cs="宋体"/>
                <w:szCs w:val="21"/>
              </w:rPr>
              <w:t>6.1</w:t>
            </w:r>
          </w:p>
          <w:p>
            <w:pPr>
              <w:jc w:val="left"/>
            </w:pPr>
          </w:p>
        </w:tc>
        <w:tc>
          <w:tcPr>
            <w:tcW w:w="9898" w:type="dxa"/>
            <w:vAlign w:val="center"/>
          </w:tcPr>
          <w:p>
            <w:pPr>
              <w:ind w:firstLine="420" w:firstLineChars="200"/>
              <w:jc w:val="left"/>
              <w:rPr>
                <w:rFonts w:hint="eastAsia"/>
              </w:rPr>
            </w:pPr>
            <w:r>
              <w:rPr>
                <w:rFonts w:hint="eastAsia"/>
              </w:rPr>
              <w:t>公司</w:t>
            </w:r>
            <w:r>
              <w:rPr>
                <w:rFonts w:hint="eastAsia"/>
                <w:lang w:val="en-US" w:eastAsia="zh-CN"/>
              </w:rPr>
              <w:t>保持和</w:t>
            </w:r>
            <w:r>
              <w:rPr>
                <w:rFonts w:hint="eastAsia"/>
              </w:rPr>
              <w:t>实施《风险和机遇的应对控制程序》，明确风险和机遇事件的识别方法/途径、风险和机遇事件的评估方式、制定主要风险和机遇事件的应对措施的要求、评价这些措施有效性的方法。</w:t>
            </w:r>
          </w:p>
          <w:p>
            <w:pPr>
              <w:ind w:firstLine="420" w:firstLineChars="200"/>
              <w:jc w:val="left"/>
              <w:rPr>
                <w:rFonts w:hint="eastAsia"/>
              </w:rPr>
            </w:pPr>
            <w:r>
              <w:rPr>
                <w:rFonts w:hint="eastAsia"/>
              </w:rPr>
              <w:t>查 提供《风险和机遇评估分析表》：</w:t>
            </w:r>
          </w:p>
          <w:p>
            <w:pPr>
              <w:ind w:firstLine="420" w:firstLineChars="200"/>
              <w:jc w:val="left"/>
              <w:rPr>
                <w:rFonts w:hint="eastAsia"/>
              </w:rPr>
            </w:pPr>
            <w:r>
              <w:rPr>
                <w:rFonts w:hint="eastAsia"/>
              </w:rPr>
              <w:t>对内部、外部存在的风险和机遇进行了评估分析，外部从法规要求、相关方要求、竞争、市场、经济等，内部从公司运营、财务状况、人力资源等方面识别和评估风险和机遇；</w:t>
            </w:r>
          </w:p>
          <w:p>
            <w:pPr>
              <w:ind w:firstLine="420" w:firstLineChars="200"/>
              <w:jc w:val="left"/>
              <w:rPr>
                <w:rFonts w:hint="eastAsia"/>
              </w:rPr>
            </w:pPr>
            <w:r>
              <w:rPr>
                <w:rFonts w:hint="eastAsia"/>
              </w:rPr>
              <w:t>评估分析人：丁飞、程洁、徐金玲、徐文政、于丽、李慧、赵胜涛</w:t>
            </w:r>
            <w:r>
              <w:rPr>
                <w:rFonts w:hint="eastAsia"/>
                <w:lang w:val="en-US" w:eastAsia="zh-CN"/>
              </w:rPr>
              <w:t xml:space="preserve"> 记录评审时间。</w:t>
            </w:r>
            <w:r>
              <w:rPr>
                <w:rFonts w:hint="eastAsia"/>
              </w:rPr>
              <w:t xml:space="preserve">  </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2" w:type="dxa"/>
          </w:tcPr>
          <w:p>
            <w:pPr>
              <w:jc w:val="left"/>
            </w:pPr>
            <w:r>
              <w:rPr>
                <w:rFonts w:hint="eastAsia" w:ascii="宋体" w:hAnsi="宋体" w:cs="宋体"/>
                <w:szCs w:val="21"/>
              </w:rPr>
              <w:t>质量/环境/职业健康安全目标及其实现的策划</w:t>
            </w:r>
          </w:p>
        </w:tc>
        <w:tc>
          <w:tcPr>
            <w:tcW w:w="1026" w:type="dxa"/>
          </w:tcPr>
          <w:p>
            <w:pPr>
              <w:jc w:val="left"/>
            </w:pPr>
            <w:r>
              <w:rPr>
                <w:rFonts w:hint="eastAsia" w:ascii="宋体" w:hAnsi="宋体" w:cs="宋体"/>
                <w:szCs w:val="21"/>
              </w:rPr>
              <w:t>6.2</w:t>
            </w:r>
          </w:p>
        </w:tc>
        <w:tc>
          <w:tcPr>
            <w:tcW w:w="9898" w:type="dxa"/>
            <w:vAlign w:val="center"/>
          </w:tcPr>
          <w:p>
            <w:pPr>
              <w:ind w:firstLine="420" w:firstLineChars="200"/>
              <w:jc w:val="left"/>
              <w:rPr>
                <w:rFonts w:hint="eastAsia"/>
              </w:rPr>
            </w:pPr>
            <w:r>
              <w:rPr>
                <w:rFonts w:hint="eastAsia"/>
              </w:rPr>
              <w:t>提供公司质量、环境和职业健康安全目标、质量分解目标，环境、职业健康安全目标、指标和方案。</w:t>
            </w:r>
          </w:p>
          <w:p>
            <w:pPr>
              <w:ind w:firstLine="420" w:firstLineChars="200"/>
              <w:jc w:val="left"/>
              <w:rPr>
                <w:rFonts w:hint="eastAsia"/>
              </w:rPr>
            </w:pPr>
            <w:r>
              <w:rPr>
                <w:rFonts w:hint="eastAsia"/>
              </w:rPr>
              <w:t>质量、环境、职业健康安全目标：</w:t>
            </w:r>
          </w:p>
          <w:p>
            <w:pPr>
              <w:ind w:firstLine="420" w:firstLineChars="200"/>
              <w:jc w:val="left"/>
              <w:rPr>
                <w:rFonts w:hint="eastAsia"/>
              </w:rPr>
            </w:pPr>
            <w:r>
              <w:rPr>
                <w:rFonts w:hint="eastAsia"/>
              </w:rPr>
              <w:t>质量目标:</w:t>
            </w:r>
          </w:p>
          <w:p>
            <w:pPr>
              <w:ind w:firstLine="420" w:firstLineChars="200"/>
              <w:jc w:val="left"/>
              <w:rPr>
                <w:rFonts w:hint="eastAsia"/>
              </w:rPr>
            </w:pPr>
            <w:r>
              <w:rPr>
                <w:rFonts w:hint="eastAsia"/>
              </w:rPr>
              <w:t>1顾客满意率≥90%，今后三年内每年递增1%；</w:t>
            </w:r>
          </w:p>
          <w:p>
            <w:pPr>
              <w:ind w:firstLine="420" w:firstLineChars="200"/>
              <w:jc w:val="left"/>
              <w:rPr>
                <w:rFonts w:hint="eastAsia"/>
              </w:rPr>
            </w:pPr>
            <w:r>
              <w:rPr>
                <w:rFonts w:hint="eastAsia"/>
              </w:rPr>
              <w:t>2成品一次检验合格率≥99%。</w:t>
            </w:r>
          </w:p>
          <w:p>
            <w:pPr>
              <w:ind w:firstLine="420" w:firstLineChars="200"/>
              <w:jc w:val="left"/>
              <w:rPr>
                <w:rFonts w:hint="eastAsia"/>
              </w:rPr>
            </w:pPr>
            <w:r>
              <w:rPr>
                <w:rFonts w:hint="eastAsia"/>
              </w:rPr>
              <w:t>环境目标:</w:t>
            </w:r>
          </w:p>
          <w:p>
            <w:pPr>
              <w:ind w:firstLine="420" w:firstLineChars="200"/>
              <w:jc w:val="left"/>
              <w:rPr>
                <w:rFonts w:hint="eastAsia"/>
              </w:rPr>
            </w:pPr>
            <w:r>
              <w:rPr>
                <w:rFonts w:hint="eastAsia"/>
              </w:rPr>
              <w:t>1 杜绝环境污染事故；</w:t>
            </w:r>
          </w:p>
          <w:p>
            <w:pPr>
              <w:ind w:firstLine="420" w:firstLineChars="200"/>
              <w:jc w:val="left"/>
              <w:rPr>
                <w:rFonts w:hint="eastAsia"/>
              </w:rPr>
            </w:pPr>
            <w:r>
              <w:rPr>
                <w:rFonts w:hint="eastAsia"/>
              </w:rPr>
              <w:t>2废弃物分类存放，可回收废弃物资源化管理，危险废弃物100%按要求处理。</w:t>
            </w:r>
          </w:p>
          <w:p>
            <w:pPr>
              <w:ind w:firstLine="420" w:firstLineChars="200"/>
              <w:jc w:val="left"/>
              <w:rPr>
                <w:rFonts w:hint="eastAsia"/>
              </w:rPr>
            </w:pPr>
            <w:r>
              <w:rPr>
                <w:rFonts w:hint="eastAsia"/>
              </w:rPr>
              <w:t>职业健康安全目标:</w:t>
            </w:r>
          </w:p>
          <w:p>
            <w:pPr>
              <w:ind w:firstLine="420" w:firstLineChars="200"/>
              <w:jc w:val="left"/>
              <w:rPr>
                <w:rFonts w:hint="eastAsia"/>
              </w:rPr>
            </w:pPr>
            <w:r>
              <w:rPr>
                <w:rFonts w:hint="eastAsia"/>
              </w:rPr>
              <w:t>杜绝办公场所死亡及火灾事故，无重伤及重大交通责任事故，无职业病发生 。</w:t>
            </w:r>
          </w:p>
          <w:p>
            <w:pPr>
              <w:ind w:firstLine="420" w:firstLineChars="200"/>
              <w:jc w:val="left"/>
              <w:rPr>
                <w:rFonts w:hint="eastAsia"/>
              </w:rPr>
            </w:pPr>
            <w:r>
              <w:rPr>
                <w:rFonts w:hint="eastAsia"/>
              </w:rPr>
              <w:t>抽 有202</w:t>
            </w:r>
            <w:r>
              <w:rPr>
                <w:rFonts w:hint="eastAsia"/>
                <w:lang w:val="en-US" w:eastAsia="zh-CN"/>
              </w:rPr>
              <w:t>2</w:t>
            </w:r>
            <w:r>
              <w:rPr>
                <w:rFonts w:hint="eastAsia"/>
              </w:rPr>
              <w:t>年6月</w:t>
            </w:r>
            <w:r>
              <w:rPr>
                <w:rFonts w:hint="eastAsia"/>
                <w:lang w:val="en-US" w:eastAsia="zh-CN"/>
              </w:rPr>
              <w:t>30</w:t>
            </w:r>
            <w:r>
              <w:rPr>
                <w:rFonts w:hint="eastAsia"/>
              </w:rPr>
              <w:t>日／</w:t>
            </w:r>
            <w:r>
              <w:rPr>
                <w:rFonts w:hint="eastAsia"/>
                <w:lang w:val="en-US" w:eastAsia="zh-CN"/>
              </w:rPr>
              <w:t>9</w:t>
            </w:r>
            <w:r>
              <w:rPr>
                <w:rFonts w:hint="eastAsia"/>
              </w:rPr>
              <w:t>月</w:t>
            </w:r>
            <w:r>
              <w:rPr>
                <w:rFonts w:hint="eastAsia"/>
                <w:lang w:val="en-US" w:eastAsia="zh-CN"/>
              </w:rPr>
              <w:t>30</w:t>
            </w:r>
            <w:r>
              <w:rPr>
                <w:rFonts w:hint="eastAsia"/>
              </w:rPr>
              <w:t>日／</w:t>
            </w:r>
            <w:r>
              <w:rPr>
                <w:rFonts w:hint="eastAsia"/>
                <w:lang w:val="en-US" w:eastAsia="zh-CN"/>
              </w:rPr>
              <w:t>12</w:t>
            </w:r>
            <w:r>
              <w:rPr>
                <w:rFonts w:hint="eastAsia"/>
              </w:rPr>
              <w:t>月</w:t>
            </w:r>
            <w:r>
              <w:rPr>
                <w:rFonts w:hint="eastAsia"/>
                <w:lang w:val="en-US" w:eastAsia="zh-CN"/>
              </w:rPr>
              <w:t>30日</w:t>
            </w:r>
            <w:r>
              <w:rPr>
                <w:rFonts w:hint="eastAsia"/>
              </w:rPr>
              <w:t>质量目标跟踪，公司目标及分解目标均达成：</w:t>
            </w:r>
          </w:p>
          <w:p>
            <w:pPr>
              <w:ind w:firstLine="420" w:firstLineChars="200"/>
              <w:jc w:val="left"/>
              <w:rPr>
                <w:rFonts w:hint="eastAsia"/>
              </w:rPr>
            </w:pPr>
            <w:r>
              <w:rPr>
                <w:rFonts w:hint="eastAsia"/>
              </w:rPr>
              <w:t>1顾客满意率</w:t>
            </w:r>
            <w:r>
              <w:rPr>
                <w:rFonts w:hint="eastAsia"/>
                <w:lang w:val="en-US" w:eastAsia="zh-CN"/>
              </w:rPr>
              <w:t>97</w:t>
            </w:r>
            <w:r>
              <w:rPr>
                <w:rFonts w:hint="eastAsia"/>
              </w:rPr>
              <w:t>%；</w:t>
            </w:r>
          </w:p>
          <w:p>
            <w:pPr>
              <w:ind w:firstLine="420" w:firstLineChars="200"/>
              <w:jc w:val="left"/>
              <w:rPr>
                <w:rFonts w:hint="eastAsia"/>
              </w:rPr>
            </w:pPr>
            <w:r>
              <w:rPr>
                <w:rFonts w:hint="eastAsia"/>
              </w:rPr>
              <w:t>2成品一次检验合格率100%。</w:t>
            </w:r>
          </w:p>
          <w:p>
            <w:pPr>
              <w:ind w:firstLine="420" w:firstLineChars="200"/>
              <w:jc w:val="left"/>
              <w:rPr>
                <w:rFonts w:hint="eastAsia"/>
              </w:rPr>
            </w:pPr>
            <w:r>
              <w:rPr>
                <w:rFonts w:hint="eastAsia"/>
              </w:rPr>
              <w:t>提供环境、职业健康安全目标、指标和管理方案：明确目标、指标、控制措施和方法、责任部门和责任人，环境方案：3项，职业健康安全：3项</w:t>
            </w:r>
          </w:p>
          <w:p>
            <w:pPr>
              <w:ind w:firstLine="420" w:firstLineChars="200"/>
              <w:jc w:val="left"/>
              <w:rPr>
                <w:rFonts w:hint="eastAsia"/>
              </w:rPr>
            </w:pPr>
            <w:r>
              <w:rPr>
                <w:rFonts w:hint="eastAsia"/>
              </w:rPr>
              <w:t xml:space="preserve"> 有202</w:t>
            </w:r>
            <w:r>
              <w:rPr>
                <w:rFonts w:hint="eastAsia"/>
                <w:lang w:val="en-US" w:eastAsia="zh-CN"/>
              </w:rPr>
              <w:t>2</w:t>
            </w:r>
            <w:r>
              <w:rPr>
                <w:rFonts w:hint="eastAsia"/>
              </w:rPr>
              <w:t>年12月</w:t>
            </w:r>
            <w:r>
              <w:rPr>
                <w:rFonts w:hint="eastAsia"/>
                <w:lang w:val="en-US" w:eastAsia="zh-CN"/>
              </w:rPr>
              <w:t>10日环境、职业健康安全</w:t>
            </w:r>
            <w:r>
              <w:rPr>
                <w:rFonts w:hint="eastAsia"/>
              </w:rPr>
              <w:t>目标、指标和管理方案完成情况统计及跟进：目标指标均达成，方案有效实施。</w:t>
            </w:r>
          </w:p>
          <w:p>
            <w:pPr>
              <w:pStyle w:val="2"/>
              <w:rPr>
                <w:rFonts w:hint="eastAsia"/>
              </w:rPr>
            </w:pP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jc w:val="left"/>
              <w:rPr>
                <w:rFonts w:hint="eastAsia" w:ascii="宋体" w:hAnsi="宋体" w:cs="宋体"/>
                <w:szCs w:val="21"/>
              </w:rPr>
            </w:pPr>
            <w:r>
              <w:rPr>
                <w:rFonts w:hint="eastAsia" w:ascii="宋体" w:hAnsi="宋体" w:cs="宋体"/>
                <w:szCs w:val="21"/>
              </w:rPr>
              <w:t>变更的策划</w:t>
            </w:r>
          </w:p>
          <w:p>
            <w:pPr>
              <w:jc w:val="left"/>
              <w:rPr>
                <w:rFonts w:hint="eastAsia" w:ascii="宋体" w:hAnsi="宋体" w:cs="宋体"/>
                <w:szCs w:val="21"/>
              </w:rPr>
            </w:pPr>
          </w:p>
        </w:tc>
        <w:tc>
          <w:tcPr>
            <w:tcW w:w="1026" w:type="dxa"/>
          </w:tcPr>
          <w:p>
            <w:pPr>
              <w:jc w:val="left"/>
              <w:rPr>
                <w:rFonts w:hint="eastAsia" w:ascii="宋体" w:hAnsi="宋体" w:cs="Arial"/>
                <w:szCs w:val="21"/>
              </w:rPr>
            </w:pPr>
            <w:r>
              <w:rPr>
                <w:rFonts w:hint="eastAsia" w:ascii="宋体" w:hAnsi="宋体" w:cs="Arial"/>
                <w:szCs w:val="21"/>
              </w:rPr>
              <w:t xml:space="preserve">Q6.3 </w:t>
            </w:r>
          </w:p>
          <w:p>
            <w:pPr>
              <w:jc w:val="left"/>
              <w:rPr>
                <w:rFonts w:ascii="宋体" w:hAnsi="宋体" w:cs="宋体"/>
                <w:color w:val="000000"/>
                <w:sz w:val="22"/>
                <w:szCs w:val="22"/>
              </w:rPr>
            </w:pPr>
          </w:p>
        </w:tc>
        <w:tc>
          <w:tcPr>
            <w:tcW w:w="9898" w:type="dxa"/>
          </w:tcPr>
          <w:p>
            <w:pPr>
              <w:ind w:firstLine="420" w:firstLineChars="200"/>
              <w:jc w:val="left"/>
              <w:rPr>
                <w:rFonts w:hint="eastAsia"/>
              </w:rPr>
            </w:pPr>
            <w:r>
              <w:rPr>
                <w:rFonts w:hint="eastAsia"/>
              </w:rPr>
              <w:t>与公司总经理交流：公司在变更前考虑了变更目的及其潜在后果、管理体系的完整性、资源的可获得性以及相关部门和岗位的责任和权限的调整。</w:t>
            </w:r>
          </w:p>
          <w:p>
            <w:pPr>
              <w:ind w:firstLine="420" w:firstLineChars="200"/>
              <w:jc w:val="left"/>
              <w:rPr>
                <w:rFonts w:hint="eastAsia"/>
              </w:rPr>
            </w:pPr>
            <w:r>
              <w:rPr>
                <w:rFonts w:hint="eastAsia"/>
              </w:rPr>
              <w:t>本阶段体系无变更发生。</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jc w:val="left"/>
              <w:rPr>
                <w:rFonts w:hint="eastAsia" w:ascii="宋体" w:hAnsi="宋体" w:cs="宋体"/>
                <w:szCs w:val="21"/>
              </w:rPr>
            </w:pPr>
            <w:r>
              <w:rPr>
                <w:rFonts w:hint="eastAsia" w:ascii="宋体" w:hAnsi="宋体" w:cs="宋体"/>
                <w:szCs w:val="21"/>
              </w:rPr>
              <w:t>资源—总则</w:t>
            </w:r>
          </w:p>
          <w:p>
            <w:pPr>
              <w:jc w:val="left"/>
              <w:rPr>
                <w:rFonts w:hint="eastAsia" w:ascii="宋体" w:hAnsi="宋体" w:cs="宋体"/>
                <w:szCs w:val="21"/>
              </w:rPr>
            </w:pPr>
          </w:p>
        </w:tc>
        <w:tc>
          <w:tcPr>
            <w:tcW w:w="1026" w:type="dxa"/>
          </w:tcPr>
          <w:p>
            <w:pPr>
              <w:jc w:val="left"/>
              <w:rPr>
                <w:rFonts w:ascii="宋体" w:hAnsi="宋体" w:cs="宋体"/>
                <w:color w:val="000000"/>
                <w:sz w:val="22"/>
                <w:szCs w:val="22"/>
              </w:rPr>
            </w:pPr>
            <w:r>
              <w:rPr>
                <w:rFonts w:hint="eastAsia" w:ascii="宋体" w:hAnsi="宋体" w:cs="Arial"/>
                <w:szCs w:val="21"/>
              </w:rPr>
              <w:t>7.1.1</w:t>
            </w:r>
            <w:r>
              <w:rPr>
                <w:rFonts w:hint="eastAsia" w:ascii="宋体" w:hAnsi="宋体" w:cs="Arial"/>
                <w:sz w:val="18"/>
                <w:szCs w:val="18"/>
              </w:rPr>
              <w:t>（EO7.1）</w:t>
            </w:r>
          </w:p>
        </w:tc>
        <w:tc>
          <w:tcPr>
            <w:tcW w:w="9898" w:type="dxa"/>
          </w:tcPr>
          <w:p>
            <w:pPr>
              <w:ind w:firstLine="420" w:firstLineChars="200"/>
              <w:jc w:val="left"/>
              <w:rPr>
                <w:rFonts w:hint="eastAsia"/>
              </w:rPr>
            </w:pPr>
            <w:r>
              <w:rPr>
                <w:rFonts w:hint="eastAsia"/>
              </w:rPr>
              <w:t>公司总经理说明：公司的人力、工作场所、办公设施、工作环境、运输等资源能够满足当前公司实际需要。</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jc w:val="left"/>
              <w:rPr>
                <w:rFonts w:hint="eastAsia" w:ascii="宋体" w:hAnsi="宋体" w:cs="宋体"/>
                <w:szCs w:val="21"/>
              </w:rPr>
            </w:pPr>
            <w:r>
              <w:rPr>
                <w:rFonts w:hint="eastAsia" w:ascii="宋体" w:hAnsi="宋体" w:cs="宋体"/>
                <w:szCs w:val="21"/>
              </w:rPr>
              <w:t>沟通与信息交流</w:t>
            </w:r>
          </w:p>
          <w:p>
            <w:pPr>
              <w:jc w:val="left"/>
              <w:rPr>
                <w:rFonts w:hint="eastAsia" w:ascii="宋体" w:hAnsi="宋体" w:cs="宋体"/>
                <w:szCs w:val="21"/>
              </w:rPr>
            </w:pPr>
          </w:p>
        </w:tc>
        <w:tc>
          <w:tcPr>
            <w:tcW w:w="1026" w:type="dxa"/>
          </w:tcPr>
          <w:p>
            <w:pPr>
              <w:jc w:val="left"/>
              <w:rPr>
                <w:rFonts w:hint="eastAsia" w:ascii="宋体" w:hAnsi="宋体" w:cs="Arial"/>
                <w:szCs w:val="21"/>
              </w:rPr>
            </w:pPr>
            <w:r>
              <w:rPr>
                <w:rFonts w:hint="eastAsia" w:ascii="宋体" w:hAnsi="宋体" w:cs="Arial"/>
                <w:szCs w:val="21"/>
              </w:rPr>
              <w:t>7.4</w:t>
            </w:r>
          </w:p>
          <w:p>
            <w:pPr>
              <w:jc w:val="left"/>
              <w:rPr>
                <w:rFonts w:ascii="宋体" w:hAnsi="宋体" w:cs="宋体"/>
                <w:bCs/>
                <w:color w:val="000000"/>
                <w:spacing w:val="10"/>
                <w:sz w:val="22"/>
                <w:szCs w:val="22"/>
              </w:rPr>
            </w:pPr>
          </w:p>
        </w:tc>
        <w:tc>
          <w:tcPr>
            <w:tcW w:w="9898" w:type="dxa"/>
          </w:tcPr>
          <w:p>
            <w:pPr>
              <w:ind w:firstLine="420" w:firstLineChars="200"/>
              <w:jc w:val="left"/>
              <w:rPr>
                <w:rFonts w:hint="eastAsia"/>
              </w:rPr>
            </w:pPr>
            <w:r>
              <w:rPr>
                <w:rFonts w:hint="eastAsia"/>
              </w:rPr>
              <w:t>公司明确了内外部沟通的内容、途径、信息处理等要求。</w:t>
            </w:r>
          </w:p>
          <w:p>
            <w:pPr>
              <w:ind w:firstLine="420" w:firstLineChars="200"/>
              <w:jc w:val="left"/>
              <w:rPr>
                <w:rFonts w:hint="eastAsia"/>
              </w:rPr>
            </w:pPr>
            <w:r>
              <w:rPr>
                <w:rFonts w:hint="eastAsia"/>
              </w:rPr>
              <w:t>信息交流途径：例会、各部门内部会议、培训、电话通知、网络、培训、文件传递、内部OA、宣传栏等方式。</w:t>
            </w:r>
          </w:p>
          <w:p>
            <w:pPr>
              <w:ind w:firstLine="420" w:firstLineChars="200"/>
              <w:jc w:val="left"/>
              <w:rPr>
                <w:rFonts w:hint="eastAsia"/>
              </w:rPr>
            </w:pPr>
            <w:r>
              <w:rPr>
                <w:rFonts w:hint="eastAsia"/>
              </w:rPr>
              <w:t>接收外部信息的形式有：顾客满意调查表、审核结果、各种信件、新闻、书刊杂志、网络。</w:t>
            </w:r>
          </w:p>
          <w:p>
            <w:pPr>
              <w:ind w:firstLine="420" w:firstLineChars="200"/>
              <w:jc w:val="left"/>
              <w:rPr>
                <w:rFonts w:hint="eastAsia"/>
              </w:rPr>
            </w:pPr>
            <w:r>
              <w:rPr>
                <w:rFonts w:hint="eastAsia"/>
              </w:rPr>
              <w:t>对外交流信息方式有：环保安全要求、调查表、书面报告、协议书或合同等。</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jc w:val="left"/>
              <w:rPr>
                <w:rFonts w:hint="eastAsia" w:ascii="宋体" w:hAnsi="宋体" w:cs="宋体"/>
                <w:szCs w:val="21"/>
              </w:rPr>
            </w:pPr>
            <w:r>
              <w:rPr>
                <w:rFonts w:hint="eastAsia" w:ascii="宋体" w:hAnsi="宋体" w:cs="宋体"/>
                <w:szCs w:val="21"/>
              </w:rPr>
              <w:t>管理评审</w:t>
            </w:r>
          </w:p>
          <w:p>
            <w:pPr>
              <w:jc w:val="left"/>
            </w:pPr>
          </w:p>
        </w:tc>
        <w:tc>
          <w:tcPr>
            <w:tcW w:w="1026" w:type="dxa"/>
          </w:tcPr>
          <w:p>
            <w:pPr>
              <w:jc w:val="left"/>
              <w:rPr>
                <w:rFonts w:hint="eastAsia" w:ascii="宋体" w:hAnsi="宋体" w:cs="Arial"/>
                <w:szCs w:val="21"/>
              </w:rPr>
            </w:pPr>
            <w:r>
              <w:rPr>
                <w:rFonts w:hint="eastAsia" w:ascii="宋体" w:hAnsi="宋体" w:cs="Arial"/>
                <w:szCs w:val="21"/>
              </w:rPr>
              <w:t xml:space="preserve">9.3 </w:t>
            </w:r>
          </w:p>
          <w:p>
            <w:pPr>
              <w:jc w:val="left"/>
              <w:rPr>
                <w:rFonts w:ascii="宋体" w:hAnsi="宋体" w:cs="宋体"/>
                <w:color w:val="000000"/>
                <w:sz w:val="22"/>
                <w:szCs w:val="22"/>
              </w:rPr>
            </w:pPr>
          </w:p>
        </w:tc>
        <w:tc>
          <w:tcPr>
            <w:tcW w:w="9898" w:type="dxa"/>
            <w:vAlign w:val="center"/>
          </w:tcPr>
          <w:p>
            <w:pPr>
              <w:ind w:firstLine="420" w:firstLineChars="200"/>
              <w:jc w:val="left"/>
              <w:rPr>
                <w:rFonts w:hint="eastAsia"/>
              </w:rPr>
            </w:pPr>
            <w:r>
              <w:rPr>
                <w:rFonts w:hint="eastAsia"/>
              </w:rPr>
              <w:t>公司制定并实施《管理评审控制程序》，管理评审每年进行一次，由总经理根据实际需要决定是否增加管理评审的频次。</w:t>
            </w:r>
          </w:p>
          <w:p>
            <w:pPr>
              <w:ind w:firstLine="420" w:firstLineChars="200"/>
              <w:jc w:val="left"/>
              <w:rPr>
                <w:rFonts w:hint="eastAsia"/>
              </w:rPr>
            </w:pPr>
            <w:r>
              <w:rPr>
                <w:rFonts w:hint="eastAsia"/>
              </w:rPr>
              <w:t>提供了202</w:t>
            </w:r>
            <w:r>
              <w:rPr>
                <w:rFonts w:hint="eastAsia"/>
                <w:lang w:val="en-US" w:eastAsia="zh-CN"/>
              </w:rPr>
              <w:t>2</w:t>
            </w:r>
            <w:r>
              <w:rPr>
                <w:rFonts w:hint="eastAsia"/>
              </w:rPr>
              <w:t>年公司管理评审活动资料如下：</w:t>
            </w:r>
          </w:p>
          <w:p>
            <w:pPr>
              <w:ind w:firstLine="420" w:firstLineChars="200"/>
              <w:jc w:val="left"/>
              <w:rPr>
                <w:rFonts w:hint="eastAsia"/>
              </w:rPr>
            </w:pPr>
            <w:r>
              <w:rPr>
                <w:rFonts w:hint="eastAsia"/>
              </w:rPr>
              <w:t>1）查见公司《管理评审计划》，批准人：丁飞，计划编制时间：202</w:t>
            </w:r>
            <w:r>
              <w:rPr>
                <w:rFonts w:hint="eastAsia"/>
                <w:lang w:val="en-US" w:eastAsia="zh-CN"/>
              </w:rPr>
              <w:t>2</w:t>
            </w:r>
            <w:r>
              <w:rPr>
                <w:rFonts w:hint="eastAsia"/>
              </w:rPr>
              <w:t>年</w:t>
            </w:r>
            <w:r>
              <w:rPr>
                <w:rFonts w:hint="eastAsia"/>
                <w:lang w:val="en-US" w:eastAsia="zh-CN"/>
              </w:rPr>
              <w:t>10</w:t>
            </w:r>
            <w:r>
              <w:rPr>
                <w:rFonts w:hint="eastAsia"/>
              </w:rPr>
              <w:t>月1</w:t>
            </w:r>
            <w:r>
              <w:rPr>
                <w:rFonts w:hint="eastAsia"/>
                <w:lang w:val="en-US" w:eastAsia="zh-CN"/>
              </w:rPr>
              <w:t>3</w:t>
            </w:r>
            <w:r>
              <w:rPr>
                <w:rFonts w:hint="eastAsia"/>
              </w:rPr>
              <w:t>日。</w:t>
            </w:r>
          </w:p>
          <w:p>
            <w:pPr>
              <w:ind w:firstLine="420" w:firstLineChars="200"/>
              <w:jc w:val="left"/>
              <w:rPr>
                <w:rFonts w:hint="eastAsia"/>
              </w:rPr>
            </w:pPr>
            <w:r>
              <w:rPr>
                <w:rFonts w:hint="eastAsia"/>
              </w:rPr>
              <w:t>计划评审时间：202</w:t>
            </w:r>
            <w:r>
              <w:rPr>
                <w:rFonts w:hint="eastAsia"/>
                <w:lang w:val="en-US" w:eastAsia="zh-CN"/>
              </w:rPr>
              <w:t>2</w:t>
            </w:r>
            <w:r>
              <w:rPr>
                <w:rFonts w:hint="eastAsia"/>
              </w:rPr>
              <w:t>年1</w:t>
            </w:r>
            <w:r>
              <w:rPr>
                <w:rFonts w:hint="eastAsia"/>
                <w:lang w:val="en-US" w:eastAsia="zh-CN"/>
              </w:rPr>
              <w:t>0</w:t>
            </w:r>
            <w:r>
              <w:rPr>
                <w:rFonts w:hint="eastAsia"/>
              </w:rPr>
              <w:t>月</w:t>
            </w:r>
            <w:r>
              <w:rPr>
                <w:rFonts w:hint="eastAsia"/>
                <w:lang w:val="en-US" w:eastAsia="zh-CN"/>
              </w:rPr>
              <w:t>2</w:t>
            </w:r>
            <w:r>
              <w:rPr>
                <w:rFonts w:hint="eastAsia"/>
              </w:rPr>
              <w:t>0日；</w:t>
            </w:r>
          </w:p>
          <w:p>
            <w:pPr>
              <w:ind w:firstLine="420" w:firstLineChars="200"/>
              <w:jc w:val="left"/>
              <w:rPr>
                <w:rFonts w:hint="eastAsia"/>
              </w:rPr>
            </w:pPr>
            <w:r>
              <w:rPr>
                <w:rFonts w:hint="eastAsia"/>
              </w:rPr>
              <w:t>明确评审目的、评审内容、评审地点、安排要求，参加人员：总经理、管理者代表、各部门负责人及其他相关人员；</w:t>
            </w:r>
          </w:p>
          <w:p>
            <w:pPr>
              <w:ind w:firstLine="420" w:firstLineChars="200"/>
              <w:jc w:val="left"/>
              <w:rPr>
                <w:rFonts w:hint="eastAsia"/>
              </w:rPr>
            </w:pPr>
          </w:p>
          <w:p>
            <w:pPr>
              <w:ind w:firstLine="420" w:firstLineChars="200"/>
              <w:jc w:val="left"/>
              <w:rPr>
                <w:rFonts w:hint="eastAsia"/>
              </w:rPr>
            </w:pPr>
            <w:r>
              <w:rPr>
                <w:rFonts w:hint="eastAsia"/>
              </w:rPr>
              <w:drawing>
                <wp:anchor distT="0" distB="0" distL="114300" distR="114300" simplePos="0" relativeHeight="251660288" behindDoc="0" locked="0" layoutInCell="1" allowOverlap="1">
                  <wp:simplePos x="0" y="0"/>
                  <wp:positionH relativeFrom="column">
                    <wp:posOffset>1100455</wp:posOffset>
                  </wp:positionH>
                  <wp:positionV relativeFrom="paragraph">
                    <wp:posOffset>42545</wp:posOffset>
                  </wp:positionV>
                  <wp:extent cx="3286125" cy="2676525"/>
                  <wp:effectExtent l="0" t="0" r="9525"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286125" cy="2676525"/>
                          </a:xfrm>
                          <a:prstGeom prst="rect">
                            <a:avLst/>
                          </a:prstGeom>
                          <a:noFill/>
                          <a:ln>
                            <a:noFill/>
                          </a:ln>
                        </pic:spPr>
                      </pic:pic>
                    </a:graphicData>
                  </a:graphic>
                </wp:anchor>
              </w:drawing>
            </w: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r>
              <w:rPr>
                <w:rFonts w:hint="eastAsia"/>
              </w:rPr>
              <w:t>2）管理评审输入：各部门管理评审资料运行情况。</w:t>
            </w:r>
          </w:p>
          <w:p>
            <w:pPr>
              <w:ind w:firstLine="420" w:firstLineChars="200"/>
              <w:jc w:val="left"/>
              <w:rPr>
                <w:rFonts w:hint="eastAsia"/>
              </w:rPr>
            </w:pPr>
            <w:r>
              <w:rPr>
                <w:rFonts w:hint="eastAsia"/>
              </w:rPr>
              <w:t>3）查 有《管理评审报告》：</w:t>
            </w:r>
          </w:p>
          <w:p>
            <w:pPr>
              <w:ind w:firstLine="420" w:firstLineChars="200"/>
              <w:jc w:val="left"/>
              <w:rPr>
                <w:rFonts w:hint="eastAsia"/>
              </w:rPr>
            </w:pPr>
            <w:r>
              <w:rPr>
                <w:rFonts w:hint="eastAsia"/>
              </w:rPr>
              <w:t>主持人：公司总经理丁飞</w:t>
            </w:r>
          </w:p>
          <w:p>
            <w:pPr>
              <w:ind w:firstLine="420" w:firstLineChars="200"/>
              <w:jc w:val="left"/>
              <w:rPr>
                <w:rFonts w:hint="eastAsia"/>
              </w:rPr>
            </w:pPr>
            <w:r>
              <w:rPr>
                <w:rFonts w:hint="eastAsia"/>
              </w:rPr>
              <w:t>评审结论：</w:t>
            </w:r>
          </w:p>
          <w:p>
            <w:pPr>
              <w:ind w:firstLine="420" w:firstLineChars="200"/>
              <w:jc w:val="left"/>
              <w:rPr>
                <w:rFonts w:hint="eastAsia"/>
              </w:rPr>
            </w:pPr>
            <w:r>
              <w:rPr>
                <w:rFonts w:hint="eastAsia"/>
              </w:rPr>
              <w:t>公司按照GB/T 19001-2016、GB/T 24001-2016、GB/T 45001-2020标准保持实施了符合本公司实际的管理体系，体系是持续适宜的、充分的和有效的。基本能够得到持续实施和保持。方针、目标和指标是适宜的，正在通过体系的运行不断实现。</w:t>
            </w:r>
          </w:p>
          <w:p>
            <w:pPr>
              <w:ind w:firstLine="420" w:firstLineChars="200"/>
              <w:jc w:val="left"/>
              <w:rPr>
                <w:rFonts w:hint="eastAsia"/>
                <w:lang w:eastAsia="zh-CN"/>
              </w:rPr>
            </w:pPr>
            <w:r>
              <w:rPr>
                <w:rFonts w:hint="eastAsia"/>
              </w:rPr>
              <w:t>通过本次管理评审，确保了方针、目标和管理体系持续的适宜性、充分性和有效性，达到了持续改进的目的</w:t>
            </w:r>
            <w:r>
              <w:rPr>
                <w:rFonts w:hint="eastAsia"/>
                <w:lang w:eastAsia="zh-CN"/>
              </w:rPr>
              <w:t>。</w:t>
            </w:r>
          </w:p>
          <w:p>
            <w:pPr>
              <w:ind w:firstLine="420" w:firstLineChars="200"/>
              <w:jc w:val="left"/>
              <w:rPr>
                <w:rFonts w:hint="eastAsia"/>
              </w:rPr>
            </w:pP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2" w:type="dxa"/>
          </w:tcPr>
          <w:p>
            <w:pPr>
              <w:jc w:val="left"/>
              <w:rPr>
                <w:rFonts w:hint="eastAsia" w:ascii="宋体" w:hAnsi="宋体" w:cs="宋体"/>
                <w:szCs w:val="21"/>
              </w:rPr>
            </w:pPr>
            <w:r>
              <w:rPr>
                <w:rFonts w:hint="eastAsia" w:ascii="宋体" w:hAnsi="宋体" w:cs="宋体"/>
                <w:szCs w:val="21"/>
              </w:rPr>
              <w:t>改进—总则</w:t>
            </w:r>
          </w:p>
        </w:tc>
        <w:tc>
          <w:tcPr>
            <w:tcW w:w="1026" w:type="dxa"/>
          </w:tcPr>
          <w:p>
            <w:pPr>
              <w:jc w:val="left"/>
              <w:rPr>
                <w:rFonts w:hint="eastAsia" w:ascii="宋体" w:hAnsi="宋体" w:cs="Arial"/>
                <w:szCs w:val="21"/>
              </w:rPr>
            </w:pPr>
            <w:r>
              <w:rPr>
                <w:rFonts w:hint="eastAsia" w:ascii="宋体" w:hAnsi="宋体" w:cs="Arial"/>
                <w:szCs w:val="21"/>
              </w:rPr>
              <w:t>10.1</w:t>
            </w:r>
          </w:p>
        </w:tc>
        <w:tc>
          <w:tcPr>
            <w:tcW w:w="9898" w:type="dxa"/>
          </w:tcPr>
          <w:p>
            <w:pPr>
              <w:ind w:firstLine="420" w:firstLineChars="200"/>
              <w:jc w:val="left"/>
              <w:rPr>
                <w:rFonts w:hint="eastAsia"/>
              </w:rPr>
            </w:pPr>
            <w:r>
              <w:rPr>
                <w:rFonts w:hint="eastAsia"/>
              </w:rPr>
              <w:t>公司管理体系方针、目标指标、内部审核、管理评审、不合格和纠正措施各项要求得到落实，相关管理活动得到有效开展，体现了持续改进的要求及改进销售服务活动来满足未来的需要和期望。</w:t>
            </w:r>
          </w:p>
          <w:p>
            <w:pPr>
              <w:ind w:firstLine="420" w:firstLineChars="200"/>
              <w:jc w:val="left"/>
              <w:rPr>
                <w:rFonts w:hint="eastAsia"/>
              </w:rPr>
            </w:pPr>
            <w:r>
              <w:rPr>
                <w:rFonts w:hint="eastAsia"/>
              </w:rPr>
              <w:t>公司考虑了分析、评价结果及管理评审的输出，并确定了对存在应关注的持续改进的需求和机遇。</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142" w:type="dxa"/>
          </w:tcPr>
          <w:p>
            <w:pPr>
              <w:jc w:val="left"/>
              <w:rPr>
                <w:rFonts w:hint="eastAsia" w:ascii="宋体" w:hAnsi="宋体" w:cs="宋体"/>
                <w:szCs w:val="21"/>
              </w:rPr>
            </w:pPr>
            <w:r>
              <w:rPr>
                <w:rFonts w:hint="eastAsia" w:ascii="宋体" w:hAnsi="宋体" w:cs="宋体"/>
                <w:szCs w:val="21"/>
              </w:rPr>
              <w:t>持续改进</w:t>
            </w:r>
          </w:p>
        </w:tc>
        <w:tc>
          <w:tcPr>
            <w:tcW w:w="1026" w:type="dxa"/>
          </w:tcPr>
          <w:p>
            <w:pPr>
              <w:jc w:val="left"/>
              <w:rPr>
                <w:rFonts w:hint="eastAsia" w:ascii="宋体" w:hAnsi="宋体" w:cs="Arial"/>
                <w:szCs w:val="21"/>
              </w:rPr>
            </w:pPr>
            <w:r>
              <w:rPr>
                <w:rFonts w:hint="eastAsia" w:ascii="宋体" w:hAnsi="宋体" w:cs="Arial"/>
                <w:szCs w:val="21"/>
              </w:rPr>
              <w:t>10.3</w:t>
            </w:r>
          </w:p>
          <w:p>
            <w:pPr>
              <w:jc w:val="left"/>
              <w:rPr>
                <w:rFonts w:hint="eastAsia" w:ascii="宋体" w:hAnsi="宋体" w:cs="Arial"/>
                <w:szCs w:val="21"/>
              </w:rPr>
            </w:pPr>
          </w:p>
        </w:tc>
        <w:tc>
          <w:tcPr>
            <w:tcW w:w="9898" w:type="dxa"/>
            <w:vAlign w:val="center"/>
          </w:tcPr>
          <w:p>
            <w:pPr>
              <w:ind w:firstLine="420" w:firstLineChars="200"/>
              <w:jc w:val="left"/>
              <w:rPr>
                <w:rFonts w:hint="eastAsia"/>
              </w:rPr>
            </w:pPr>
            <w:r>
              <w:rPr>
                <w:rFonts w:hint="eastAsia"/>
              </w:rPr>
              <w:t>公司利用管理方针、目标、内审和外审、数据分析、纠正和预防措施以及管理评审，识别任何改进的机会，持续改进管理体系的适宜性、充分性和有效性。</w:t>
            </w:r>
          </w:p>
          <w:p>
            <w:pPr>
              <w:ind w:firstLine="420" w:firstLineChars="200"/>
              <w:jc w:val="left"/>
              <w:rPr>
                <w:rFonts w:hint="eastAsia"/>
              </w:rPr>
            </w:pPr>
            <w:r>
              <w:rPr>
                <w:rFonts w:hint="eastAsia"/>
              </w:rPr>
              <w:t>公司组织确定并选择改进机会，采取了必要措施，以满足顾客要求和增强顾客满意。</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142" w:type="dxa"/>
          </w:tcPr>
          <w:p>
            <w:pPr>
              <w:jc w:val="left"/>
              <w:rPr>
                <w:rFonts w:hint="eastAsia" w:ascii="宋体" w:hAnsi="宋体" w:cs="宋体"/>
                <w:szCs w:val="21"/>
              </w:rPr>
            </w:pPr>
            <w:r>
              <w:rPr>
                <w:rFonts w:hint="eastAsia" w:ascii="宋体" w:hAnsi="宋体" w:cs="宋体"/>
                <w:szCs w:val="21"/>
              </w:rPr>
              <w:t>资质验证</w:t>
            </w:r>
          </w:p>
        </w:tc>
        <w:tc>
          <w:tcPr>
            <w:tcW w:w="1026" w:type="dxa"/>
          </w:tcPr>
          <w:p>
            <w:pPr>
              <w:ind w:firstLine="880" w:firstLineChars="400"/>
              <w:jc w:val="left"/>
              <w:rPr>
                <w:rFonts w:ascii="宋体" w:hAnsi="宋体" w:cs="宋体"/>
                <w:color w:val="000000"/>
                <w:sz w:val="22"/>
                <w:szCs w:val="22"/>
              </w:rPr>
            </w:pPr>
          </w:p>
        </w:tc>
        <w:tc>
          <w:tcPr>
            <w:tcW w:w="9898" w:type="dxa"/>
            <w:vAlign w:val="center"/>
          </w:tcPr>
          <w:p>
            <w:pPr>
              <w:ind w:firstLine="420" w:firstLineChars="200"/>
              <w:jc w:val="left"/>
              <w:rPr>
                <w:rFonts w:hint="eastAsia"/>
              </w:rPr>
            </w:pPr>
            <w:r>
              <w:rPr>
                <w:rFonts w:hint="eastAsia"/>
              </w:rPr>
              <w:t>公司提供的营业执照在有效期内，公司油气回收在线监测系统防爆产品合格证，气体腰轮流量计防爆产品合格证在有效期内。</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42" w:type="dxa"/>
          </w:tcPr>
          <w:p>
            <w:pPr>
              <w:jc w:val="left"/>
              <w:rPr>
                <w:rFonts w:hint="eastAsia" w:ascii="宋体" w:hAnsi="宋体" w:cs="宋体"/>
                <w:szCs w:val="21"/>
              </w:rPr>
            </w:pPr>
            <w:r>
              <w:rPr>
                <w:rFonts w:hint="eastAsia" w:ascii="宋体" w:hAnsi="宋体" w:cs="宋体"/>
                <w:szCs w:val="21"/>
                <w:lang w:val="en-US" w:eastAsia="zh-CN"/>
              </w:rPr>
              <w:t>事件、</w:t>
            </w:r>
            <w:r>
              <w:rPr>
                <w:rFonts w:hint="eastAsia" w:ascii="宋体" w:hAnsi="宋体" w:cs="宋体"/>
                <w:szCs w:val="21"/>
              </w:rPr>
              <w:t>事故</w:t>
            </w:r>
          </w:p>
        </w:tc>
        <w:tc>
          <w:tcPr>
            <w:tcW w:w="1026" w:type="dxa"/>
          </w:tcPr>
          <w:p>
            <w:pPr>
              <w:ind w:firstLine="880" w:firstLineChars="400"/>
              <w:jc w:val="left"/>
              <w:rPr>
                <w:rFonts w:ascii="宋体" w:hAnsi="宋体" w:cs="宋体"/>
                <w:color w:val="000000"/>
                <w:sz w:val="22"/>
                <w:szCs w:val="22"/>
              </w:rPr>
            </w:pPr>
          </w:p>
        </w:tc>
        <w:tc>
          <w:tcPr>
            <w:tcW w:w="9898" w:type="dxa"/>
            <w:vAlign w:val="center"/>
          </w:tcPr>
          <w:p>
            <w:pPr>
              <w:ind w:firstLine="420" w:firstLineChars="200"/>
              <w:jc w:val="left"/>
              <w:rPr>
                <w:rFonts w:hint="eastAsia"/>
              </w:rPr>
            </w:pPr>
            <w:r>
              <w:rPr>
                <w:rFonts w:hint="eastAsia"/>
              </w:rPr>
              <w:t>公司</w:t>
            </w:r>
            <w:r>
              <w:rPr>
                <w:rFonts w:hint="eastAsia"/>
                <w:lang w:val="en-US" w:eastAsia="zh-CN"/>
              </w:rPr>
              <w:t>近一年</w:t>
            </w:r>
            <w:r>
              <w:rPr>
                <w:rFonts w:hint="eastAsia"/>
              </w:rPr>
              <w:t>来，未发生</w:t>
            </w:r>
            <w:r>
              <w:rPr>
                <w:rFonts w:hint="eastAsia"/>
                <w:lang w:val="en-US" w:eastAsia="zh-CN"/>
              </w:rPr>
              <w:t>严重</w:t>
            </w:r>
            <w:r>
              <w:rPr>
                <w:rFonts w:hint="eastAsia"/>
              </w:rPr>
              <w:t>事故</w:t>
            </w:r>
            <w:r>
              <w:rPr>
                <w:rFonts w:hint="eastAsia"/>
                <w:lang w:eastAsia="zh-CN"/>
              </w:rPr>
              <w:t>，</w:t>
            </w:r>
            <w:r>
              <w:rPr>
                <w:rFonts w:hint="eastAsia"/>
                <w:lang w:val="en-US" w:eastAsia="zh-CN"/>
              </w:rPr>
              <w:t>无环境和职业健康安全事件</w:t>
            </w:r>
            <w:r>
              <w:rPr>
                <w:rFonts w:hint="eastAsia"/>
              </w:rPr>
              <w:t>。</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2142" w:type="dxa"/>
          </w:tcPr>
          <w:p>
            <w:pPr>
              <w:jc w:val="left"/>
              <w:rPr>
                <w:rFonts w:hint="eastAsia" w:ascii="宋体" w:hAnsi="宋体" w:cs="宋体"/>
                <w:szCs w:val="21"/>
              </w:rPr>
            </w:pPr>
            <w:r>
              <w:rPr>
                <w:rFonts w:hint="eastAsia" w:ascii="宋体" w:hAnsi="宋体" w:cs="宋体"/>
                <w:szCs w:val="21"/>
              </w:rPr>
              <w:t>顾客满意、相关方投诉处理</w:t>
            </w:r>
          </w:p>
        </w:tc>
        <w:tc>
          <w:tcPr>
            <w:tcW w:w="1026" w:type="dxa"/>
          </w:tcPr>
          <w:p>
            <w:pPr>
              <w:ind w:firstLine="880" w:firstLineChars="400"/>
              <w:jc w:val="left"/>
              <w:rPr>
                <w:rFonts w:ascii="宋体" w:hAnsi="宋体" w:cs="宋体"/>
                <w:color w:val="000000"/>
                <w:sz w:val="22"/>
                <w:szCs w:val="22"/>
              </w:rPr>
            </w:pPr>
          </w:p>
        </w:tc>
        <w:tc>
          <w:tcPr>
            <w:tcW w:w="9898" w:type="dxa"/>
            <w:vAlign w:val="center"/>
          </w:tcPr>
          <w:p>
            <w:pPr>
              <w:ind w:firstLine="420" w:firstLineChars="200"/>
              <w:jc w:val="left"/>
              <w:rPr>
                <w:rFonts w:hint="eastAsia"/>
              </w:rPr>
            </w:pPr>
            <w:r>
              <w:rPr>
                <w:rFonts w:hint="eastAsia"/>
              </w:rPr>
              <w:t>近年来未发生顾客及相关方投诉情况，日常顾客反馈意见或建议已及时处理。</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tcPr>
          <w:p>
            <w:pPr>
              <w:jc w:val="left"/>
              <w:rPr>
                <w:rFonts w:hint="eastAsia" w:ascii="宋体" w:hAnsi="宋体" w:cs="宋体"/>
                <w:szCs w:val="21"/>
              </w:rPr>
            </w:pPr>
            <w:r>
              <w:rPr>
                <w:rFonts w:hint="eastAsia" w:ascii="宋体" w:hAnsi="宋体" w:cs="宋体"/>
                <w:szCs w:val="21"/>
              </w:rPr>
              <w:t>主管部门抽查情况</w:t>
            </w:r>
          </w:p>
        </w:tc>
        <w:tc>
          <w:tcPr>
            <w:tcW w:w="1026" w:type="dxa"/>
          </w:tcPr>
          <w:p>
            <w:pPr>
              <w:ind w:firstLine="880" w:firstLineChars="400"/>
              <w:jc w:val="left"/>
              <w:rPr>
                <w:rFonts w:ascii="宋体" w:hAnsi="宋体" w:cs="宋体"/>
                <w:color w:val="000000"/>
                <w:sz w:val="22"/>
                <w:szCs w:val="22"/>
              </w:rPr>
            </w:pPr>
          </w:p>
        </w:tc>
        <w:tc>
          <w:tcPr>
            <w:tcW w:w="9898" w:type="dxa"/>
            <w:vAlign w:val="center"/>
          </w:tcPr>
          <w:p>
            <w:pPr>
              <w:ind w:firstLine="420" w:firstLineChars="200"/>
              <w:jc w:val="left"/>
              <w:rPr>
                <w:rFonts w:hint="eastAsia"/>
              </w:rPr>
            </w:pPr>
            <w:r>
              <w:rPr>
                <w:rFonts w:hint="eastAsia"/>
              </w:rPr>
              <w:t>上级主管部门本年度监督抽查</w:t>
            </w:r>
            <w:r>
              <w:rPr>
                <w:rFonts w:hint="eastAsia"/>
                <w:lang w:val="en-US" w:eastAsia="zh-CN"/>
              </w:rPr>
              <w:t>无严重问题</w:t>
            </w:r>
            <w:r>
              <w:rPr>
                <w:rFonts w:hint="eastAsia"/>
              </w:rPr>
              <w:t>。</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142" w:type="dxa"/>
          </w:tcPr>
          <w:p>
            <w:pPr>
              <w:jc w:val="left"/>
              <w:rPr>
                <w:rFonts w:hint="eastAsia" w:ascii="宋体" w:hAnsi="宋体" w:cs="宋体"/>
                <w:szCs w:val="21"/>
              </w:rPr>
            </w:pPr>
            <w:r>
              <w:rPr>
                <w:rFonts w:hint="eastAsia" w:ascii="宋体" w:hAnsi="宋体" w:cs="宋体"/>
                <w:szCs w:val="21"/>
              </w:rPr>
              <w:t>标准、规范执行、遵纪守法情况</w:t>
            </w:r>
          </w:p>
        </w:tc>
        <w:tc>
          <w:tcPr>
            <w:tcW w:w="1026" w:type="dxa"/>
          </w:tcPr>
          <w:p>
            <w:pPr>
              <w:ind w:firstLine="880" w:firstLineChars="400"/>
              <w:jc w:val="left"/>
              <w:rPr>
                <w:rFonts w:ascii="宋体" w:hAnsi="宋体" w:cs="宋体"/>
                <w:color w:val="000000"/>
                <w:sz w:val="22"/>
                <w:szCs w:val="22"/>
              </w:rPr>
            </w:pPr>
          </w:p>
        </w:tc>
        <w:tc>
          <w:tcPr>
            <w:tcW w:w="9898" w:type="dxa"/>
            <w:vAlign w:val="center"/>
          </w:tcPr>
          <w:p>
            <w:pPr>
              <w:ind w:firstLine="420" w:firstLineChars="200"/>
              <w:jc w:val="left"/>
              <w:rPr>
                <w:rFonts w:hint="eastAsia"/>
              </w:rPr>
            </w:pPr>
            <w:r>
              <w:rPr>
                <w:rFonts w:hint="eastAsia"/>
              </w:rPr>
              <w:t>目前公司经营过程中没有发生违反适用法律法规及其他要求的情况。</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42" w:type="dxa"/>
          </w:tcPr>
          <w:p>
            <w:pPr>
              <w:jc w:val="left"/>
              <w:rPr>
                <w:rFonts w:hint="eastAsia" w:ascii="宋体" w:hAnsi="宋体" w:cs="宋体"/>
                <w:szCs w:val="21"/>
              </w:rPr>
            </w:pPr>
            <w:r>
              <w:rPr>
                <w:rFonts w:hint="eastAsia" w:ascii="宋体" w:hAnsi="宋体" w:cs="宋体"/>
                <w:szCs w:val="21"/>
                <w:lang w:val="en-US" w:eastAsia="zh-CN"/>
              </w:rPr>
              <w:t>上次</w:t>
            </w:r>
            <w:r>
              <w:rPr>
                <w:rFonts w:hint="eastAsia" w:ascii="宋体" w:hAnsi="宋体" w:cs="宋体"/>
                <w:szCs w:val="21"/>
              </w:rPr>
              <w:t>问题的验证</w:t>
            </w:r>
          </w:p>
        </w:tc>
        <w:tc>
          <w:tcPr>
            <w:tcW w:w="1026" w:type="dxa"/>
          </w:tcPr>
          <w:p>
            <w:pPr>
              <w:ind w:firstLine="880" w:firstLineChars="400"/>
              <w:jc w:val="left"/>
              <w:rPr>
                <w:rFonts w:ascii="宋体" w:hAnsi="宋体" w:cs="宋体"/>
                <w:color w:val="000000"/>
                <w:sz w:val="22"/>
                <w:szCs w:val="22"/>
              </w:rPr>
            </w:pPr>
          </w:p>
        </w:tc>
        <w:tc>
          <w:tcPr>
            <w:tcW w:w="9898" w:type="dxa"/>
            <w:vAlign w:val="center"/>
          </w:tcPr>
          <w:p>
            <w:pPr>
              <w:ind w:firstLine="420" w:firstLineChars="200"/>
              <w:jc w:val="left"/>
              <w:rPr>
                <w:rFonts w:hint="eastAsia"/>
              </w:rPr>
            </w:pPr>
            <w:r>
              <w:rPr>
                <w:rFonts w:hint="eastAsia"/>
              </w:rPr>
              <w:t>上次审核提出的问题项，已经得到有效整改</w:t>
            </w:r>
            <w:r>
              <w:rPr>
                <w:rFonts w:hint="eastAsia"/>
                <w:lang w:eastAsia="zh-CN"/>
              </w:rPr>
              <w:t>，</w:t>
            </w:r>
            <w:r>
              <w:rPr>
                <w:rFonts w:hint="eastAsia"/>
                <w:lang w:val="en-US" w:eastAsia="zh-CN"/>
              </w:rPr>
              <w:t>无类似问题</w:t>
            </w:r>
            <w:r>
              <w:rPr>
                <w:rFonts w:hint="eastAsia"/>
              </w:rPr>
              <w:t>。</w:t>
            </w:r>
          </w:p>
        </w:tc>
        <w:tc>
          <w:tcPr>
            <w:tcW w:w="1572"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42" w:type="dxa"/>
          </w:tcPr>
          <w:p>
            <w:pPr>
              <w:jc w:val="left"/>
              <w:rPr>
                <w:rFonts w:hint="default" w:ascii="宋体" w:hAnsi="宋体" w:cs="宋体"/>
                <w:szCs w:val="21"/>
                <w:lang w:val="en-US" w:eastAsia="zh-CN"/>
              </w:rPr>
            </w:pPr>
            <w:r>
              <w:rPr>
                <w:rFonts w:hint="eastAsia" w:ascii="宋体" w:hAnsi="宋体" w:cs="宋体"/>
                <w:szCs w:val="21"/>
                <w:lang w:val="en-US" w:eastAsia="zh-CN"/>
              </w:rPr>
              <w:t>证书、标志使用</w:t>
            </w:r>
          </w:p>
        </w:tc>
        <w:tc>
          <w:tcPr>
            <w:tcW w:w="1026" w:type="dxa"/>
          </w:tcPr>
          <w:p>
            <w:pPr>
              <w:ind w:firstLine="880" w:firstLineChars="400"/>
              <w:jc w:val="left"/>
              <w:rPr>
                <w:rFonts w:ascii="宋体" w:hAnsi="宋体" w:cs="宋体"/>
                <w:color w:val="000000"/>
                <w:sz w:val="22"/>
                <w:szCs w:val="22"/>
              </w:rPr>
            </w:pPr>
          </w:p>
        </w:tc>
        <w:tc>
          <w:tcPr>
            <w:tcW w:w="9898" w:type="dxa"/>
            <w:vAlign w:val="center"/>
          </w:tcPr>
          <w:p>
            <w:pPr>
              <w:ind w:firstLine="420" w:firstLineChars="200"/>
              <w:jc w:val="left"/>
              <w:rPr>
                <w:rFonts w:hint="default"/>
                <w:lang w:val="en-US" w:eastAsia="zh-CN"/>
              </w:rPr>
            </w:pPr>
            <w:r>
              <w:rPr>
                <w:rFonts w:hint="eastAsia"/>
                <w:lang w:val="en-US" w:eastAsia="zh-CN"/>
              </w:rPr>
              <w:t>证书用于公司宣传，主要用于招投标，标志暂无使用</w:t>
            </w:r>
          </w:p>
        </w:tc>
        <w:tc>
          <w:tcPr>
            <w:tcW w:w="1572" w:type="dxa"/>
          </w:tcPr>
          <w:p>
            <w:pPr>
              <w:jc w:val="center"/>
            </w:pPr>
            <w:r>
              <w:rPr>
                <w:rFonts w:hint="eastAsia"/>
              </w:rPr>
              <w:t>OK</w:t>
            </w:r>
          </w:p>
        </w:tc>
      </w:tr>
    </w:tbl>
    <w:p>
      <w:pPr>
        <w:pStyle w:val="6"/>
        <w:spacing w:before="156" w:beforeLines="50" w:line="480" w:lineRule="auto"/>
        <w:ind w:firstLine="360" w:firstLineChars="200"/>
      </w:pPr>
      <w:r>
        <w:rPr>
          <w:rFonts w:hint="eastAsia"/>
        </w:rPr>
        <w:t>说明：不符合标注N。</w:t>
      </w:r>
    </w:p>
    <w:sectPr>
      <w:headerReference r:id="rId3" w:type="default"/>
      <w:footerReference r:id="rId4" w:type="default"/>
      <w:pgSz w:w="16838" w:h="11906" w:orient="landscape"/>
      <w:pgMar w:top="1418" w:right="1134" w:bottom="1418" w:left="1134" w:header="907"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EndPr>
      <w:rPr>
        <w:rFonts w:asciiTheme="minorEastAsia" w:hAnsiTheme="minorEastAsia" w:eastAsiaTheme="minorEastAsia"/>
      </w:rPr>
    </w:sdtEndPr>
    <w:sdtContent>
      <w:sdt>
        <w:sdtPr>
          <w:id w:val="171357217"/>
        </w:sdtPr>
        <w:sdtEndPr>
          <w:rPr>
            <w:rFonts w:asciiTheme="minorEastAsia" w:hAnsiTheme="minorEastAsia" w:eastAsiaTheme="minorEastAsia"/>
          </w:rPr>
        </w:sdtEndPr>
        <w:sdtContent>
          <w:p>
            <w:pPr>
              <w:pStyle w:val="6"/>
              <w:jc w:val="center"/>
              <w:rPr>
                <w:rFonts w:asciiTheme="minorEastAsia" w:hAnsiTheme="minorEastAsia" w:eastAsiaTheme="minorEastAsia"/>
              </w:rPr>
            </w:pPr>
            <w:r>
              <w:rPr>
                <w:rFonts w:asciiTheme="minorEastAsia" w:hAnsiTheme="minorEastAsia" w:eastAsiaTheme="minorEastAsia"/>
                <w:b/>
              </w:rPr>
              <w:fldChar w:fldCharType="begin"/>
            </w:r>
            <w:r>
              <w:rPr>
                <w:rFonts w:asciiTheme="minorEastAsia" w:hAnsiTheme="minorEastAsia" w:eastAsiaTheme="minorEastAsia"/>
                <w:b/>
              </w:rPr>
              <w:instrText xml:space="preserve">PAGE</w:instrText>
            </w:r>
            <w:r>
              <w:rPr>
                <w:rFonts w:asciiTheme="minorEastAsia" w:hAnsiTheme="minorEastAsia" w:eastAsiaTheme="minorEastAsia"/>
                <w:b/>
              </w:rPr>
              <w:fldChar w:fldCharType="separate"/>
            </w:r>
            <w:r>
              <w:rPr>
                <w:rFonts w:asciiTheme="minorEastAsia" w:hAnsiTheme="minorEastAsia" w:eastAsiaTheme="minorEastAsia"/>
                <w:b/>
              </w:rPr>
              <w:t>8</w:t>
            </w:r>
            <w:r>
              <w:rPr>
                <w:rFonts w:asciiTheme="minorEastAsia" w:hAnsiTheme="minorEastAsia" w:eastAsiaTheme="minorEastAsia"/>
                <w:b/>
              </w:rPr>
              <w:fldChar w:fldCharType="end"/>
            </w:r>
            <w:r>
              <w:rPr>
                <w:rFonts w:asciiTheme="minorEastAsia" w:hAnsiTheme="minorEastAsia" w:eastAsiaTheme="minorEastAsia"/>
                <w:lang w:val="zh-CN"/>
              </w:rPr>
              <w:t xml:space="preserve"> / </w:t>
            </w:r>
            <w:r>
              <w:rPr>
                <w:rFonts w:asciiTheme="minorEastAsia" w:hAnsiTheme="minorEastAsia" w:eastAsiaTheme="minorEastAsia"/>
                <w:b/>
              </w:rPr>
              <w:fldChar w:fldCharType="begin"/>
            </w:r>
            <w:r>
              <w:rPr>
                <w:rFonts w:asciiTheme="minorEastAsia" w:hAnsiTheme="minorEastAsia" w:eastAsiaTheme="minorEastAsia"/>
                <w:b/>
              </w:rPr>
              <w:instrText xml:space="preserve">NUMPAGES</w:instrText>
            </w:r>
            <w:r>
              <w:rPr>
                <w:rFonts w:asciiTheme="minorEastAsia" w:hAnsiTheme="minorEastAsia" w:eastAsiaTheme="minorEastAsia"/>
                <w:b/>
              </w:rPr>
              <w:fldChar w:fldCharType="separate"/>
            </w:r>
            <w:r>
              <w:rPr>
                <w:rFonts w:asciiTheme="minorEastAsia" w:hAnsiTheme="minorEastAsia" w:eastAsiaTheme="minorEastAsia"/>
                <w:b/>
              </w:rPr>
              <w:t>8</w:t>
            </w:r>
            <w:r>
              <w:rPr>
                <w:rFonts w:asciiTheme="minorEastAsia" w:hAnsiTheme="minorEastAsia" w:eastAsiaTheme="minorEastAsia"/>
                <w:b/>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bookmarkStart w:id="4" w:name="_GoBack"/>
    <w:bookmarkEnd w:id="4"/>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D2472"/>
    <w:multiLevelType w:val="singleLevel"/>
    <w:tmpl w:val="C7AD2472"/>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VjOWY5MmIxZGI2NTJmOGI5Yzg2MzEwNzA4OWE1NDUifQ=="/>
  </w:docVars>
  <w:rsids>
    <w:rsidRoot w:val="001C4E11"/>
    <w:rsid w:val="000128A9"/>
    <w:rsid w:val="00017E5E"/>
    <w:rsid w:val="000C7CC1"/>
    <w:rsid w:val="00127ABB"/>
    <w:rsid w:val="0013035C"/>
    <w:rsid w:val="00155879"/>
    <w:rsid w:val="0017051F"/>
    <w:rsid w:val="001A779B"/>
    <w:rsid w:val="001C4E11"/>
    <w:rsid w:val="00210973"/>
    <w:rsid w:val="00237030"/>
    <w:rsid w:val="002454C3"/>
    <w:rsid w:val="00246C61"/>
    <w:rsid w:val="00287916"/>
    <w:rsid w:val="002C7B73"/>
    <w:rsid w:val="002D3947"/>
    <w:rsid w:val="002D5226"/>
    <w:rsid w:val="002D5F8B"/>
    <w:rsid w:val="002E0A09"/>
    <w:rsid w:val="002E5F39"/>
    <w:rsid w:val="002E7EC8"/>
    <w:rsid w:val="002F35C1"/>
    <w:rsid w:val="002F64CC"/>
    <w:rsid w:val="00300A56"/>
    <w:rsid w:val="003034F2"/>
    <w:rsid w:val="0030662B"/>
    <w:rsid w:val="0031218D"/>
    <w:rsid w:val="00324ABC"/>
    <w:rsid w:val="00425CF3"/>
    <w:rsid w:val="00434840"/>
    <w:rsid w:val="00452469"/>
    <w:rsid w:val="004653DB"/>
    <w:rsid w:val="0048522D"/>
    <w:rsid w:val="00495000"/>
    <w:rsid w:val="004D621A"/>
    <w:rsid w:val="004E26FA"/>
    <w:rsid w:val="00507C75"/>
    <w:rsid w:val="00507E5D"/>
    <w:rsid w:val="005264FF"/>
    <w:rsid w:val="00536912"/>
    <w:rsid w:val="00536CF1"/>
    <w:rsid w:val="00541DCC"/>
    <w:rsid w:val="00557A0F"/>
    <w:rsid w:val="0056166D"/>
    <w:rsid w:val="0058239F"/>
    <w:rsid w:val="005C5B90"/>
    <w:rsid w:val="005E33C4"/>
    <w:rsid w:val="005E3CF4"/>
    <w:rsid w:val="005F2DEA"/>
    <w:rsid w:val="00602F0A"/>
    <w:rsid w:val="006354D5"/>
    <w:rsid w:val="00663480"/>
    <w:rsid w:val="0067421A"/>
    <w:rsid w:val="00674E7F"/>
    <w:rsid w:val="00681366"/>
    <w:rsid w:val="006E1008"/>
    <w:rsid w:val="006E6E43"/>
    <w:rsid w:val="007177FF"/>
    <w:rsid w:val="00721532"/>
    <w:rsid w:val="00734709"/>
    <w:rsid w:val="00734B05"/>
    <w:rsid w:val="007B1CFC"/>
    <w:rsid w:val="007E04D6"/>
    <w:rsid w:val="007F1FA3"/>
    <w:rsid w:val="007F4889"/>
    <w:rsid w:val="00837CC4"/>
    <w:rsid w:val="00863027"/>
    <w:rsid w:val="0088026E"/>
    <w:rsid w:val="008868B7"/>
    <w:rsid w:val="008A0BA5"/>
    <w:rsid w:val="008B22F8"/>
    <w:rsid w:val="008B48A3"/>
    <w:rsid w:val="008B5985"/>
    <w:rsid w:val="008E0955"/>
    <w:rsid w:val="008F6003"/>
    <w:rsid w:val="008F6652"/>
    <w:rsid w:val="00946861"/>
    <w:rsid w:val="00951263"/>
    <w:rsid w:val="009812F9"/>
    <w:rsid w:val="009A0D0E"/>
    <w:rsid w:val="009A23B1"/>
    <w:rsid w:val="009A438D"/>
    <w:rsid w:val="009F0522"/>
    <w:rsid w:val="00A01B50"/>
    <w:rsid w:val="00A351B0"/>
    <w:rsid w:val="00A35606"/>
    <w:rsid w:val="00A523B9"/>
    <w:rsid w:val="00A60518"/>
    <w:rsid w:val="00AE271D"/>
    <w:rsid w:val="00BB7587"/>
    <w:rsid w:val="00C00230"/>
    <w:rsid w:val="00C308EC"/>
    <w:rsid w:val="00C34982"/>
    <w:rsid w:val="00C3663B"/>
    <w:rsid w:val="00C53C49"/>
    <w:rsid w:val="00C546D9"/>
    <w:rsid w:val="00CB543D"/>
    <w:rsid w:val="00CC66C9"/>
    <w:rsid w:val="00CD3508"/>
    <w:rsid w:val="00CD69B3"/>
    <w:rsid w:val="00CF75B9"/>
    <w:rsid w:val="00D04BE2"/>
    <w:rsid w:val="00D71DD2"/>
    <w:rsid w:val="00D93048"/>
    <w:rsid w:val="00DC191D"/>
    <w:rsid w:val="00DD3685"/>
    <w:rsid w:val="00DD66F0"/>
    <w:rsid w:val="00DE2FBC"/>
    <w:rsid w:val="00DF1D8B"/>
    <w:rsid w:val="00E07E23"/>
    <w:rsid w:val="00E90641"/>
    <w:rsid w:val="00E93D54"/>
    <w:rsid w:val="00ED74A0"/>
    <w:rsid w:val="00F37C45"/>
    <w:rsid w:val="00F64A73"/>
    <w:rsid w:val="00FA2C17"/>
    <w:rsid w:val="00FE06FF"/>
    <w:rsid w:val="00FF0953"/>
    <w:rsid w:val="02264473"/>
    <w:rsid w:val="031B300F"/>
    <w:rsid w:val="050253E3"/>
    <w:rsid w:val="0524581C"/>
    <w:rsid w:val="053716F6"/>
    <w:rsid w:val="05FA4BFE"/>
    <w:rsid w:val="06C25032"/>
    <w:rsid w:val="0D136775"/>
    <w:rsid w:val="0D203FEB"/>
    <w:rsid w:val="0DC6565A"/>
    <w:rsid w:val="0DE81954"/>
    <w:rsid w:val="0F743BC2"/>
    <w:rsid w:val="0FB1365B"/>
    <w:rsid w:val="110F163A"/>
    <w:rsid w:val="1214337E"/>
    <w:rsid w:val="13FC4407"/>
    <w:rsid w:val="144B052E"/>
    <w:rsid w:val="14B775E0"/>
    <w:rsid w:val="16192089"/>
    <w:rsid w:val="17575502"/>
    <w:rsid w:val="1A3A4363"/>
    <w:rsid w:val="1A70250F"/>
    <w:rsid w:val="1A9538E9"/>
    <w:rsid w:val="1D342403"/>
    <w:rsid w:val="1D453AD5"/>
    <w:rsid w:val="1E665380"/>
    <w:rsid w:val="1FCC3F47"/>
    <w:rsid w:val="1FF70EBC"/>
    <w:rsid w:val="21AE5C79"/>
    <w:rsid w:val="22480C15"/>
    <w:rsid w:val="23837162"/>
    <w:rsid w:val="23D22A8E"/>
    <w:rsid w:val="25D54AB7"/>
    <w:rsid w:val="265459C7"/>
    <w:rsid w:val="273146F3"/>
    <w:rsid w:val="2A12193E"/>
    <w:rsid w:val="2C964A50"/>
    <w:rsid w:val="2D3C541C"/>
    <w:rsid w:val="2F351D54"/>
    <w:rsid w:val="2F4E3A2F"/>
    <w:rsid w:val="309E498E"/>
    <w:rsid w:val="30CC0AB2"/>
    <w:rsid w:val="310B2561"/>
    <w:rsid w:val="31F7520E"/>
    <w:rsid w:val="336727E9"/>
    <w:rsid w:val="33BA5EAF"/>
    <w:rsid w:val="35A11615"/>
    <w:rsid w:val="35BB76A9"/>
    <w:rsid w:val="35E46651"/>
    <w:rsid w:val="363D286C"/>
    <w:rsid w:val="37396506"/>
    <w:rsid w:val="3838194A"/>
    <w:rsid w:val="398C3287"/>
    <w:rsid w:val="3BE24383"/>
    <w:rsid w:val="3C184D10"/>
    <w:rsid w:val="3C200C06"/>
    <w:rsid w:val="3D57169A"/>
    <w:rsid w:val="3D8E5391"/>
    <w:rsid w:val="3FDA7EEC"/>
    <w:rsid w:val="410320E1"/>
    <w:rsid w:val="41F84F3C"/>
    <w:rsid w:val="45626999"/>
    <w:rsid w:val="45B256F5"/>
    <w:rsid w:val="46204C66"/>
    <w:rsid w:val="468561C2"/>
    <w:rsid w:val="47A17442"/>
    <w:rsid w:val="47BF33B2"/>
    <w:rsid w:val="4A5015E0"/>
    <w:rsid w:val="4BBE6A82"/>
    <w:rsid w:val="4C59349D"/>
    <w:rsid w:val="4E0137E6"/>
    <w:rsid w:val="518F0859"/>
    <w:rsid w:val="538A6632"/>
    <w:rsid w:val="544B1705"/>
    <w:rsid w:val="55616AAB"/>
    <w:rsid w:val="55676C71"/>
    <w:rsid w:val="556B01A6"/>
    <w:rsid w:val="567333AD"/>
    <w:rsid w:val="573E2EB7"/>
    <w:rsid w:val="57507B1B"/>
    <w:rsid w:val="57D73840"/>
    <w:rsid w:val="589F66DB"/>
    <w:rsid w:val="5A117EF1"/>
    <w:rsid w:val="5AFA2561"/>
    <w:rsid w:val="5B76666A"/>
    <w:rsid w:val="5CAA4098"/>
    <w:rsid w:val="5D6A41D1"/>
    <w:rsid w:val="5E7B3341"/>
    <w:rsid w:val="60372E6A"/>
    <w:rsid w:val="617A6D27"/>
    <w:rsid w:val="61A22D98"/>
    <w:rsid w:val="629B5D4F"/>
    <w:rsid w:val="63C830D7"/>
    <w:rsid w:val="64B90146"/>
    <w:rsid w:val="66AC6B93"/>
    <w:rsid w:val="66E76BB1"/>
    <w:rsid w:val="67C16A56"/>
    <w:rsid w:val="69144407"/>
    <w:rsid w:val="694B2F19"/>
    <w:rsid w:val="6B923E7E"/>
    <w:rsid w:val="6C47479E"/>
    <w:rsid w:val="6CE80D3E"/>
    <w:rsid w:val="6D3E606B"/>
    <w:rsid w:val="6DF01B57"/>
    <w:rsid w:val="6F260365"/>
    <w:rsid w:val="6FF37ED6"/>
    <w:rsid w:val="701470DA"/>
    <w:rsid w:val="702419F0"/>
    <w:rsid w:val="708E10B8"/>
    <w:rsid w:val="70F4367F"/>
    <w:rsid w:val="718977DE"/>
    <w:rsid w:val="718D5D77"/>
    <w:rsid w:val="736564CD"/>
    <w:rsid w:val="74E1676F"/>
    <w:rsid w:val="785D6228"/>
    <w:rsid w:val="7899296C"/>
    <w:rsid w:val="7B30422E"/>
    <w:rsid w:val="7C8D65EB"/>
    <w:rsid w:val="7D1649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4988</Words>
  <Characters>5245</Characters>
  <Lines>39</Lines>
  <Paragraphs>11</Paragraphs>
  <TotalTime>0</TotalTime>
  <ScaleCrop>false</ScaleCrop>
  <LinksUpToDate>false</LinksUpToDate>
  <CharactersWithSpaces>5302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2023-01-11T12:28:45Z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C401502A590C480B8F479ACF3A135FD6</vt:lpwstr>
  </property>
</Properties>
</file>