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17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17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财务部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何英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吴静萍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17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明利红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0" w:name="审核日期"/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年1月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日 </w:t>
            </w:r>
            <w:bookmarkEnd w:id="0"/>
          </w:p>
        </w:tc>
        <w:tc>
          <w:tcPr>
            <w:tcW w:w="157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17" w:type="dxa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审核条款：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EMS：5.3组织的角色、职责和权限;； 6.2目标及其达成的策划；6.1.2环境因素；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8.1运行策划和控制；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EMS运行控制相关财务支出证据。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8.2应急准备和响应；</w:t>
            </w:r>
          </w:p>
          <w:p>
            <w:r>
              <w:rPr>
                <w:rFonts w:hint="eastAsia" w:ascii="宋体" w:hAnsi="宋体" w:cs="新宋体"/>
                <w:sz w:val="21"/>
                <w:szCs w:val="21"/>
              </w:rPr>
              <w:t xml:space="preserve">OHSMS：5.3组织的角色、职责和权限;； 6.2目标及其达成的策划；6.1.2危险源辨识和职业安全风险评价；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8.1运行策划和控制；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OHS</w:t>
            </w:r>
            <w:r>
              <w:rPr>
                <w:rFonts w:hint="eastAsia" w:ascii="宋体" w:hAnsi="宋体" w:cs="新宋体"/>
                <w:sz w:val="21"/>
                <w:szCs w:val="21"/>
              </w:rPr>
              <w:t>运行控制相关财务支出证据。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8.2应急准备和响应；</w:t>
            </w:r>
          </w:p>
        </w:tc>
        <w:tc>
          <w:tcPr>
            <w:tcW w:w="157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120" w:type="dxa"/>
            <w:gridSpan w:val="2"/>
            <w:vAlign w:val="top"/>
          </w:tcPr>
          <w:p>
            <w:r>
              <w:rPr>
                <w:rFonts w:hint="eastAsia"/>
                <w:lang w:val="en-US" w:eastAsia="zh-CN"/>
              </w:rPr>
              <w:t>远程审核采用的方式</w:t>
            </w:r>
          </w:p>
        </w:tc>
        <w:tc>
          <w:tcPr>
            <w:tcW w:w="10017" w:type="dxa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网络微信群、微信视频、电话等</w:t>
            </w:r>
            <w:r>
              <w:rPr>
                <w:rFonts w:hint="eastAsia" w:cs="Times New Roman"/>
                <w:lang w:val="en-US" w:eastAsia="zh-CN"/>
              </w:rPr>
              <w:t>微信视频文件传输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微信群：2022年攀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枝花恒瑞公司审核认证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审核员：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明利红 手机号：13368090815 微信号</w:t>
            </w:r>
            <w:r>
              <w:rPr>
                <w:rFonts w:hint="eastAsia" w:cs="Times New Roman"/>
                <w:lang w:val="en-US" w:eastAsia="zh-CN"/>
              </w:rPr>
              <w:t>同步</w:t>
            </w:r>
          </w:p>
          <w:p>
            <w:pPr>
              <w:pStyle w:val="2"/>
            </w:pPr>
            <w:r>
              <w:rPr>
                <w:rFonts w:hint="eastAsia" w:cs="Times New Roman"/>
                <w:lang w:val="en-US" w:eastAsia="zh-CN"/>
              </w:rPr>
              <w:t>审核员：任秀梅  手机号：</w:t>
            </w:r>
            <w:r>
              <w:rPr>
                <w:sz w:val="20"/>
                <w:lang w:val="de-DE"/>
              </w:rPr>
              <w:t>18152420788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微信号</w:t>
            </w:r>
            <w:r>
              <w:rPr>
                <w:rFonts w:hint="eastAsia" w:cs="Times New Roman"/>
                <w:lang w:val="en-US" w:eastAsia="zh-CN"/>
              </w:rPr>
              <w:t>同步</w:t>
            </w:r>
          </w:p>
        </w:tc>
        <w:tc>
          <w:tcPr>
            <w:tcW w:w="1572" w:type="dxa"/>
            <w:vAlign w:val="top"/>
          </w:tcPr>
          <w:p>
            <w:r>
              <w:rPr>
                <w:rFonts w:hint="eastAsia"/>
                <w:lang w:val="en-US" w:eastAsia="zh-CN"/>
              </w:rPr>
              <w:t>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询查部门及人员的职责和权限，是否与规定一致？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QES5.3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17" w:type="dxa"/>
            <w:vAlign w:val="center"/>
          </w:tcPr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查《管理手册》中的职能分配表和手册中规定：对职能部门和各类人员的职责和权限做了规定，同时制定了管理制度及职责汇编，通过对《管理手册》及管理制度及职责汇编等管理文件的发布，使各部门及岗位的职责和权限在公司内得到沟通，符合规定要求。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——负责公司财务相关事宜。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——遵守财务纪律，建立健全各项财务管理制度并履行财务的各项规定，保障公司资金的安全；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——抓好各项应收账款的核算工作，督促经办部门限期清理；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——按公司的财务制度规定，做好各种款项的拨付与结算工作、核报符合公司开支范围与标准的费用、发放员工的工资及奖金；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——保障公司各类会计凭证的合法性和完整性；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——负责公司的税务筹划与税收优惠政策的申报；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——负责提供年度财务报告及对数据的准确性负责。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-----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识别本部门存在的环境因素、危险源，做好本部门运行控制；</w:t>
            </w:r>
          </w:p>
          <w:p>
            <w:pPr>
              <w:numPr>
                <w:ilvl w:val="3"/>
                <w:numId w:val="0"/>
              </w:numPr>
              <w:spacing w:line="360" w:lineRule="auto"/>
              <w:ind w:firstLine="420" w:firstLineChars="200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财务部负责人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沟通，对本部门的主要工作及部门员工的职责和权限比较了解，基本符合。</w:t>
            </w:r>
          </w:p>
        </w:tc>
        <w:tc>
          <w:tcPr>
            <w:tcW w:w="1572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目标及其实现的策划总要求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QES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6.2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017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hAnsi="宋体"/>
                <w:bCs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查见部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门环境、安全目标、指标和管理文件；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办公区废弃物分类回收及处置率100%；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测量方法：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固废分类合规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处置次数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/固废分类发生的总次数*100%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auto"/>
                <w:szCs w:val="21"/>
              </w:rPr>
              <w:t>完成</w:t>
            </w:r>
            <w:r>
              <w:rPr>
                <w:rFonts w:hint="eastAsia" w:ascii="宋体" w:hAnsi="宋体"/>
                <w:color w:val="000000"/>
                <w:szCs w:val="21"/>
              </w:rPr>
              <w:t>情况：100%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火灾事故发生率为0；实际完成情况为0；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新宋体-18030"/>
                <w:szCs w:val="21"/>
              </w:rPr>
              <w:t>目标</w:t>
            </w:r>
            <w:r>
              <w:rPr>
                <w:rFonts w:hint="eastAsia" w:ascii="宋体" w:hAnsi="宋体"/>
                <w:color w:val="000000"/>
                <w:szCs w:val="21"/>
              </w:rPr>
              <w:t>基本可测。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查见3-4季度；目标已完成；</w:t>
            </w:r>
            <w:r>
              <w:rPr>
                <w:rFonts w:hint="eastAsia" w:ascii="宋体" w:hAnsi="宋体"/>
                <w:color w:val="000000"/>
                <w:szCs w:val="21"/>
              </w:rPr>
              <w:t>但测量方法明确。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查见《环境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、安全管理</w:t>
            </w:r>
            <w:r>
              <w:rPr>
                <w:rFonts w:hint="eastAsia" w:ascii="宋体" w:hAnsi="宋体"/>
                <w:color w:val="000000"/>
                <w:szCs w:val="21"/>
              </w:rPr>
              <w:t>目标、指标及管理方案》，针对目标指标制定环境管理方案2项。即：控制火灾事故管理方案；固体废弃物控制环境管理方案；明确了措施方法、计划进度、责任部门、控制部门、资金预算等。基本符合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要求。 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420" w:leftChars="0" w:hanging="420" w:firstLineChars="0"/>
            </w:pP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提供有公司《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职业健康安全目标指标管理方案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》、《环境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目标指标管理方案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》，内容包括目标、指标、管理方案（措施）、完成进度、责任部门等。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 xml:space="preserve">询问管理方案的内容已经落实，执行情况良好。 </w:t>
            </w:r>
          </w:p>
        </w:tc>
        <w:tc>
          <w:tcPr>
            <w:tcW w:w="1572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60" w:type="dxa"/>
            <w:vAlign w:val="top"/>
          </w:tcPr>
          <w:p>
            <w:pPr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u w:val="none"/>
              </w:rPr>
              <w:t>环境因素/危险源的辨识与评价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ES6.1.2</w:t>
            </w:r>
          </w:p>
        </w:tc>
        <w:tc>
          <w:tcPr>
            <w:tcW w:w="10017" w:type="dxa"/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-查“环境因素识别评价表（办公区域）”编审批齐全，按活动区域识别环境因数，抽查如下：</w:t>
            </w:r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抽环境因素：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办公用纸的废弃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生活垃圾</w:t>
            </w:r>
            <w:r>
              <w:rPr>
                <w:rFonts w:hint="eastAsia" w:ascii="宋体" w:hAnsi="宋体"/>
                <w:szCs w:val="21"/>
              </w:rPr>
              <w:t>；判断结果：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一般环境因素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废墨盒等废弃物排放</w:t>
            </w:r>
            <w:r>
              <w:rPr>
                <w:rFonts w:hint="eastAsia" w:ascii="宋体" w:hAnsi="宋体"/>
                <w:szCs w:val="21"/>
              </w:rPr>
              <w:t>；判断结果：重要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环境因素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pStyle w:val="2"/>
              <w:ind w:firstLine="690" w:firstLineChars="30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办公区域线路老化因其火灾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烟头随意丢弃火灾</w:t>
            </w:r>
            <w:r>
              <w:rPr>
                <w:rFonts w:hint="eastAsia" w:ascii="宋体" w:hAnsi="宋体"/>
                <w:szCs w:val="21"/>
              </w:rPr>
              <w:t>；判断结果：重要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环境因素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日常办公水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电、能源资源</w:t>
            </w:r>
            <w:r>
              <w:rPr>
                <w:rFonts w:hint="eastAsia" w:ascii="宋体" w:hAnsi="宋体"/>
                <w:szCs w:val="21"/>
              </w:rPr>
              <w:t>的消耗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判定为一般环境因素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 w:firstLine="420" w:firstLineChars="200"/>
            </w:pPr>
            <w:r>
              <w:rPr>
                <w:rFonts w:hint="eastAsia" w:ascii="宋体" w:hAnsi="宋体"/>
                <w:szCs w:val="21"/>
              </w:rPr>
              <w:t>评价方法基本适宜，评价结果基本合理。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-查“重要环境因素清单”编审批齐全，识别的重要环境因素涉及本部门为办公固废、火灾事故为0，制订了管理措施进行控制。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-查“危 险 源 辨 识 评 价 表”</w:t>
            </w:r>
            <w:r>
              <w:rPr>
                <w:rFonts w:hint="eastAsia" w:ascii="宋体" w:hAnsi="宋体" w:eastAsia="宋体" w:cs="Times New Roman"/>
                <w:szCs w:val="21"/>
              </w:rPr>
              <w:t>共识</w:t>
            </w:r>
            <w:r>
              <w:rPr>
                <w:rFonts w:hint="eastAsia" w:ascii="宋体" w:hAnsi="宋体"/>
                <w:szCs w:val="21"/>
              </w:rPr>
              <w:t xml:space="preserve">别危险源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若干项</w:t>
            </w:r>
            <w:r>
              <w:rPr>
                <w:rFonts w:hint="eastAsia" w:ascii="宋体" w:hAnsi="宋体"/>
                <w:szCs w:val="21"/>
              </w:rPr>
              <w:t>。</w:t>
            </w:r>
            <w:r>
              <w:rPr>
                <w:rFonts w:hint="eastAsia"/>
                <w:lang w:val="en-US" w:eastAsia="zh-CN"/>
              </w:rPr>
              <w:t>编审批齐全，按作业活动识别潜在危险因素，抽查如下：</w:t>
            </w:r>
          </w:p>
          <w:p>
            <w:pPr>
              <w:pStyle w:val="2"/>
              <w:rPr>
                <w:rFonts w:hint="eastAsia" w:ascii="宋体" w:hAnsi="宋体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办公活动：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0"/>
              </w:rPr>
              <w:t>电线破损、线路老化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火灾、</w:t>
            </w: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触电/重要危险源；</w:t>
            </w:r>
            <w:r>
              <w:rPr>
                <w:rFonts w:hint="eastAsia" w:ascii="宋体" w:hAnsi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需整改；</w:t>
            </w:r>
          </w:p>
          <w:p>
            <w:pPr>
              <w:pStyle w:val="2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垃圾乱堆乱放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/传染病感染;一般危险源；需注意</w:t>
            </w:r>
          </w:p>
          <w:p>
            <w:pPr>
              <w:pStyle w:val="2"/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-查“不可接受风险清单(公司总清单)”共识别不可接受风险2项，涉及本部门的是火灾和触电，制订了相应的管理措施来进行控制。</w:t>
            </w:r>
          </w:p>
          <w:p>
            <w:pPr>
              <w:spacing w:line="360" w:lineRule="auto"/>
              <w:ind w:firstLine="465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环境因素、危险源识别评价基本合理，符合标准要求。</w:t>
            </w:r>
          </w:p>
        </w:tc>
        <w:tc>
          <w:tcPr>
            <w:tcW w:w="1572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运行控制</w:t>
            </w:r>
          </w:p>
          <w:p>
            <w:pPr>
              <w:pStyle w:val="2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环境、安全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运行控制财务支出证据。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EO8.1</w:t>
            </w:r>
          </w:p>
        </w:tc>
        <w:tc>
          <w:tcPr>
            <w:tcW w:w="10017" w:type="dxa"/>
            <w:vAlign w:val="center"/>
          </w:tcPr>
          <w:p>
            <w:pPr>
              <w:spacing w:line="360" w:lineRule="auto"/>
              <w:ind w:firstLine="46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通过远程视频和文件查看运行控制情况：</w:t>
            </w:r>
            <w:bookmarkStart w:id="1" w:name="_GoBack"/>
            <w:bookmarkEnd w:id="1"/>
          </w:p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工</w:t>
            </w:r>
            <w:r>
              <w:rPr>
                <w:rFonts w:hint="eastAsia" w:ascii="Times New Roman" w:hAnsi="Times New Roman" w:cs="Times New Roman"/>
              </w:rPr>
              <w:t>作时间平均每天不超过8小时，公司为员工</w:t>
            </w:r>
            <w:r>
              <w:rPr>
                <w:rFonts w:hint="eastAsia" w:ascii="Times New Roman" w:hAnsi="Times New Roman" w:cs="Times New Roman"/>
                <w:lang w:eastAsia="zh-CN"/>
              </w:rPr>
              <w:t>缴纳了保险。</w:t>
            </w:r>
          </w:p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2、</w:t>
            </w:r>
            <w:r>
              <w:rPr>
                <w:rFonts w:hint="eastAsia" w:ascii="Times New Roman" w:hAnsi="Times New Roman" w:cs="Times New Roman"/>
                <w:lang w:eastAsia="zh-CN"/>
              </w:rPr>
              <w:t>废水排放：主要是清洁和生活污水，用于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办公区</w:t>
            </w:r>
            <w:r>
              <w:rPr>
                <w:rFonts w:hint="eastAsia" w:ascii="Times New Roman" w:hAnsi="Times New Roman" w:cs="Times New Roman"/>
                <w:lang w:eastAsia="zh-CN"/>
              </w:rPr>
              <w:t>清洁抑尘洒扫，无外排；</w:t>
            </w:r>
          </w:p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3、</w:t>
            </w:r>
            <w:r>
              <w:rPr>
                <w:rFonts w:hint="eastAsia" w:ascii="Times New Roman" w:hAnsi="Times New Roman" w:cs="Times New Roman"/>
                <w:lang w:eastAsia="zh-CN"/>
              </w:rPr>
              <w:t>水电消耗：执行《节水、节电管理办法》，日常办公注意节水节电，不浪费；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4、</w:t>
            </w:r>
            <w:r>
              <w:rPr>
                <w:rFonts w:hint="eastAsia" w:ascii="Times New Roman" w:hAnsi="Times New Roman" w:cs="Times New Roman"/>
              </w:rPr>
              <w:t>触电控制：办公区均使用安全电器，灯具离地距离符合要求，</w:t>
            </w:r>
            <w:r>
              <w:rPr>
                <w:rFonts w:hint="eastAsia" w:ascii="Times New Roman" w:hAnsi="Times New Roman" w:cs="Times New Roman"/>
                <w:lang w:eastAsia="zh-CN"/>
              </w:rPr>
              <w:t>定期</w:t>
            </w:r>
            <w:r>
              <w:rPr>
                <w:rFonts w:hint="eastAsia" w:ascii="Times New Roman" w:hAnsi="Times New Roman" w:cs="Times New Roman"/>
              </w:rPr>
              <w:t>检查线路、灯具、电器等</w:t>
            </w:r>
            <w:r>
              <w:rPr>
                <w:rFonts w:hint="eastAsia"/>
              </w:rPr>
              <w:t>的安全性能，</w:t>
            </w:r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  <w:lang w:eastAsia="zh-CN"/>
              </w:rPr>
              <w:t>介绍，</w:t>
            </w:r>
            <w:r>
              <w:rPr>
                <w:rFonts w:hint="eastAsia"/>
              </w:rPr>
              <w:t>经常对员工进行安全用电知识宣贯，确保安全用电，无触电事故发生。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火灾控制：</w:t>
            </w:r>
            <w:r>
              <w:rPr>
                <w:rFonts w:hint="eastAsia"/>
                <w:lang w:eastAsia="zh-CN"/>
              </w:rPr>
              <w:t>办公区域</w:t>
            </w:r>
            <w:r>
              <w:rPr>
                <w:rFonts w:hint="eastAsia"/>
              </w:rPr>
              <w:t>配备了灭火器，</w:t>
            </w:r>
            <w:r>
              <w:rPr>
                <w:rFonts w:hint="eastAsia"/>
                <w:lang w:eastAsia="zh-CN"/>
              </w:rPr>
              <w:t>视频查看</w:t>
            </w:r>
            <w:r>
              <w:rPr>
                <w:rFonts w:hint="eastAsia"/>
              </w:rPr>
              <w:t>均在有效压力范围内。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 xml:space="preserve"> 办公过程产生的固废（如纸张、外包装等）按</w:t>
            </w:r>
            <w:r>
              <w:rPr>
                <w:rFonts w:hint="eastAsia"/>
                <w:lang w:val="en-US" w:eastAsia="zh-CN"/>
              </w:rPr>
              <w:t>综合部</w:t>
            </w:r>
            <w:r>
              <w:rPr>
                <w:rFonts w:hint="eastAsia"/>
              </w:rPr>
              <w:t>要求放到指定地点，现场无混放现象；生活办公垃圾按照规定放置指定区域</w:t>
            </w:r>
            <w:r>
              <w:rPr>
                <w:rFonts w:hint="eastAsia"/>
                <w:lang w:eastAsia="zh-CN"/>
              </w:rPr>
              <w:t>，交由</w:t>
            </w:r>
            <w:r>
              <w:rPr>
                <w:rFonts w:hint="eastAsia"/>
                <w:lang w:val="en-US" w:eastAsia="zh-CN"/>
              </w:rPr>
              <w:t>物业、</w:t>
            </w:r>
            <w:r>
              <w:rPr>
                <w:rFonts w:hint="eastAsia"/>
                <w:lang w:eastAsia="zh-CN"/>
              </w:rPr>
              <w:t>环卫统一处理</w:t>
            </w:r>
            <w:r>
              <w:rPr>
                <w:rFonts w:hint="eastAsia"/>
              </w:rPr>
              <w:t>。提供了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废弃物</w:t>
            </w:r>
            <w:r>
              <w:rPr>
                <w:rFonts w:hint="eastAsia"/>
                <w:lang w:eastAsia="zh-CN"/>
              </w:rPr>
              <w:t>分类</w:t>
            </w:r>
            <w:r>
              <w:rPr>
                <w:rFonts w:hint="eastAsia"/>
              </w:rPr>
              <w:t>处置记录》，打印纸、包装、纸箱等进行了变卖，</w:t>
            </w:r>
            <w:r>
              <w:rPr>
                <w:rFonts w:hint="eastAsia"/>
                <w:lang w:val="en-US" w:eastAsia="zh-CN"/>
              </w:rPr>
              <w:t>办公区域产生的</w:t>
            </w:r>
            <w:r>
              <w:rPr>
                <w:rFonts w:hint="eastAsia"/>
              </w:rPr>
              <w:t>废弃灯管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墨盒</w:t>
            </w:r>
            <w:r>
              <w:rPr>
                <w:rFonts w:hint="eastAsia"/>
              </w:rPr>
              <w:t>等交由厂家回收。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0" w:leftChars="0" w:hanging="420" w:firstLineChars="0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公司均按照国家要求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为员工</w:t>
            </w:r>
            <w:r>
              <w:rPr>
                <w:rFonts w:hint="eastAsia" w:ascii="宋体" w:hAnsi="宋体" w:eastAsia="宋体" w:cs="Arial"/>
                <w:szCs w:val="21"/>
              </w:rPr>
              <w:t>购买了五险。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公司能够出具给员工购买的五险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见202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9-10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公司给员工购买的五险完税证明清单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。购买费用：略。能够出示员工各种保险凭证、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员工工作服购买报销凭据、</w:t>
            </w:r>
            <w:r>
              <w:rPr>
                <w:rFonts w:hint="eastAsia" w:ascii="宋体" w:hAnsi="宋体" w:eastAsia="宋体" w:cs="Arial"/>
                <w:szCs w:val="21"/>
              </w:rPr>
              <w:t>员工劳保护品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公司安全标识费用明细以及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各种福利待遇等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资金费用明细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；</w:t>
            </w:r>
          </w:p>
          <w:p>
            <w:pPr>
              <w:pStyle w:val="2"/>
              <w:numPr>
                <w:ilvl w:val="0"/>
                <w:numId w:val="4"/>
              </w:numPr>
              <w:ind w:left="420" w:leftChars="0" w:hanging="42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公司按照环境安全资金投入计划进行环境安全资金投入使用。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环境安全资金使用能得到保证，符合要求。</w:t>
            </w:r>
          </w:p>
        </w:tc>
        <w:tc>
          <w:tcPr>
            <w:tcW w:w="1572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应急准备及响应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EO8.2</w:t>
            </w:r>
          </w:p>
        </w:tc>
        <w:tc>
          <w:tcPr>
            <w:tcW w:w="10017" w:type="dxa"/>
            <w:vAlign w:val="top"/>
          </w:tcPr>
          <w:p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编制了《消防演练计划表》，紧急情况有消防应急/触电预案演练等。</w:t>
            </w:r>
          </w:p>
          <w:p>
            <w:pPr>
              <w:numPr>
                <w:ilvl w:val="0"/>
                <w:numId w:val="4"/>
              </w:numPr>
              <w:ind w:left="420" w:leftChars="0" w:hanging="420" w:firstLineChars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部门参加了公司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2022.11.19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组织的火灾应急演练。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提供了演习记录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572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新宋体-18030">
    <w:altName w:val="宋体"/>
    <w:panose1 w:val="00000000000000000000"/>
    <w:charset w:val="86"/>
    <w:family w:val="swiss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6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6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F110C"/>
    <w:multiLevelType w:val="singleLevel"/>
    <w:tmpl w:val="57FF110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876EEE4"/>
    <w:multiLevelType w:val="singleLevel"/>
    <w:tmpl w:val="5876EE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87740BF"/>
    <w:multiLevelType w:val="singleLevel"/>
    <w:tmpl w:val="587740B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8AE4ADC"/>
    <w:multiLevelType w:val="singleLevel"/>
    <w:tmpl w:val="58AE4AD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51849A5"/>
    <w:rsid w:val="06EA4EB7"/>
    <w:rsid w:val="08CB2A51"/>
    <w:rsid w:val="091B59B2"/>
    <w:rsid w:val="09FA06AD"/>
    <w:rsid w:val="0ABF65E6"/>
    <w:rsid w:val="0C372639"/>
    <w:rsid w:val="0EC63DD5"/>
    <w:rsid w:val="0FF94348"/>
    <w:rsid w:val="101E043B"/>
    <w:rsid w:val="1054591C"/>
    <w:rsid w:val="16E318AE"/>
    <w:rsid w:val="181B0BD3"/>
    <w:rsid w:val="1DF8224F"/>
    <w:rsid w:val="20DC2935"/>
    <w:rsid w:val="226B3848"/>
    <w:rsid w:val="239B0C50"/>
    <w:rsid w:val="258B55EA"/>
    <w:rsid w:val="26DB7A5B"/>
    <w:rsid w:val="28D126FB"/>
    <w:rsid w:val="2DB95527"/>
    <w:rsid w:val="2DD726B4"/>
    <w:rsid w:val="3304486A"/>
    <w:rsid w:val="358E09E6"/>
    <w:rsid w:val="35CD7559"/>
    <w:rsid w:val="382407DB"/>
    <w:rsid w:val="39DB213E"/>
    <w:rsid w:val="3B47390A"/>
    <w:rsid w:val="40546490"/>
    <w:rsid w:val="457E20AD"/>
    <w:rsid w:val="479F1BF5"/>
    <w:rsid w:val="481334F1"/>
    <w:rsid w:val="4A26767A"/>
    <w:rsid w:val="4AC25A27"/>
    <w:rsid w:val="507865FA"/>
    <w:rsid w:val="51582419"/>
    <w:rsid w:val="53A76B9D"/>
    <w:rsid w:val="56627D10"/>
    <w:rsid w:val="58D5101E"/>
    <w:rsid w:val="5AD92379"/>
    <w:rsid w:val="617A2297"/>
    <w:rsid w:val="62095582"/>
    <w:rsid w:val="652237BE"/>
    <w:rsid w:val="69B8584F"/>
    <w:rsid w:val="6A507681"/>
    <w:rsid w:val="6BA276CB"/>
    <w:rsid w:val="6BE62DF8"/>
    <w:rsid w:val="749D7B1B"/>
    <w:rsid w:val="752554E8"/>
    <w:rsid w:val="75681007"/>
    <w:rsid w:val="75833089"/>
    <w:rsid w:val="75F360E6"/>
    <w:rsid w:val="78733574"/>
    <w:rsid w:val="78BA131D"/>
    <w:rsid w:val="78CA3B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spacing w:after="120"/>
    </w:pPr>
    <w:rPr>
      <w:szCs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lang w:val="en-US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2084</Words>
  <Characters>2199</Characters>
  <Lines>1</Lines>
  <Paragraphs>1</Paragraphs>
  <TotalTime>1</TotalTime>
  <ScaleCrop>false</ScaleCrop>
  <LinksUpToDate>false</LinksUpToDate>
  <CharactersWithSpaces>2230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mlh52058</cp:lastModifiedBy>
  <dcterms:modified xsi:type="dcterms:W3CDTF">2023-01-09T09:26:04Z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2052-11.1.0.12980</vt:lpwstr>
  </property>
</Properties>
</file>