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bookmarkStart w:id="2" w:name="_GoBack"/>
      <w:bookmarkEnd w:id="2"/>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sz w:val="24"/>
                <w:szCs w:val="24"/>
              </w:rPr>
              <w:t>受审核部门：</w:t>
            </w:r>
            <w:r>
              <w:rPr>
                <w:rFonts w:hint="eastAsia" w:ascii="宋体" w:hAnsi="宋体" w:cs="新宋体"/>
                <w:sz w:val="21"/>
                <w:szCs w:val="21"/>
                <w:lang w:val="en-US" w:eastAsia="zh-CN"/>
              </w:rPr>
              <w:t>运营部</w:t>
            </w:r>
            <w:r>
              <w:rPr>
                <w:rFonts w:hint="eastAsia"/>
                <w:sz w:val="24"/>
                <w:szCs w:val="24"/>
                <w:lang w:val="en-US" w:eastAsia="zh-CN"/>
              </w:rPr>
              <w:t xml:space="preserve">     </w:t>
            </w:r>
            <w:r>
              <w:rPr>
                <w:rFonts w:hint="eastAsia"/>
                <w:sz w:val="24"/>
                <w:szCs w:val="24"/>
              </w:rPr>
              <w:t>主管领导：</w:t>
            </w:r>
            <w:r>
              <w:rPr>
                <w:rFonts w:hint="eastAsia" w:ascii="宋体" w:hAnsi="宋体" w:eastAsia="宋体" w:cs="Times New Roman"/>
                <w:kern w:val="2"/>
                <w:sz w:val="24"/>
                <w:szCs w:val="24"/>
                <w:lang w:val="en-US" w:eastAsia="zh-CN" w:bidi="ar-SA"/>
              </w:rPr>
              <w:t>吴琼</w:t>
            </w:r>
            <w:r>
              <w:rPr>
                <w:rFonts w:hint="eastAsia"/>
                <w:sz w:val="24"/>
                <w:szCs w:val="24"/>
                <w:lang w:val="en-US" w:eastAsia="zh-CN"/>
              </w:rPr>
              <w:t xml:space="preserve">      </w:t>
            </w:r>
            <w:r>
              <w:rPr>
                <w:rFonts w:hint="eastAsia"/>
                <w:sz w:val="24"/>
                <w:szCs w:val="24"/>
              </w:rPr>
              <w:t>陪同人员：</w:t>
            </w:r>
            <w:r>
              <w:rPr>
                <w:rFonts w:hint="eastAsia" w:ascii="宋体" w:hAnsi="宋体" w:eastAsia="宋体" w:cs="Times New Roman"/>
                <w:kern w:val="2"/>
                <w:sz w:val="24"/>
                <w:szCs w:val="24"/>
                <w:lang w:val="en-US" w:eastAsia="zh-CN" w:bidi="ar-SA"/>
              </w:rPr>
              <w:t>吴琼</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default" w:eastAsia="宋体"/>
                <w:lang w:val="en-US" w:eastAsia="zh-CN"/>
              </w:rPr>
            </w:pPr>
            <w:r>
              <w:rPr>
                <w:rFonts w:hint="eastAsia"/>
                <w:sz w:val="24"/>
                <w:szCs w:val="24"/>
              </w:rPr>
              <w:t>审核员：</w:t>
            </w:r>
            <w:bookmarkStart w:id="0" w:name="审核组成员不含组长"/>
            <w:r>
              <w:rPr>
                <w:rFonts w:hint="eastAsia"/>
                <w:sz w:val="24"/>
                <w:szCs w:val="24"/>
              </w:rPr>
              <w:t>周文</w:t>
            </w:r>
            <w:bookmarkEnd w:id="0"/>
            <w:r>
              <w:rPr>
                <w:rFonts w:hint="eastAsia"/>
                <w:sz w:val="24"/>
                <w:szCs w:val="24"/>
                <w:lang w:val="en-US" w:eastAsia="zh-CN"/>
              </w:rPr>
              <w:t xml:space="preserve">/远程、微信       </w:t>
            </w:r>
            <w:r>
              <w:rPr>
                <w:rFonts w:hint="eastAsia"/>
                <w:sz w:val="24"/>
                <w:szCs w:val="24"/>
              </w:rPr>
              <w:t>审核时间：</w:t>
            </w:r>
            <w:bookmarkStart w:id="1" w:name="审核日期"/>
            <w:r>
              <w:t>202</w:t>
            </w:r>
            <w:r>
              <w:rPr>
                <w:rFonts w:hint="eastAsia"/>
                <w:lang w:val="en-US" w:eastAsia="zh-CN"/>
              </w:rPr>
              <w:t>3</w:t>
            </w:r>
            <w:r>
              <w:t>年</w:t>
            </w:r>
            <w:r>
              <w:rPr>
                <w:rFonts w:hint="eastAsia"/>
                <w:lang w:val="en-US" w:eastAsia="zh-CN"/>
              </w:rPr>
              <w:t xml:space="preserve">  1 </w:t>
            </w:r>
            <w:r>
              <w:t>月</w:t>
            </w:r>
            <w:r>
              <w:rPr>
                <w:rFonts w:hint="eastAsia"/>
                <w:lang w:val="en-US" w:eastAsia="zh-CN"/>
              </w:rPr>
              <w:t xml:space="preserve"> 7   </w:t>
            </w:r>
            <w:r>
              <w:t xml:space="preserve">日 </w:t>
            </w:r>
            <w:bookmarkEnd w:id="1"/>
            <w:r>
              <w:rPr>
                <w:rFonts w:hint="eastAsia"/>
                <w:lang w:val="en-US" w:eastAsia="zh-CN"/>
              </w:rPr>
              <w:t xml:space="preserve">   </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spacing w:line="300" w:lineRule="exact"/>
              <w:rPr>
                <w:rFonts w:hint="eastAsia" w:ascii="宋体" w:hAnsi="宋体"/>
                <w:b/>
                <w:bCs/>
                <w:sz w:val="21"/>
                <w:szCs w:val="21"/>
                <w:lang w:val="en-US" w:eastAsia="zh-CN"/>
              </w:rPr>
            </w:pPr>
            <w:r>
              <w:rPr>
                <w:rFonts w:hint="eastAsia"/>
                <w:sz w:val="24"/>
                <w:szCs w:val="24"/>
              </w:rPr>
              <w:t>审核条款：</w:t>
            </w:r>
          </w:p>
          <w:p>
            <w:pPr>
              <w:snapToGrid w:val="0"/>
              <w:spacing w:line="240" w:lineRule="exact"/>
              <w:rPr>
                <w:rFonts w:hint="default" w:eastAsia="宋体"/>
                <w:color w:val="auto"/>
                <w:highlight w:val="none"/>
                <w:lang w:val="en-US" w:eastAsia="zh-CN"/>
              </w:rPr>
            </w:pPr>
            <w:r>
              <w:rPr>
                <w:rFonts w:hint="eastAsia" w:ascii="宋体" w:hAnsi="宋体" w:cs="新宋体"/>
                <w:sz w:val="21"/>
                <w:szCs w:val="21"/>
              </w:rPr>
              <w:t>QMS：5.</w:t>
            </w:r>
            <w:r>
              <w:rPr>
                <w:rFonts w:hint="eastAsia" w:ascii="宋体" w:hAnsi="宋体" w:cs="新宋体"/>
                <w:color w:val="auto"/>
                <w:sz w:val="21"/>
                <w:szCs w:val="21"/>
                <w:highlight w:val="none"/>
              </w:rPr>
              <w:t>3组织的角色、职责和权限;； 6.2目标及其达成的策划；8.2产品和服务的要求8.4外部提供供方的控制；9.1.2顾客满意；9.1.1监测、分析和评价总则；</w:t>
            </w:r>
            <w:r>
              <w:rPr>
                <w:rFonts w:hint="eastAsia" w:ascii="宋体" w:hAnsi="宋体" w:cs="新宋体"/>
                <w:color w:val="auto"/>
                <w:sz w:val="21"/>
                <w:szCs w:val="21"/>
                <w:highlight w:val="none"/>
                <w:lang w:val="en-US" w:eastAsia="zh-CN"/>
              </w:rPr>
              <w:t>9.1.3</w:t>
            </w:r>
            <w:r>
              <w:rPr>
                <w:rFonts w:hint="eastAsia" w:ascii="宋体" w:hAnsi="宋体" w:eastAsia="宋体" w:cs="宋体"/>
                <w:color w:val="auto"/>
                <w:kern w:val="0"/>
                <w:sz w:val="21"/>
                <w:szCs w:val="21"/>
                <w:highlight w:val="none"/>
                <w:lang w:val="en-US" w:eastAsia="zh-CN" w:bidi="ar-SA"/>
              </w:rPr>
              <w:t>分析与评价</w:t>
            </w:r>
          </w:p>
          <w:p>
            <w:pPr>
              <w:snapToGrid w:val="0"/>
              <w:spacing w:line="240" w:lineRule="exact"/>
              <w:rPr>
                <w:rFonts w:hint="default" w:ascii="宋体" w:hAnsi="宋体" w:eastAsia="宋体" w:cs="新宋体"/>
                <w:color w:val="auto"/>
                <w:sz w:val="21"/>
                <w:szCs w:val="21"/>
                <w:highlight w:val="none"/>
                <w:lang w:val="en-US" w:eastAsia="zh-CN"/>
              </w:rPr>
            </w:pPr>
            <w:r>
              <w:rPr>
                <w:rFonts w:hint="eastAsia" w:ascii="宋体" w:hAnsi="宋体" w:cs="新宋体"/>
                <w:color w:val="auto"/>
                <w:sz w:val="21"/>
                <w:szCs w:val="21"/>
                <w:highlight w:val="none"/>
              </w:rPr>
              <w:t>EMS：5.3组织的角色、职责和权限;； 6.2目标及其达成的策划；6.1.2环境因素；</w:t>
            </w:r>
            <w:r>
              <w:rPr>
                <w:rFonts w:hint="eastAsia" w:ascii="宋体" w:hAnsi="宋体" w:eastAsia="宋体" w:cs="宋体"/>
                <w:color w:val="auto"/>
                <w:kern w:val="0"/>
                <w:sz w:val="21"/>
                <w:szCs w:val="21"/>
                <w:highlight w:val="none"/>
                <w:lang w:val="en-US" w:eastAsia="zh-CN" w:bidi="ar-SA"/>
              </w:rPr>
              <w:t>8.1运行策划和控制；8.2应急准备和响应；</w:t>
            </w:r>
          </w:p>
          <w:p>
            <w:pPr>
              <w:rPr>
                <w:sz w:val="24"/>
                <w:szCs w:val="24"/>
              </w:rPr>
            </w:pPr>
            <w:r>
              <w:rPr>
                <w:rFonts w:hint="eastAsia" w:ascii="宋体" w:hAnsi="宋体" w:cs="新宋体"/>
                <w:sz w:val="21"/>
                <w:szCs w:val="21"/>
              </w:rPr>
              <w:t xml:space="preserve">OHSMS：5.3组织的角色、职责和权限;； 6.2目标及其达成的策划；6.1.2危险源辨识和职业安全风险评价； </w:t>
            </w:r>
            <w:r>
              <w:rPr>
                <w:rFonts w:hint="eastAsia" w:ascii="宋体" w:hAnsi="宋体" w:eastAsia="宋体" w:cs="宋体"/>
                <w:color w:val="auto"/>
                <w:kern w:val="0"/>
                <w:sz w:val="21"/>
                <w:szCs w:val="21"/>
                <w:highlight w:val="none"/>
                <w:lang w:val="en-US" w:eastAsia="zh-CN" w:bidi="ar-SA"/>
              </w:rPr>
              <w:t>8.1运行策划和控制；8.2应急准备和响应；</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r>
              <w:rPr>
                <w:rFonts w:hint="eastAsia"/>
              </w:rPr>
              <w:t>岗位/职责 /权限</w:t>
            </w:r>
          </w:p>
        </w:tc>
        <w:tc>
          <w:tcPr>
            <w:tcW w:w="960" w:type="dxa"/>
            <w:vAlign w:val="top"/>
          </w:tcPr>
          <w:p>
            <w:pPr>
              <w:rPr>
                <w:rFonts w:hint="default" w:eastAsia="宋体"/>
                <w:lang w:val="en-US" w:eastAsia="zh-CN"/>
              </w:rPr>
            </w:pPr>
            <w:r>
              <w:rPr>
                <w:rFonts w:hint="eastAsia"/>
                <w:lang w:val="en-US" w:eastAsia="zh-CN"/>
              </w:rPr>
              <w:t>QES5.3</w:t>
            </w:r>
          </w:p>
        </w:tc>
        <w:tc>
          <w:tcPr>
            <w:tcW w:w="10004" w:type="dxa"/>
            <w:vAlign w:val="top"/>
          </w:tcPr>
          <w:p>
            <w:pPr>
              <w:spacing w:line="420" w:lineRule="exact"/>
              <w:rPr>
                <w:rFonts w:hint="eastAsia" w:ascii="宋体" w:hAnsi="宋体" w:eastAsia="宋体" w:cs="Times New Roman"/>
                <w:bCs/>
                <w:color w:val="auto"/>
                <w:spacing w:val="10"/>
                <w:kern w:val="2"/>
                <w:sz w:val="24"/>
                <w:szCs w:val="24"/>
                <w:lang w:val="en-US" w:eastAsia="zh-CN" w:bidi="ar-SA"/>
              </w:rPr>
            </w:pPr>
            <w:r>
              <w:rPr>
                <w:rFonts w:hint="eastAsia" w:ascii="宋体" w:hAnsi="宋体" w:eastAsia="宋体" w:cs="Times New Roman"/>
                <w:bCs/>
                <w:color w:val="auto"/>
                <w:spacing w:val="10"/>
                <w:kern w:val="2"/>
                <w:sz w:val="24"/>
                <w:szCs w:val="24"/>
                <w:lang w:val="en-US" w:eastAsia="zh-CN" w:bidi="ar-SA"/>
              </w:rPr>
              <w:t>查手册5.3：</w:t>
            </w:r>
          </w:p>
          <w:p>
            <w:pPr>
              <w:pStyle w:val="8"/>
              <w:rPr>
                <w:rFonts w:hint="eastAsia" w:ascii="宋体" w:hAnsi="宋体" w:eastAsia="宋体" w:cs="Times New Roman"/>
                <w:bCs/>
                <w:color w:val="auto"/>
                <w:spacing w:val="10"/>
                <w:kern w:val="2"/>
                <w:sz w:val="24"/>
                <w:szCs w:val="24"/>
                <w:lang w:val="en-US" w:eastAsia="zh-CN" w:bidi="ar-SA"/>
              </w:rPr>
            </w:pPr>
            <w:r>
              <w:rPr>
                <w:rFonts w:hint="eastAsia" w:ascii="宋体" w:hAnsi="宋体" w:eastAsia="宋体" w:cs="Times New Roman"/>
                <w:bCs/>
                <w:color w:val="auto"/>
                <w:spacing w:val="10"/>
                <w:kern w:val="2"/>
                <w:sz w:val="24"/>
                <w:szCs w:val="24"/>
                <w:lang w:val="en-US" w:eastAsia="zh-CN" w:bidi="ar-SA"/>
              </w:rPr>
              <w:t>营运部职责和权限：</w:t>
            </w:r>
          </w:p>
          <w:p>
            <w:pPr>
              <w:pStyle w:val="8"/>
              <w:rPr>
                <w:rFonts w:hint="eastAsia" w:ascii="宋体" w:hAnsi="宋体" w:eastAsia="宋体" w:cs="Times New Roman"/>
                <w:bCs/>
                <w:color w:val="auto"/>
                <w:spacing w:val="10"/>
                <w:kern w:val="2"/>
                <w:sz w:val="24"/>
                <w:szCs w:val="24"/>
                <w:lang w:val="en-US" w:eastAsia="zh-CN" w:bidi="ar-SA"/>
              </w:rPr>
            </w:pPr>
            <w:r>
              <w:rPr>
                <w:rFonts w:hint="eastAsia" w:ascii="宋体" w:hAnsi="宋体" w:eastAsia="宋体" w:cs="Times New Roman"/>
                <w:bCs/>
                <w:color w:val="auto"/>
                <w:spacing w:val="10"/>
                <w:kern w:val="2"/>
                <w:sz w:val="24"/>
                <w:szCs w:val="24"/>
                <w:lang w:val="en-US" w:eastAsia="zh-CN" w:bidi="ar-SA"/>
              </w:rPr>
              <w:t>——负责全公司的材料管理，认真执行公司的各项规定，不断完善、落实公司材料管理制度；负责全公司合格物资供方档案的建立和管理；</w:t>
            </w:r>
          </w:p>
          <w:p>
            <w:pPr>
              <w:pStyle w:val="8"/>
              <w:rPr>
                <w:rFonts w:hint="eastAsia" w:ascii="宋体" w:hAnsi="宋体" w:eastAsia="宋体" w:cs="Times New Roman"/>
                <w:bCs/>
                <w:color w:val="auto"/>
                <w:spacing w:val="10"/>
                <w:kern w:val="2"/>
                <w:sz w:val="24"/>
                <w:szCs w:val="24"/>
                <w:lang w:val="en-US" w:eastAsia="zh-CN" w:bidi="ar-SA"/>
              </w:rPr>
            </w:pPr>
            <w:r>
              <w:rPr>
                <w:rFonts w:hint="eastAsia" w:ascii="宋体" w:hAnsi="宋体" w:eastAsia="宋体" w:cs="Times New Roman"/>
                <w:bCs/>
                <w:color w:val="auto"/>
                <w:spacing w:val="10"/>
                <w:kern w:val="2"/>
                <w:sz w:val="24"/>
                <w:szCs w:val="24"/>
                <w:lang w:val="en-US" w:eastAsia="zh-CN" w:bidi="ar-SA"/>
              </w:rPr>
              <w:t>-----合同签订、合同评审、客户满意度调查等工作；</w:t>
            </w:r>
          </w:p>
          <w:p>
            <w:pPr>
              <w:pStyle w:val="8"/>
              <w:rPr>
                <w:rFonts w:hint="eastAsia" w:ascii="宋体" w:hAnsi="宋体" w:eastAsia="宋体" w:cs="Times New Roman"/>
                <w:bCs/>
                <w:color w:val="auto"/>
                <w:spacing w:val="10"/>
                <w:kern w:val="2"/>
                <w:sz w:val="24"/>
                <w:szCs w:val="24"/>
                <w:lang w:val="en-US" w:eastAsia="zh-CN" w:bidi="ar-SA"/>
              </w:rPr>
            </w:pPr>
            <w:r>
              <w:rPr>
                <w:rFonts w:hint="eastAsia" w:ascii="宋体" w:hAnsi="宋体" w:eastAsia="宋体" w:cs="Times New Roman"/>
                <w:bCs/>
                <w:color w:val="auto"/>
                <w:spacing w:val="10"/>
                <w:kern w:val="2"/>
                <w:sz w:val="24"/>
                <w:szCs w:val="24"/>
                <w:lang w:val="en-US" w:eastAsia="zh-CN" w:bidi="ar-SA"/>
              </w:rPr>
              <w:t>-----——识别本部门存在的环境因素、危险源，做好本部门运行控制；</w:t>
            </w:r>
          </w:p>
          <w:p>
            <w:pPr>
              <w:pStyle w:val="8"/>
              <w:rPr>
                <w:rFonts w:hint="eastAsia" w:ascii="宋体" w:hAnsi="宋体" w:eastAsia="宋体" w:cs="Times New Roman"/>
                <w:bCs/>
                <w:color w:val="auto"/>
                <w:spacing w:val="10"/>
                <w:kern w:val="2"/>
                <w:sz w:val="24"/>
                <w:szCs w:val="24"/>
                <w:lang w:val="en-US" w:eastAsia="zh-CN" w:bidi="ar-SA"/>
              </w:rPr>
            </w:pPr>
            <w:r>
              <w:rPr>
                <w:rFonts w:hint="eastAsia" w:ascii="宋体" w:hAnsi="宋体" w:eastAsia="宋体" w:cs="Times New Roman"/>
                <w:bCs/>
                <w:color w:val="auto"/>
                <w:spacing w:val="10"/>
                <w:kern w:val="2"/>
                <w:sz w:val="24"/>
                <w:szCs w:val="24"/>
                <w:lang w:val="en-US" w:eastAsia="zh-CN" w:bidi="ar-SA"/>
              </w:rPr>
              <w:t>。。。。。。等等。</w:t>
            </w:r>
          </w:p>
          <w:p>
            <w:pPr>
              <w:pStyle w:val="8"/>
              <w:rPr>
                <w:rFonts w:hint="default"/>
                <w:lang w:val="en-US" w:eastAsia="zh-CN"/>
              </w:rPr>
            </w:pPr>
            <w:r>
              <w:rPr>
                <w:rFonts w:hint="eastAsia" w:ascii="宋体" w:hAnsi="宋体" w:eastAsia="宋体" w:cs="Times New Roman"/>
                <w:bCs/>
                <w:color w:val="auto"/>
                <w:spacing w:val="10"/>
                <w:kern w:val="2"/>
                <w:sz w:val="24"/>
                <w:szCs w:val="24"/>
                <w:lang w:val="en-US" w:eastAsia="zh-CN" w:bidi="ar-SA"/>
              </w:rPr>
              <w:t>问题点：文件排版不严谨，运营部写成了</w:t>
            </w:r>
            <w:r>
              <w:rPr>
                <w:rFonts w:hint="eastAsia" w:ascii="宋体" w:hAnsi="宋体" w:eastAsia="宋体" w:cs="Times New Roman"/>
                <w:color w:val="auto"/>
                <w:sz w:val="24"/>
                <w:szCs w:val="24"/>
                <w:lang w:val="en-US" w:eastAsia="zh-CN"/>
              </w:rPr>
              <w:t>营运部，已于负责人口头沟通。</w:t>
            </w:r>
          </w:p>
          <w:p>
            <w:pPr>
              <w:spacing w:line="420" w:lineRule="exact"/>
              <w:rPr>
                <w:rFonts w:hint="default" w:ascii="宋体" w:hAnsi="宋体" w:eastAsia="宋体" w:cs="Times New Roman"/>
                <w:bCs/>
                <w:color w:val="auto"/>
                <w:spacing w:val="10"/>
                <w:kern w:val="2"/>
                <w:sz w:val="24"/>
                <w:szCs w:val="24"/>
                <w:lang w:val="en-US" w:eastAsia="zh-CN" w:bidi="ar-SA"/>
              </w:rPr>
            </w:pPr>
            <w:r>
              <w:rPr>
                <w:rFonts w:hint="eastAsia" w:ascii="宋体" w:hAnsi="宋体" w:eastAsia="宋体" w:cs="Times New Roman"/>
                <w:bCs/>
                <w:color w:val="auto"/>
                <w:spacing w:val="10"/>
                <w:kern w:val="2"/>
                <w:sz w:val="24"/>
                <w:szCs w:val="24"/>
                <w:lang w:val="en-US" w:eastAsia="zh-CN" w:bidi="ar-SA"/>
              </w:rPr>
              <w:t>——基本符合</w:t>
            </w:r>
          </w:p>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2160" w:type="dxa"/>
            <w:vAlign w:val="top"/>
          </w:tcPr>
          <w:p>
            <w:r>
              <w:rPr>
                <w:rFonts w:hint="eastAsia" w:ascii="Times New Roman" w:hAnsi="Times New Roman" w:eastAsia="宋体" w:cs="Times New Roman"/>
              </w:rPr>
              <w:t>目标及其达成的策划</w:t>
            </w:r>
          </w:p>
        </w:tc>
        <w:tc>
          <w:tcPr>
            <w:tcW w:w="960" w:type="dxa"/>
            <w:vAlign w:val="top"/>
          </w:tcPr>
          <w:p>
            <w:r>
              <w:rPr>
                <w:rFonts w:hint="eastAsia"/>
                <w:lang w:val="en-US" w:eastAsia="zh-CN"/>
              </w:rPr>
              <w:t>QES6.2</w:t>
            </w:r>
          </w:p>
        </w:tc>
        <w:tc>
          <w:tcPr>
            <w:tcW w:w="10004" w:type="dxa"/>
            <w:vAlign w:val="top"/>
          </w:tcPr>
          <w:p>
            <w:pPr>
              <w:rPr>
                <w:rFonts w:hint="eastAsia"/>
                <w:lang w:val="en-US" w:eastAsia="zh-CN"/>
              </w:rPr>
            </w:pPr>
            <w:r>
              <w:rPr>
                <w:rFonts w:hint="eastAsia"/>
                <w:lang w:val="en-US" w:eastAsia="zh-CN"/>
              </w:rPr>
              <w:t>查“（2022年）目标、指标完成情况监控记录”，内容显示2-3季度部门目标均已达成。</w:t>
            </w:r>
          </w:p>
          <w:p>
            <w:pPr>
              <w:pStyle w:val="8"/>
            </w:pPr>
            <w:r>
              <w:drawing>
                <wp:inline distT="0" distB="0" distL="114300" distR="114300">
                  <wp:extent cx="5873750" cy="2660650"/>
                  <wp:effectExtent l="0" t="0" r="6350"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873750" cy="2660650"/>
                          </a:xfrm>
                          <a:prstGeom prst="rect">
                            <a:avLst/>
                          </a:prstGeom>
                          <a:noFill/>
                          <a:ln>
                            <a:noFill/>
                          </a:ln>
                        </pic:spPr>
                      </pic:pic>
                    </a:graphicData>
                  </a:graphic>
                </wp:inline>
              </w:drawing>
            </w:r>
          </w:p>
          <w:p>
            <w:pPr>
              <w:pStyle w:val="8"/>
              <w:rPr>
                <w:rFonts w:hint="default" w:eastAsia="宋体"/>
                <w:lang w:val="en-US" w:eastAsia="zh-CN"/>
              </w:rPr>
            </w:pPr>
            <w:r>
              <w:rPr>
                <w:rFonts w:hint="eastAsia"/>
                <w:lang w:eastAsia="zh-CN"/>
              </w:rPr>
              <w:t>——</w:t>
            </w:r>
            <w:r>
              <w:rPr>
                <w:rFonts w:hint="eastAsia"/>
                <w:lang w:val="en-US" w:eastAsia="zh-CN"/>
              </w:rPr>
              <w:t>基本符合</w:t>
            </w:r>
          </w:p>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rPr>
                <w:highlight w:val="yellow"/>
              </w:rPr>
            </w:pPr>
            <w:r>
              <w:rPr>
                <w:rFonts w:hint="eastAsia" w:ascii="Times New Roman" w:hAnsi="Times New Roman" w:eastAsia="宋体" w:cs="Times New Roman"/>
              </w:rPr>
              <w:t>产品和服务的要求</w:t>
            </w:r>
          </w:p>
        </w:tc>
        <w:tc>
          <w:tcPr>
            <w:tcW w:w="960" w:type="dxa"/>
            <w:vAlign w:val="top"/>
          </w:tcPr>
          <w:p>
            <w:pPr>
              <w:rPr>
                <w:rFonts w:hint="eastAsia"/>
                <w:lang w:val="en-US" w:eastAsia="zh-CN"/>
              </w:rPr>
            </w:pPr>
            <w:r>
              <w:rPr>
                <w:rFonts w:hint="eastAsia"/>
                <w:lang w:val="en-US" w:eastAsia="zh-CN"/>
              </w:rPr>
              <w:t>Q8.2</w:t>
            </w:r>
          </w:p>
        </w:tc>
        <w:tc>
          <w:tcPr>
            <w:tcW w:w="10004" w:type="dxa"/>
            <w:vAlign w:val="top"/>
          </w:tcPr>
          <w:p>
            <w:pPr>
              <w:rPr>
                <w:rFonts w:hint="eastAsia"/>
                <w:lang w:val="en-US" w:eastAsia="zh-CN"/>
              </w:rPr>
            </w:pPr>
            <w:r>
              <w:rPr>
                <w:rFonts w:hint="eastAsia"/>
                <w:lang w:val="en-US" w:eastAsia="zh-CN"/>
              </w:rPr>
              <w:t>---策划的文件《产品和服务的要求控制程序》</w:t>
            </w:r>
          </w:p>
          <w:p>
            <w:pPr>
              <w:rPr>
                <w:rFonts w:hint="eastAsia"/>
                <w:lang w:val="en-US" w:eastAsia="zh-CN"/>
              </w:rPr>
            </w:pPr>
            <w:r>
              <w:rPr>
                <w:rFonts w:hint="eastAsia"/>
                <w:lang w:val="en-US" w:eastAsia="zh-CN"/>
              </w:rPr>
              <w:t>通过面访、电话、微信等方式同客户保持沟通。</w:t>
            </w:r>
          </w:p>
          <w:p>
            <w:pPr>
              <w:rPr>
                <w:rFonts w:hint="default"/>
                <w:lang w:val="en-US" w:eastAsia="zh-CN"/>
              </w:rPr>
            </w:pPr>
            <w:r>
              <w:rPr>
                <w:rFonts w:hint="eastAsia"/>
                <w:lang w:val="en-US" w:eastAsia="zh-CN"/>
              </w:rPr>
              <w:t>查“合 同 管 理 台 账”，主要的客户3家，包括：攀钢集团工程技术有限公司、攀钢集团攀枝花坤牛物流有限公司、攀钢集团攀枝花坤牛物流有限公司西昌分公司。</w:t>
            </w:r>
          </w:p>
          <w:p>
            <w:pPr>
              <w:rPr>
                <w:rFonts w:hint="default"/>
                <w:lang w:val="en-US" w:eastAsia="zh-CN"/>
              </w:rPr>
            </w:pPr>
            <w:r>
              <w:rPr>
                <w:rFonts w:hint="eastAsia"/>
                <w:lang w:val="en-US" w:eastAsia="zh-CN"/>
              </w:rPr>
              <w:t>跟踪抽查攀钢集团攀枝花坤牛物流有限公司的销售合同，如下：</w:t>
            </w:r>
          </w:p>
          <w:p>
            <w:pPr>
              <w:rPr>
                <w:rFonts w:hint="eastAsia"/>
                <w:lang w:val="en-US" w:eastAsia="zh-CN"/>
              </w:rPr>
            </w:pPr>
            <w:r>
              <w:rPr>
                <w:rFonts w:hint="eastAsia"/>
                <w:lang w:val="en-US" w:eastAsia="zh-CN"/>
              </w:rPr>
              <w:t>甲 方:攀钢集团攀枝花坤牛物流有限公司</w:t>
            </w:r>
          </w:p>
          <w:p>
            <w:pPr>
              <w:rPr>
                <w:rFonts w:hint="eastAsia"/>
                <w:lang w:val="en-US" w:eastAsia="zh-CN"/>
              </w:rPr>
            </w:pPr>
            <w:r>
              <w:rPr>
                <w:rFonts w:hint="eastAsia"/>
                <w:lang w:val="en-US" w:eastAsia="zh-CN"/>
              </w:rPr>
              <w:t>乙 方:攀枝花市恒瑞工程有限公司</w:t>
            </w:r>
          </w:p>
          <w:p>
            <w:pPr>
              <w:rPr>
                <w:rFonts w:hint="eastAsia"/>
                <w:lang w:val="en-US" w:eastAsia="zh-CN"/>
              </w:rPr>
            </w:pPr>
            <w:r>
              <w:rPr>
                <w:rFonts w:hint="eastAsia"/>
                <w:lang w:val="en-US" w:eastAsia="zh-CN"/>
              </w:rPr>
              <w:drawing>
                <wp:inline distT="0" distB="0" distL="114300" distR="114300">
                  <wp:extent cx="3165475" cy="31400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3165475" cy="3140075"/>
                          </a:xfrm>
                          <a:prstGeom prst="rect">
                            <a:avLst/>
                          </a:prstGeom>
                          <a:noFill/>
                          <a:ln>
                            <a:noFill/>
                          </a:ln>
                        </pic:spPr>
                      </pic:pic>
                    </a:graphicData>
                  </a:graphic>
                </wp:inline>
              </w:drawing>
            </w:r>
            <w:r>
              <w:rPr>
                <w:rFonts w:hint="eastAsia"/>
                <w:lang w:val="en-US" w:eastAsia="zh-CN"/>
              </w:rPr>
              <w:drawing>
                <wp:inline distT="0" distB="0" distL="114300" distR="114300">
                  <wp:extent cx="2860040" cy="3255010"/>
                  <wp:effectExtent l="0" t="0" r="10160" b="889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2860040" cy="3255010"/>
                          </a:xfrm>
                          <a:prstGeom prst="rect">
                            <a:avLst/>
                          </a:prstGeom>
                          <a:noFill/>
                          <a:ln>
                            <a:noFill/>
                          </a:ln>
                        </pic:spPr>
                      </pic:pic>
                    </a:graphicData>
                  </a:graphic>
                </wp:inline>
              </w:drawing>
            </w:r>
          </w:p>
          <w:p>
            <w:pPr>
              <w:rPr>
                <w:rFonts w:hint="eastAsia"/>
                <w:lang w:val="en-US" w:eastAsia="zh-CN"/>
              </w:rPr>
            </w:pPr>
          </w:p>
          <w:p>
            <w:pPr>
              <w:rPr>
                <w:rFonts w:hint="default"/>
                <w:lang w:val="en-US" w:eastAsia="zh-CN"/>
              </w:rPr>
            </w:pPr>
            <w:r>
              <w:rPr>
                <w:rFonts w:hint="eastAsia"/>
                <w:lang w:val="en-US" w:eastAsia="zh-CN"/>
              </w:rPr>
              <w:t>产品名称、价格、质量标准、收益费用分担及结算方式等信息明确，双方签章日期齐全。合同确认日期：2022.12.24.；</w:t>
            </w:r>
          </w:p>
          <w:p>
            <w:pPr>
              <w:rPr>
                <w:rFonts w:hint="eastAsia"/>
                <w:lang w:val="en-US" w:eastAsia="zh-CN"/>
              </w:rPr>
            </w:pPr>
            <w:r>
              <w:rPr>
                <w:rFonts w:hint="eastAsia"/>
                <w:lang w:val="en-US" w:eastAsia="zh-CN"/>
              </w:rPr>
              <w:t>跟踪核查其“合同（订单）评审表”，签合同前进行多部门评审会签。抽查如下：</w:t>
            </w:r>
          </w:p>
          <w:p>
            <w:pPr>
              <w:rPr>
                <w:rFonts w:hint="default"/>
                <w:lang w:val="en-US" w:eastAsia="zh-CN"/>
              </w:rPr>
            </w:pPr>
            <w:r>
              <w:rPr>
                <w:rFonts w:hint="eastAsia"/>
                <w:lang w:val="en-US" w:eastAsia="zh-CN"/>
              </w:rPr>
              <w:drawing>
                <wp:inline distT="0" distB="0" distL="114300" distR="114300">
                  <wp:extent cx="3765550" cy="2546350"/>
                  <wp:effectExtent l="0" t="0" r="6350" b="635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3765550" cy="2546350"/>
                          </a:xfrm>
                          <a:prstGeom prst="rect">
                            <a:avLst/>
                          </a:prstGeom>
                          <a:noFill/>
                          <a:ln>
                            <a:noFill/>
                          </a:ln>
                        </pic:spPr>
                      </pic:pic>
                    </a:graphicData>
                  </a:graphic>
                </wp:inline>
              </w:drawing>
            </w:r>
          </w:p>
          <w:p>
            <w:pPr>
              <w:rPr>
                <w:rFonts w:hint="eastAsia"/>
                <w:lang w:val="en-US" w:eastAsia="zh-CN"/>
              </w:rPr>
            </w:pPr>
            <w:r>
              <w:rPr>
                <w:rFonts w:hint="eastAsia"/>
                <w:lang w:val="en-US" w:eastAsia="zh-CN"/>
              </w:rPr>
              <w:t>另抽白马铁矿田家村采剥工程项目 (2022年)-运输合同及其合同评审资料，均按规定记录保存。</w:t>
            </w:r>
          </w:p>
          <w:p>
            <w:pPr>
              <w:rPr>
                <w:rFonts w:hint="eastAsia"/>
                <w:lang w:val="en-US" w:eastAsia="zh-CN"/>
              </w:rPr>
            </w:pPr>
            <w:r>
              <w:rPr>
                <w:rFonts w:hint="eastAsia"/>
                <w:lang w:val="en-US" w:eastAsia="zh-CN"/>
              </w:rPr>
              <w:drawing>
                <wp:inline distT="0" distB="0" distL="114300" distR="114300">
                  <wp:extent cx="2838450" cy="1625600"/>
                  <wp:effectExtent l="0" t="0" r="635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2838450" cy="1625600"/>
                          </a:xfrm>
                          <a:prstGeom prst="rect">
                            <a:avLst/>
                          </a:prstGeom>
                          <a:noFill/>
                          <a:ln>
                            <a:noFill/>
                          </a:ln>
                        </pic:spPr>
                      </pic:pic>
                    </a:graphicData>
                  </a:graphic>
                </wp:inline>
              </w:drawing>
            </w:r>
            <w:r>
              <w:rPr>
                <w:rFonts w:hint="eastAsia"/>
                <w:lang w:val="en-US" w:eastAsia="zh-CN"/>
              </w:rPr>
              <w:drawing>
                <wp:inline distT="0" distB="0" distL="114300" distR="114300">
                  <wp:extent cx="2820035" cy="1587500"/>
                  <wp:effectExtent l="0" t="0" r="12065"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1"/>
                          <a:stretch>
                            <a:fillRect/>
                          </a:stretch>
                        </pic:blipFill>
                        <pic:spPr>
                          <a:xfrm>
                            <a:off x="0" y="0"/>
                            <a:ext cx="2820035" cy="1587500"/>
                          </a:xfrm>
                          <a:prstGeom prst="rect">
                            <a:avLst/>
                          </a:prstGeom>
                          <a:noFill/>
                          <a:ln>
                            <a:noFill/>
                          </a:ln>
                        </pic:spPr>
                      </pic:pic>
                    </a:graphicData>
                  </a:graphic>
                </wp:inline>
              </w:drawing>
            </w:r>
          </w:p>
          <w:p>
            <w:pPr>
              <w:rPr>
                <w:rFonts w:hint="eastAsia"/>
                <w:lang w:val="en-US" w:eastAsia="zh-CN"/>
              </w:rPr>
            </w:pPr>
          </w:p>
          <w:p>
            <w:pPr>
              <w:rPr>
                <w:rFonts w:hint="default"/>
                <w:lang w:val="en-US" w:eastAsia="zh-CN"/>
              </w:rPr>
            </w:pPr>
            <w:r>
              <w:rPr>
                <w:rFonts w:hint="eastAsia"/>
                <w:lang w:val="en-US" w:eastAsia="zh-CN"/>
              </w:rPr>
              <w:t>——以上抽查合同内经营内容完全覆盖本次审核范围：金属加工机械设备、液压动力机电设备维修；机电设备维修（不含特种设备）；道路货物运输（不含危险货物）</w:t>
            </w:r>
          </w:p>
          <w:p>
            <w:pPr>
              <w:rPr>
                <w:rFonts w:hint="eastAsia"/>
                <w:lang w:val="en-US" w:eastAsia="zh-CN"/>
              </w:rPr>
            </w:pPr>
            <w:r>
              <w:rPr>
                <w:rFonts w:hint="eastAsia"/>
                <w:lang w:val="en-US" w:eastAsia="zh-CN"/>
              </w:rPr>
              <w:t>——基本符合</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rPr>
                <w:rFonts w:hint="eastAsia" w:ascii="宋体" w:hAnsi="宋体" w:cs="新宋体"/>
                <w:color w:val="auto"/>
                <w:sz w:val="18"/>
                <w:szCs w:val="18"/>
                <w:highlight w:val="yellow"/>
              </w:rPr>
            </w:pPr>
            <w:r>
              <w:rPr>
                <w:rFonts w:hint="eastAsia" w:ascii="Times New Roman" w:hAnsi="Times New Roman" w:eastAsia="宋体" w:cs="Times New Roman"/>
              </w:rPr>
              <w:t>外部提供供方的控制</w:t>
            </w:r>
          </w:p>
        </w:tc>
        <w:tc>
          <w:tcPr>
            <w:tcW w:w="960" w:type="dxa"/>
            <w:vAlign w:val="top"/>
          </w:tcPr>
          <w:p>
            <w:pPr>
              <w:rPr>
                <w:rFonts w:hint="eastAsia" w:ascii="Times New Roman" w:hAnsi="Times New Roman" w:cs="Times New Roman"/>
                <w:lang w:val="en-US" w:eastAsia="zh-CN"/>
              </w:rPr>
            </w:pPr>
            <w:r>
              <w:rPr>
                <w:rFonts w:hint="eastAsia" w:ascii="Times New Roman" w:hAnsi="Times New Roman" w:cs="Times New Roman"/>
                <w:lang w:val="en-US" w:eastAsia="zh-CN"/>
              </w:rPr>
              <w:t>Q8.4</w:t>
            </w:r>
          </w:p>
        </w:tc>
        <w:tc>
          <w:tcPr>
            <w:tcW w:w="10004" w:type="dxa"/>
            <w:vAlign w:val="top"/>
          </w:tcPr>
          <w:p>
            <w:pPr>
              <w:rPr>
                <w:rFonts w:hint="eastAsia" w:ascii="Times New Roman" w:hAnsi="Times New Roman" w:cs="Times New Roman"/>
                <w:lang w:val="en-US" w:eastAsia="zh-CN"/>
              </w:rPr>
            </w:pPr>
            <w:r>
              <w:rPr>
                <w:rFonts w:hint="eastAsia" w:ascii="Times New Roman" w:hAnsi="Times New Roman" w:cs="Times New Roman"/>
                <w:lang w:val="en-US" w:eastAsia="zh-CN"/>
              </w:rPr>
              <w:t>---策划的文件《采购控制程序》</w:t>
            </w:r>
          </w:p>
          <w:p>
            <w:pPr>
              <w:rPr>
                <w:rFonts w:hint="eastAsia" w:ascii="Times New Roman" w:hAnsi="Times New Roman" w:cs="Times New Roman"/>
                <w:lang w:val="en-US" w:eastAsia="zh-CN"/>
              </w:rPr>
            </w:pPr>
            <w:r>
              <w:rPr>
                <w:rFonts w:hint="eastAsia" w:ascii="Times New Roman" w:hAnsi="Times New Roman" w:cs="Times New Roman"/>
                <w:lang w:val="en-US" w:eastAsia="zh-CN"/>
              </w:rPr>
              <w:t>1、采购的主要产品：成品油、轮胎、维修配件等。</w:t>
            </w:r>
          </w:p>
          <w:p>
            <w:pPr>
              <w:rPr>
                <w:rFonts w:hint="default" w:ascii="Times New Roman" w:hAnsi="Times New Roman" w:cs="Times New Roman"/>
                <w:lang w:val="en-US" w:eastAsia="zh-CN"/>
              </w:rPr>
            </w:pPr>
            <w:r>
              <w:rPr>
                <w:rFonts w:hint="eastAsia" w:ascii="Times New Roman" w:hAnsi="Times New Roman" w:cs="Times New Roman"/>
                <w:lang w:val="en-US" w:eastAsia="zh-CN"/>
              </w:rPr>
              <w:t>2、查“合格供方名录”，登录有攀枝花枫古工贸有限责任公司、攀枝花展科科技有限公司、攀枝花盛风贸易有限公司等共6家合格供方，2022.7.进行初次评价。</w:t>
            </w:r>
          </w:p>
          <w:p>
            <w:pPr>
              <w:rPr>
                <w:rFonts w:hint="default" w:ascii="Times New Roman" w:hAnsi="Times New Roman" w:cs="Times New Roman"/>
                <w:lang w:val="en-US" w:eastAsia="zh-CN"/>
              </w:rPr>
            </w:pPr>
            <w:r>
              <w:rPr>
                <w:rFonts w:hint="eastAsia" w:ascii="Times New Roman" w:hAnsi="Times New Roman" w:cs="Times New Roman"/>
                <w:lang w:val="en-US" w:eastAsia="zh-CN"/>
              </w:rPr>
              <w:t>提供有相应的“供方评价记录表”，主要的评价内容包括供应能力、技术能力、质量能力等方面的评价：</w:t>
            </w:r>
          </w:p>
          <w:p>
            <w:pPr>
              <w:rPr>
                <w:rFonts w:hint="default" w:ascii="Times New Roman" w:hAnsi="Times New Roman" w:cs="Times New Roman"/>
                <w:lang w:val="en-US" w:eastAsia="zh-CN"/>
              </w:rPr>
            </w:pPr>
            <w:r>
              <w:rPr>
                <w:rFonts w:hint="eastAsia" w:ascii="Times New Roman" w:hAnsi="Times New Roman" w:cs="Times New Roman"/>
                <w:lang w:val="en-US" w:eastAsia="zh-CN"/>
              </w:rPr>
              <w:t>3、抽查2022.7.1.与攀枝花盛风贸易有限公司的采购合同，采购产品：成品油；</w:t>
            </w:r>
          </w:p>
          <w:p>
            <w:pPr>
              <w:rPr>
                <w:rFonts w:hint="default" w:ascii="Times New Roman" w:hAnsi="Times New Roman" w:cs="Times New Roman"/>
                <w:lang w:val="en-US" w:eastAsia="zh-CN"/>
              </w:rPr>
            </w:pPr>
            <w:r>
              <w:rPr>
                <w:rFonts w:hint="default" w:ascii="Times New Roman" w:hAnsi="Times New Roman" w:cs="Times New Roman"/>
                <w:lang w:val="en-US" w:eastAsia="zh-CN"/>
              </w:rPr>
              <w:t>卖方:</w:t>
            </w:r>
            <w:r>
              <w:rPr>
                <w:rFonts w:hint="eastAsia" w:ascii="Times New Roman" w:hAnsi="Times New Roman" w:cs="Times New Roman"/>
                <w:lang w:val="en-US" w:eastAsia="zh-CN"/>
              </w:rPr>
              <w:t>攀枝花盛风贸易有限公司</w:t>
            </w:r>
          </w:p>
          <w:p>
            <w:pPr>
              <w:rPr>
                <w:rFonts w:hint="eastAsia" w:ascii="Times New Roman" w:hAnsi="Times New Roman" w:cs="Times New Roman"/>
                <w:lang w:val="en-US" w:eastAsia="zh-CN"/>
              </w:rPr>
            </w:pPr>
            <w:r>
              <w:rPr>
                <w:rFonts w:hint="default" w:ascii="Times New Roman" w:hAnsi="Times New Roman" w:cs="Times New Roman"/>
                <w:lang w:val="en-US" w:eastAsia="zh-CN"/>
              </w:rPr>
              <w:t>买方:攀枝花市恒瑞工程有限责任公司</w:t>
            </w:r>
          </w:p>
          <w:p>
            <w:pPr>
              <w:rPr>
                <w:rFonts w:hint="eastAsia" w:ascii="Times New Roman" w:hAnsi="Times New Roman" w:cs="Times New Roman"/>
                <w:lang w:val="en-US" w:eastAsia="zh-CN"/>
              </w:rPr>
            </w:pPr>
            <w:r>
              <w:rPr>
                <w:rFonts w:hint="eastAsia" w:ascii="Times New Roman" w:hAnsi="Times New Roman" w:cs="Times New Roman"/>
                <w:lang w:val="en-US" w:eastAsia="zh-CN"/>
              </w:rPr>
              <w:drawing>
                <wp:inline distT="0" distB="0" distL="114300" distR="114300">
                  <wp:extent cx="3041650" cy="2530475"/>
                  <wp:effectExtent l="0" t="0" r="6350" b="952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2"/>
                          <a:stretch>
                            <a:fillRect/>
                          </a:stretch>
                        </pic:blipFill>
                        <pic:spPr>
                          <a:xfrm>
                            <a:off x="0" y="0"/>
                            <a:ext cx="3041650" cy="2530475"/>
                          </a:xfrm>
                          <a:prstGeom prst="rect">
                            <a:avLst/>
                          </a:prstGeom>
                          <a:noFill/>
                          <a:ln>
                            <a:noFill/>
                          </a:ln>
                        </pic:spPr>
                      </pic:pic>
                    </a:graphicData>
                  </a:graphic>
                </wp:inline>
              </w:drawing>
            </w:r>
            <w:r>
              <w:rPr>
                <w:rFonts w:hint="eastAsia" w:ascii="Times New Roman" w:hAnsi="Times New Roman" w:cs="Times New Roman"/>
                <w:lang w:val="en-US" w:eastAsia="zh-CN"/>
              </w:rPr>
              <w:drawing>
                <wp:inline distT="0" distB="0" distL="114300" distR="114300">
                  <wp:extent cx="2756535" cy="2565400"/>
                  <wp:effectExtent l="0" t="0" r="12065"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3"/>
                          <a:stretch>
                            <a:fillRect/>
                          </a:stretch>
                        </pic:blipFill>
                        <pic:spPr>
                          <a:xfrm>
                            <a:off x="0" y="0"/>
                            <a:ext cx="2756535" cy="2565400"/>
                          </a:xfrm>
                          <a:prstGeom prst="rect">
                            <a:avLst/>
                          </a:prstGeom>
                          <a:noFill/>
                          <a:ln>
                            <a:noFill/>
                          </a:ln>
                        </pic:spPr>
                      </pic:pic>
                    </a:graphicData>
                  </a:graphic>
                </wp:inline>
              </w:drawing>
            </w:r>
          </w:p>
          <w:p>
            <w:pPr>
              <w:rPr>
                <w:rFonts w:hint="eastAsia" w:ascii="Times New Roman" w:hAnsi="Times New Roman" w:cs="Times New Roman"/>
                <w:lang w:val="en-US" w:eastAsia="zh-CN"/>
              </w:rPr>
            </w:pPr>
          </w:p>
          <w:p>
            <w:pPr>
              <w:rPr>
                <w:rFonts w:hint="eastAsia" w:ascii="Times New Roman" w:hAnsi="Times New Roman" w:cs="Times New Roman"/>
                <w:lang w:val="en-US" w:eastAsia="zh-CN"/>
              </w:rPr>
            </w:pPr>
          </w:p>
          <w:p>
            <w:pPr>
              <w:rPr>
                <w:rFonts w:hint="eastAsia" w:ascii="Times New Roman" w:hAnsi="Times New Roman" w:cs="Times New Roman"/>
                <w:lang w:val="en-US" w:eastAsia="zh-CN"/>
              </w:rPr>
            </w:pPr>
            <w:r>
              <w:rPr>
                <w:rFonts w:hint="eastAsia" w:ascii="Times New Roman" w:hAnsi="Times New Roman" w:cs="Times New Roman"/>
                <w:lang w:val="en-US" w:eastAsia="zh-CN"/>
              </w:rPr>
              <w:t>产品、质量、交付等采购信息明确，双方签章日期齐全。</w:t>
            </w:r>
          </w:p>
          <w:p>
            <w:pPr>
              <w:rPr>
                <w:rFonts w:hint="eastAsia" w:ascii="Times New Roman" w:hAnsi="Times New Roman" w:cs="Times New Roman"/>
                <w:lang w:val="en-US" w:eastAsia="zh-CN"/>
              </w:rPr>
            </w:pPr>
          </w:p>
          <w:p>
            <w:pPr>
              <w:rPr>
                <w:rFonts w:hint="eastAsia" w:ascii="Times New Roman" w:hAnsi="Times New Roman" w:cs="Times New Roman"/>
                <w:lang w:val="en-US" w:eastAsia="zh-CN"/>
              </w:rPr>
            </w:pPr>
            <w:r>
              <w:rPr>
                <w:rFonts w:hint="eastAsia" w:ascii="Times New Roman" w:hAnsi="Times New Roman" w:cs="Times New Roman"/>
                <w:lang w:val="en-US" w:eastAsia="zh-CN"/>
              </w:rPr>
              <w:t>-抽2022.7.19.凉山州驰加汽车服务有限责任公司的采购合同，采购产品：轮胎；</w:t>
            </w:r>
          </w:p>
          <w:p>
            <w:pPr>
              <w:rPr>
                <w:rFonts w:hint="eastAsia" w:ascii="Times New Roman" w:hAnsi="Times New Roman" w:cs="Times New Roman"/>
                <w:lang w:val="en-US" w:eastAsia="zh-CN"/>
              </w:rPr>
            </w:pPr>
            <w:r>
              <w:rPr>
                <w:rFonts w:hint="eastAsia" w:ascii="Times New Roman" w:hAnsi="Times New Roman" w:cs="Times New Roman"/>
                <w:lang w:val="en-US" w:eastAsia="zh-CN"/>
              </w:rPr>
              <w:t>甲方：凉山州驰加汽车服务有限责任公司</w:t>
            </w:r>
          </w:p>
          <w:p>
            <w:pPr>
              <w:rPr>
                <w:rFonts w:hint="eastAsia" w:ascii="Times New Roman" w:hAnsi="Times New Roman" w:cs="Times New Roman"/>
                <w:lang w:val="en-US" w:eastAsia="zh-CN"/>
              </w:rPr>
            </w:pPr>
            <w:r>
              <w:rPr>
                <w:rFonts w:hint="eastAsia" w:ascii="Times New Roman" w:hAnsi="Times New Roman" w:cs="Times New Roman"/>
                <w:lang w:val="en-US" w:eastAsia="zh-CN"/>
              </w:rPr>
              <w:t>乙方：攀枝花市恒瑞工程有限责任公司</w:t>
            </w:r>
          </w:p>
          <w:p>
            <w:pPr>
              <w:rPr>
                <w:rFonts w:hint="eastAsia" w:ascii="Times New Roman" w:hAnsi="Times New Roman" w:cs="Times New Roman"/>
                <w:lang w:val="en-US" w:eastAsia="zh-CN"/>
              </w:rPr>
            </w:pPr>
            <w:r>
              <w:rPr>
                <w:rFonts w:hint="eastAsia" w:ascii="Times New Roman" w:hAnsi="Times New Roman" w:cs="Times New Roman"/>
                <w:lang w:val="en-US" w:eastAsia="zh-CN"/>
              </w:rPr>
              <w:drawing>
                <wp:inline distT="0" distB="0" distL="114300" distR="114300">
                  <wp:extent cx="3321050" cy="1771650"/>
                  <wp:effectExtent l="0" t="0" r="6350" b="635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4"/>
                          <a:stretch>
                            <a:fillRect/>
                          </a:stretch>
                        </pic:blipFill>
                        <pic:spPr>
                          <a:xfrm>
                            <a:off x="0" y="0"/>
                            <a:ext cx="3321050" cy="1771650"/>
                          </a:xfrm>
                          <a:prstGeom prst="rect">
                            <a:avLst/>
                          </a:prstGeom>
                          <a:noFill/>
                          <a:ln>
                            <a:noFill/>
                          </a:ln>
                        </pic:spPr>
                      </pic:pic>
                    </a:graphicData>
                  </a:graphic>
                </wp:inline>
              </w:drawing>
            </w:r>
            <w:r>
              <w:rPr>
                <w:rFonts w:hint="eastAsia" w:ascii="Times New Roman" w:hAnsi="Times New Roman" w:cs="Times New Roman"/>
                <w:lang w:val="en-US" w:eastAsia="zh-CN"/>
              </w:rPr>
              <w:drawing>
                <wp:inline distT="0" distB="0" distL="114300" distR="114300">
                  <wp:extent cx="2778760" cy="1515745"/>
                  <wp:effectExtent l="0" t="0" r="2540" b="825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5"/>
                          <a:stretch>
                            <a:fillRect/>
                          </a:stretch>
                        </pic:blipFill>
                        <pic:spPr>
                          <a:xfrm>
                            <a:off x="0" y="0"/>
                            <a:ext cx="2778760" cy="1515745"/>
                          </a:xfrm>
                          <a:prstGeom prst="rect">
                            <a:avLst/>
                          </a:prstGeom>
                          <a:noFill/>
                          <a:ln>
                            <a:noFill/>
                          </a:ln>
                        </pic:spPr>
                      </pic:pic>
                    </a:graphicData>
                  </a:graphic>
                </wp:inline>
              </w:drawing>
            </w:r>
          </w:p>
          <w:p>
            <w:pPr>
              <w:rPr>
                <w:rFonts w:hint="eastAsia" w:ascii="Times New Roman" w:hAnsi="Times New Roman" w:cs="Times New Roman"/>
                <w:lang w:val="en-US" w:eastAsia="zh-CN"/>
              </w:rPr>
            </w:pPr>
            <w:r>
              <w:rPr>
                <w:rFonts w:hint="eastAsia" w:ascii="Times New Roman" w:hAnsi="Times New Roman" w:cs="Times New Roman"/>
                <w:lang w:val="en-US" w:eastAsia="zh-CN"/>
              </w:rPr>
              <w:t>产品、质量、交付等采购信息明确，双方签章日期齐全。</w:t>
            </w:r>
          </w:p>
          <w:p>
            <w:pPr>
              <w:rPr>
                <w:rFonts w:hint="eastAsia" w:ascii="Times New Roman" w:hAnsi="Times New Roman" w:cs="Times New Roman"/>
                <w:lang w:val="en-US" w:eastAsia="zh-CN"/>
              </w:rPr>
            </w:pPr>
          </w:p>
          <w:p>
            <w:pPr>
              <w:rPr>
                <w:rFonts w:hint="eastAsia" w:ascii="Times New Roman" w:hAnsi="Times New Roman" w:cs="Times New Roman"/>
                <w:lang w:val="en-US" w:eastAsia="zh-CN"/>
              </w:rPr>
            </w:pPr>
            <w:r>
              <w:rPr>
                <w:rFonts w:hint="eastAsia" w:ascii="Times New Roman" w:hAnsi="Times New Roman" w:cs="Times New Roman"/>
                <w:lang w:val="en-US" w:eastAsia="zh-CN"/>
              </w:rPr>
              <w:t>--抽2022.5.30.成都海驰机械设备有限公司的采购合同，采购产品：配件；</w:t>
            </w:r>
          </w:p>
          <w:p>
            <w:pPr>
              <w:rPr>
                <w:rFonts w:hint="eastAsia" w:ascii="Times New Roman" w:hAnsi="Times New Roman" w:cs="Times New Roman"/>
                <w:lang w:val="en-US" w:eastAsia="zh-CN"/>
              </w:rPr>
            </w:pPr>
            <w:r>
              <w:rPr>
                <w:rFonts w:hint="eastAsia" w:ascii="Times New Roman" w:hAnsi="Times New Roman" w:cs="Times New Roman"/>
                <w:lang w:val="en-US" w:eastAsia="zh-CN"/>
              </w:rPr>
              <w:t>甲方：成都海驰机械设备有限公司</w:t>
            </w:r>
          </w:p>
          <w:p>
            <w:pPr>
              <w:rPr>
                <w:rFonts w:hint="eastAsia" w:ascii="Times New Roman" w:hAnsi="Times New Roman" w:cs="Times New Roman"/>
                <w:lang w:val="en-US" w:eastAsia="zh-CN"/>
              </w:rPr>
            </w:pPr>
            <w:r>
              <w:rPr>
                <w:rFonts w:hint="eastAsia" w:ascii="Times New Roman" w:hAnsi="Times New Roman" w:cs="Times New Roman"/>
                <w:lang w:val="en-US" w:eastAsia="zh-CN"/>
              </w:rPr>
              <w:t>乙方：攀枝花市恒瑞工程有限责任公司</w:t>
            </w:r>
          </w:p>
          <w:p>
            <w:pPr>
              <w:rPr>
                <w:rFonts w:hint="eastAsia" w:ascii="Times New Roman" w:hAnsi="Times New Roman" w:cs="Times New Roman"/>
                <w:lang w:val="en-US" w:eastAsia="zh-CN"/>
              </w:rPr>
            </w:pPr>
            <w:r>
              <w:rPr>
                <w:rFonts w:hint="eastAsia" w:ascii="Times New Roman" w:hAnsi="Times New Roman" w:cs="Times New Roman"/>
                <w:lang w:val="en-US" w:eastAsia="zh-CN"/>
              </w:rPr>
              <w:drawing>
                <wp:inline distT="0" distB="0" distL="114300" distR="114300">
                  <wp:extent cx="3200400" cy="1778000"/>
                  <wp:effectExtent l="0" t="0" r="0" b="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6"/>
                          <a:stretch>
                            <a:fillRect/>
                          </a:stretch>
                        </pic:blipFill>
                        <pic:spPr>
                          <a:xfrm>
                            <a:off x="0" y="0"/>
                            <a:ext cx="3200400" cy="1778000"/>
                          </a:xfrm>
                          <a:prstGeom prst="rect">
                            <a:avLst/>
                          </a:prstGeom>
                          <a:noFill/>
                          <a:ln>
                            <a:noFill/>
                          </a:ln>
                        </pic:spPr>
                      </pic:pic>
                    </a:graphicData>
                  </a:graphic>
                </wp:inline>
              </w:drawing>
            </w:r>
            <w:r>
              <w:rPr>
                <w:rFonts w:hint="eastAsia" w:ascii="Times New Roman" w:hAnsi="Times New Roman" w:cs="Times New Roman"/>
                <w:lang w:val="en-US" w:eastAsia="zh-CN"/>
              </w:rPr>
              <w:drawing>
                <wp:inline distT="0" distB="0" distL="114300" distR="114300">
                  <wp:extent cx="2826385" cy="1731010"/>
                  <wp:effectExtent l="0" t="0" r="5715" b="889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17"/>
                          <a:stretch>
                            <a:fillRect/>
                          </a:stretch>
                        </pic:blipFill>
                        <pic:spPr>
                          <a:xfrm>
                            <a:off x="0" y="0"/>
                            <a:ext cx="2826385" cy="1731010"/>
                          </a:xfrm>
                          <a:prstGeom prst="rect">
                            <a:avLst/>
                          </a:prstGeom>
                          <a:noFill/>
                          <a:ln>
                            <a:noFill/>
                          </a:ln>
                        </pic:spPr>
                      </pic:pic>
                    </a:graphicData>
                  </a:graphic>
                </wp:inline>
              </w:drawing>
            </w:r>
          </w:p>
          <w:p>
            <w:pPr>
              <w:rPr>
                <w:rFonts w:hint="eastAsia" w:ascii="Times New Roman" w:hAnsi="Times New Roman" w:cs="Times New Roman"/>
                <w:lang w:val="en-US" w:eastAsia="zh-CN"/>
              </w:rPr>
            </w:pPr>
            <w:r>
              <w:rPr>
                <w:rFonts w:hint="eastAsia" w:ascii="Times New Roman" w:hAnsi="Times New Roman" w:cs="Times New Roman"/>
                <w:lang w:val="en-US" w:eastAsia="zh-CN"/>
              </w:rPr>
              <w:t>产品、质量、交付等采购信息明确，双方签章日期齐全。</w:t>
            </w:r>
          </w:p>
          <w:p>
            <w:pPr>
              <w:rPr>
                <w:rFonts w:hint="eastAsia" w:ascii="Times New Roman" w:hAnsi="Times New Roman" w:cs="Times New Roman"/>
                <w:lang w:val="en-US" w:eastAsia="zh-CN"/>
              </w:rPr>
            </w:pPr>
          </w:p>
          <w:p>
            <w:pPr>
              <w:rPr>
                <w:rFonts w:hint="default" w:ascii="Times New Roman" w:hAnsi="Times New Roman" w:cs="Times New Roman"/>
                <w:lang w:val="en-US" w:eastAsia="zh-CN"/>
              </w:rPr>
            </w:pPr>
          </w:p>
          <w:p>
            <w:pPr>
              <w:rPr>
                <w:rFonts w:hint="eastAsia" w:ascii="Times New Roman" w:hAnsi="Times New Roman" w:cs="Times New Roman"/>
                <w:lang w:val="en-US" w:eastAsia="zh-CN"/>
              </w:rPr>
            </w:pPr>
            <w:r>
              <w:rPr>
                <w:rFonts w:hint="eastAsia" w:ascii="Times New Roman" w:hAnsi="Times New Roman" w:cs="Times New Roman"/>
                <w:lang w:val="en-US" w:eastAsia="zh-CN"/>
              </w:rPr>
              <w:t>4、核查其采购申请、原料验收记录等均能提供。</w:t>
            </w:r>
          </w:p>
          <w:p>
            <w:pPr>
              <w:rPr>
                <w:rFonts w:hint="eastAsia" w:ascii="Times New Roman" w:hAnsi="Times New Roman" w:cs="Times New Roman"/>
                <w:lang w:val="en-US" w:eastAsia="zh-CN"/>
              </w:rPr>
            </w:pPr>
          </w:p>
          <w:p>
            <w:pPr>
              <w:rPr>
                <w:rFonts w:hint="eastAsia" w:ascii="Times New Roman" w:hAnsi="Times New Roman" w:cs="Times New Roman"/>
                <w:lang w:val="en-US" w:eastAsia="zh-CN"/>
              </w:rPr>
            </w:pPr>
          </w:p>
          <w:p>
            <w:pPr>
              <w:rPr>
                <w:rFonts w:hint="eastAsia" w:ascii="Times New Roman" w:hAnsi="Times New Roman" w:cs="Times New Roman"/>
                <w:lang w:val="en-US" w:eastAsia="zh-CN"/>
              </w:rPr>
            </w:pPr>
            <w:r>
              <w:rPr>
                <w:rFonts w:hint="eastAsia" w:ascii="Times New Roman" w:hAnsi="Times New Roman" w:cs="Times New Roman"/>
                <w:lang w:val="en-US" w:eastAsia="zh-CN"/>
              </w:rPr>
              <w:t>——基本符合</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环境因素/危险源辨识和职业安全风险评价</w:t>
            </w:r>
          </w:p>
        </w:tc>
        <w:tc>
          <w:tcPr>
            <w:tcW w:w="960" w:type="dxa"/>
            <w:vAlign w:val="top"/>
          </w:tcPr>
          <w:p>
            <w:pPr>
              <w:rPr>
                <w:rFonts w:hint="default"/>
                <w:highlight w:val="yellow"/>
                <w:lang w:val="en-US" w:eastAsia="zh-CN"/>
              </w:rPr>
            </w:pPr>
            <w:r>
              <w:rPr>
                <w:rFonts w:hint="eastAsia"/>
                <w:highlight w:val="none"/>
                <w:lang w:val="en-US" w:eastAsia="zh-CN"/>
              </w:rPr>
              <w:t>ES6.1.2</w:t>
            </w:r>
          </w:p>
        </w:tc>
        <w:tc>
          <w:tcPr>
            <w:tcW w:w="10004" w:type="dxa"/>
            <w:vAlign w:val="top"/>
          </w:tcPr>
          <w:p>
            <w:pPr>
              <w:pStyle w:val="8"/>
              <w:numPr>
                <w:ilvl w:val="0"/>
                <w:numId w:val="0"/>
              </w:numPr>
              <w:ind w:left="0" w:leftChars="0" w:firstLine="0" w:firstLineChars="0"/>
              <w:rPr>
                <w:rFonts w:hint="eastAsia"/>
                <w:highlight w:val="none"/>
                <w:lang w:val="en-US" w:eastAsia="zh-CN"/>
              </w:rPr>
            </w:pPr>
            <w:r>
              <w:rPr>
                <w:rFonts w:hint="eastAsia"/>
                <w:highlight w:val="none"/>
                <w:lang w:val="en-US" w:eastAsia="zh-CN"/>
              </w:rPr>
              <w:t>---策划的程序：《环境因素控制程序》。</w:t>
            </w:r>
          </w:p>
          <w:p>
            <w:pPr>
              <w:pStyle w:val="8"/>
              <w:numPr>
                <w:ilvl w:val="0"/>
                <w:numId w:val="0"/>
              </w:numPr>
              <w:ind w:left="0" w:leftChars="0" w:firstLine="0" w:firstLineChars="0"/>
              <w:rPr>
                <w:rFonts w:hint="eastAsia"/>
                <w:highlight w:val="none"/>
                <w:lang w:val="en-US" w:eastAsia="zh-CN"/>
              </w:rPr>
            </w:pPr>
            <w:r>
              <w:rPr>
                <w:rFonts w:hint="eastAsia"/>
                <w:highlight w:val="none"/>
                <w:lang w:val="en-US" w:eastAsia="zh-CN"/>
              </w:rPr>
              <w:t>-查“环境因素识别评价表（办公区域）”2022年7月2日，编审批齐全，按活动区域识别环境因数共50项，抽查如下：</w:t>
            </w:r>
          </w:p>
          <w:p>
            <w:pPr>
              <w:pStyle w:val="8"/>
              <w:numPr>
                <w:ilvl w:val="0"/>
                <w:numId w:val="0"/>
              </w:numPr>
              <w:ind w:left="0" w:leftChars="0" w:firstLine="0" w:firstLineChars="0"/>
              <w:rPr>
                <w:rFonts w:hint="eastAsia"/>
                <w:highlight w:val="none"/>
                <w:lang w:val="en-US" w:eastAsia="zh-CN"/>
              </w:rPr>
            </w:pPr>
            <w:r>
              <w:rPr>
                <w:highlight w:val="none"/>
              </w:rPr>
              <w:drawing>
                <wp:inline distT="0" distB="0" distL="114300" distR="114300">
                  <wp:extent cx="6172200" cy="1009650"/>
                  <wp:effectExtent l="0" t="0" r="0" b="635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8"/>
                          <a:stretch>
                            <a:fillRect/>
                          </a:stretch>
                        </pic:blipFill>
                        <pic:spPr>
                          <a:xfrm>
                            <a:off x="0" y="0"/>
                            <a:ext cx="6172200" cy="1009650"/>
                          </a:xfrm>
                          <a:prstGeom prst="rect">
                            <a:avLst/>
                          </a:prstGeom>
                          <a:noFill/>
                          <a:ln>
                            <a:noFill/>
                          </a:ln>
                        </pic:spPr>
                      </pic:pic>
                    </a:graphicData>
                  </a:graphic>
                </wp:inline>
              </w:drawing>
            </w:r>
          </w:p>
          <w:p>
            <w:pPr>
              <w:pStyle w:val="8"/>
              <w:numPr>
                <w:ilvl w:val="0"/>
                <w:numId w:val="0"/>
              </w:numPr>
              <w:ind w:left="0" w:leftChars="0" w:firstLine="0" w:firstLineChars="0"/>
              <w:rPr>
                <w:rFonts w:hint="eastAsia"/>
                <w:highlight w:val="none"/>
                <w:lang w:val="en-US" w:eastAsia="zh-CN"/>
              </w:rPr>
            </w:pPr>
          </w:p>
          <w:p>
            <w:pPr>
              <w:pStyle w:val="8"/>
              <w:numPr>
                <w:ilvl w:val="0"/>
                <w:numId w:val="0"/>
              </w:numPr>
              <w:ind w:left="0" w:leftChars="0" w:firstLine="0" w:firstLineChars="0"/>
              <w:rPr>
                <w:rFonts w:hint="eastAsia"/>
                <w:highlight w:val="none"/>
                <w:lang w:val="en-US" w:eastAsia="zh-CN"/>
              </w:rPr>
            </w:pPr>
            <w:r>
              <w:rPr>
                <w:rFonts w:hint="eastAsia"/>
                <w:highlight w:val="none"/>
                <w:lang w:val="en-US" w:eastAsia="zh-CN"/>
              </w:rPr>
              <w:t>-查“重要环境因素清单”2022年7月2日，编审批齐全，识别的重要环境因数涉及本部门的为固体废弃物排放及电源线路老化、漏电或其他原因导致潜在火灾的发生，指定的管控措施为《废弃物管理办法》、《火灾应急预案》及管理方案。</w:t>
            </w:r>
          </w:p>
          <w:p>
            <w:pPr>
              <w:pStyle w:val="8"/>
              <w:numPr>
                <w:ilvl w:val="0"/>
                <w:numId w:val="0"/>
              </w:numPr>
              <w:ind w:left="0" w:leftChars="0" w:firstLine="0" w:firstLineChars="0"/>
              <w:rPr>
                <w:rFonts w:hint="eastAsia"/>
                <w:highlight w:val="none"/>
                <w:lang w:val="en-US" w:eastAsia="zh-CN"/>
              </w:rPr>
            </w:pPr>
          </w:p>
          <w:p>
            <w:pPr>
              <w:pStyle w:val="8"/>
              <w:numPr>
                <w:ilvl w:val="0"/>
                <w:numId w:val="0"/>
              </w:numPr>
              <w:ind w:left="0" w:leftChars="0" w:firstLine="0" w:firstLineChars="0"/>
              <w:rPr>
                <w:rFonts w:hint="eastAsia"/>
                <w:highlight w:val="none"/>
                <w:lang w:val="en-US" w:eastAsia="zh-CN"/>
              </w:rPr>
            </w:pPr>
            <w:r>
              <w:rPr>
                <w:rFonts w:hint="eastAsia"/>
                <w:highlight w:val="none"/>
                <w:lang w:val="en-US" w:eastAsia="zh-CN"/>
              </w:rPr>
              <w:t>-查“危 险 源 辨 识 评 价 表”2022年7月2日，编审批齐全，按作业活动识别潜在危险因素共70项，抽查如下：</w:t>
            </w:r>
          </w:p>
          <w:p>
            <w:pPr>
              <w:pStyle w:val="8"/>
              <w:numPr>
                <w:ilvl w:val="0"/>
                <w:numId w:val="0"/>
              </w:numPr>
              <w:ind w:left="0" w:leftChars="0" w:firstLine="0" w:firstLineChars="0"/>
              <w:rPr>
                <w:rFonts w:hint="eastAsia"/>
                <w:highlight w:val="none"/>
                <w:lang w:val="en-US" w:eastAsia="zh-CN"/>
              </w:rPr>
            </w:pPr>
            <w:r>
              <w:rPr>
                <w:highlight w:val="none"/>
              </w:rPr>
              <w:drawing>
                <wp:inline distT="0" distB="0" distL="114300" distR="114300">
                  <wp:extent cx="6121400" cy="10287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9"/>
                          <a:stretch>
                            <a:fillRect/>
                          </a:stretch>
                        </pic:blipFill>
                        <pic:spPr>
                          <a:xfrm>
                            <a:off x="0" y="0"/>
                            <a:ext cx="6121400" cy="1028700"/>
                          </a:xfrm>
                          <a:prstGeom prst="rect">
                            <a:avLst/>
                          </a:prstGeom>
                          <a:noFill/>
                          <a:ln>
                            <a:noFill/>
                          </a:ln>
                        </pic:spPr>
                      </pic:pic>
                    </a:graphicData>
                  </a:graphic>
                </wp:inline>
              </w:drawing>
            </w:r>
          </w:p>
          <w:p>
            <w:pPr>
              <w:pStyle w:val="8"/>
              <w:numPr>
                <w:ilvl w:val="0"/>
                <w:numId w:val="0"/>
              </w:numPr>
              <w:ind w:left="0" w:leftChars="0" w:firstLine="0" w:firstLineChars="0"/>
              <w:rPr>
                <w:rFonts w:hint="eastAsia"/>
                <w:highlight w:val="none"/>
                <w:lang w:val="en-US" w:eastAsia="zh-CN"/>
              </w:rPr>
            </w:pPr>
          </w:p>
          <w:p>
            <w:pPr>
              <w:pStyle w:val="8"/>
              <w:numPr>
                <w:ilvl w:val="0"/>
                <w:numId w:val="0"/>
              </w:numPr>
              <w:ind w:left="0" w:leftChars="0" w:firstLine="0" w:firstLineChars="0"/>
              <w:rPr>
                <w:rFonts w:hint="eastAsia"/>
                <w:highlight w:val="none"/>
                <w:lang w:val="en-US" w:eastAsia="zh-CN"/>
              </w:rPr>
            </w:pPr>
            <w:r>
              <w:rPr>
                <w:rFonts w:hint="eastAsia"/>
                <w:highlight w:val="none"/>
                <w:lang w:val="en-US" w:eastAsia="zh-CN"/>
              </w:rPr>
              <w:t>-查“不可接受风险清单(公司总清单)”共识别不可接受风险5项，涉及本部门的为潜在火灾、爆炸及触电伤害。</w:t>
            </w:r>
          </w:p>
          <w:p>
            <w:pPr>
              <w:pStyle w:val="8"/>
              <w:numPr>
                <w:ilvl w:val="0"/>
                <w:numId w:val="0"/>
              </w:numPr>
              <w:ind w:left="0" w:leftChars="0" w:firstLine="0" w:firstLineChars="0"/>
              <w:rPr>
                <w:rFonts w:hint="eastAsia"/>
                <w:highlight w:val="none"/>
                <w:lang w:val="en-US" w:eastAsia="zh-CN"/>
              </w:rPr>
            </w:pPr>
          </w:p>
          <w:p>
            <w:pPr>
              <w:pStyle w:val="8"/>
              <w:numPr>
                <w:ilvl w:val="0"/>
                <w:numId w:val="0"/>
              </w:numPr>
              <w:ind w:left="0" w:leftChars="0" w:firstLine="0" w:firstLineChars="0"/>
              <w:rPr>
                <w:rFonts w:hint="eastAsia"/>
                <w:highlight w:val="yellow"/>
                <w:lang w:val="en-US" w:eastAsia="zh-CN"/>
              </w:rPr>
            </w:pPr>
            <w:r>
              <w:rPr>
                <w:rFonts w:hint="eastAsia"/>
                <w:highlight w:val="none"/>
                <w:lang w:val="en-US" w:eastAsia="zh-CN"/>
              </w:rPr>
              <w:t>——基本符合</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运行策划和控制</w:t>
            </w:r>
          </w:p>
        </w:tc>
        <w:tc>
          <w:tcPr>
            <w:tcW w:w="960" w:type="dxa"/>
            <w:vAlign w:val="top"/>
          </w:tcPr>
          <w:p>
            <w:pPr>
              <w:rPr>
                <w:rFonts w:hint="default"/>
                <w:highlight w:val="none"/>
                <w:lang w:val="en-US" w:eastAsia="zh-CN"/>
              </w:rPr>
            </w:pPr>
            <w:r>
              <w:rPr>
                <w:rFonts w:hint="eastAsia"/>
                <w:highlight w:val="none"/>
                <w:lang w:val="en-US" w:eastAsia="zh-CN"/>
              </w:rPr>
              <w:t>ES8.1</w:t>
            </w:r>
          </w:p>
        </w:tc>
        <w:tc>
          <w:tcPr>
            <w:tcW w:w="10004" w:type="dxa"/>
            <w:vAlign w:val="top"/>
          </w:tcPr>
          <w:p>
            <w:pPr>
              <w:pStyle w:val="8"/>
              <w:numPr>
                <w:ilvl w:val="0"/>
                <w:numId w:val="0"/>
              </w:numPr>
              <w:ind w:left="0" w:leftChars="0" w:firstLine="0" w:firstLineChars="0"/>
              <w:rPr>
                <w:rFonts w:hint="eastAsia"/>
                <w:highlight w:val="none"/>
                <w:lang w:val="en-US" w:eastAsia="zh-CN"/>
              </w:rPr>
            </w:pPr>
            <w:r>
              <w:rPr>
                <w:rFonts w:hint="eastAsia"/>
                <w:highlight w:val="none"/>
                <w:lang w:val="en-US" w:eastAsia="zh-CN"/>
              </w:rPr>
              <w:t>---负责人介绍，本部门的环境、安全运行控制的按照主控部门的策划执行；主要内容包括：</w:t>
            </w:r>
          </w:p>
          <w:p>
            <w:pPr>
              <w:pStyle w:val="8"/>
              <w:numPr>
                <w:ilvl w:val="0"/>
                <w:numId w:val="0"/>
              </w:numPr>
              <w:ind w:left="0" w:leftChars="0" w:firstLine="0" w:firstLineChars="0"/>
              <w:rPr>
                <w:rFonts w:hint="eastAsia"/>
                <w:highlight w:val="none"/>
                <w:lang w:val="en-US" w:eastAsia="zh-CN"/>
              </w:rPr>
            </w:pPr>
            <w:r>
              <w:rPr>
                <w:rFonts w:hint="eastAsia"/>
                <w:highlight w:val="none"/>
                <w:lang w:val="en-US" w:eastAsia="zh-CN"/>
              </w:rPr>
              <w:t>-固废管控：运营部办公室配备有垃圾篓，下班后倾倒在指定处置点。</w:t>
            </w:r>
          </w:p>
          <w:p>
            <w:pPr>
              <w:pStyle w:val="8"/>
              <w:numPr>
                <w:ilvl w:val="0"/>
                <w:numId w:val="0"/>
              </w:numPr>
              <w:ind w:left="0" w:leftChars="0" w:firstLine="0" w:firstLineChars="0"/>
              <w:rPr>
                <w:rFonts w:hint="eastAsia"/>
                <w:highlight w:val="none"/>
                <w:lang w:val="en-US" w:eastAsia="zh-CN"/>
              </w:rPr>
            </w:pPr>
            <w:r>
              <w:rPr>
                <w:rFonts w:hint="eastAsia"/>
                <w:highlight w:val="none"/>
                <w:lang w:val="en-US" w:eastAsia="zh-CN"/>
              </w:rPr>
              <w:t>-废水管控：办公、生活废水通过市政管道排放。</w:t>
            </w:r>
          </w:p>
          <w:p>
            <w:pPr>
              <w:pStyle w:val="8"/>
              <w:numPr>
                <w:ilvl w:val="0"/>
                <w:numId w:val="0"/>
              </w:numPr>
              <w:ind w:left="0" w:leftChars="0" w:firstLine="0" w:firstLineChars="0"/>
              <w:rPr>
                <w:rFonts w:hint="eastAsia"/>
                <w:highlight w:val="none"/>
                <w:lang w:val="en-US" w:eastAsia="zh-CN"/>
              </w:rPr>
            </w:pPr>
            <w:r>
              <w:rPr>
                <w:rFonts w:hint="eastAsia"/>
                <w:highlight w:val="none"/>
                <w:lang w:val="en-US" w:eastAsia="zh-CN"/>
              </w:rPr>
              <w:t>-噪音管控：运营部办公室基本无噪音。</w:t>
            </w:r>
          </w:p>
          <w:p>
            <w:pPr>
              <w:pStyle w:val="8"/>
              <w:numPr>
                <w:ilvl w:val="0"/>
                <w:numId w:val="0"/>
              </w:numPr>
              <w:ind w:left="0" w:leftChars="0" w:firstLine="0" w:firstLineChars="0"/>
              <w:rPr>
                <w:rFonts w:hint="eastAsia"/>
                <w:highlight w:val="none"/>
                <w:lang w:val="en-US" w:eastAsia="zh-CN"/>
              </w:rPr>
            </w:pPr>
            <w:r>
              <w:rPr>
                <w:rFonts w:hint="eastAsia"/>
                <w:highlight w:val="none"/>
                <w:lang w:val="en-US" w:eastAsia="zh-CN"/>
              </w:rPr>
              <w:t>-废气管控：运营部办公室基本无废气。</w:t>
            </w:r>
          </w:p>
          <w:p>
            <w:pPr>
              <w:pStyle w:val="8"/>
              <w:numPr>
                <w:ilvl w:val="0"/>
                <w:numId w:val="0"/>
              </w:numPr>
              <w:ind w:left="0" w:leftChars="0" w:firstLine="0" w:firstLineChars="0"/>
              <w:rPr>
                <w:rFonts w:hint="eastAsia"/>
                <w:highlight w:val="none"/>
                <w:lang w:val="en-US" w:eastAsia="zh-CN"/>
              </w:rPr>
            </w:pPr>
            <w:r>
              <w:rPr>
                <w:rFonts w:hint="eastAsia"/>
                <w:highlight w:val="none"/>
                <w:lang w:val="en-US" w:eastAsia="zh-CN"/>
              </w:rPr>
              <w:t>-潜在火灾管控：下班关掉所有电源，如发现破损电源线路及时安排修理或更换，参加主控部门组织的火灾演练。</w:t>
            </w:r>
          </w:p>
          <w:p>
            <w:pPr>
              <w:pStyle w:val="8"/>
              <w:numPr>
                <w:ilvl w:val="0"/>
                <w:numId w:val="0"/>
              </w:numPr>
              <w:ind w:left="0" w:leftChars="0" w:firstLine="0" w:firstLineChars="0"/>
              <w:rPr>
                <w:rFonts w:hint="eastAsia"/>
                <w:highlight w:val="none"/>
                <w:lang w:val="en-US" w:eastAsia="zh-CN"/>
              </w:rPr>
            </w:pPr>
            <w:r>
              <w:rPr>
                <w:rFonts w:hint="eastAsia"/>
                <w:highlight w:val="none"/>
                <w:lang w:val="en-US" w:eastAsia="zh-CN"/>
              </w:rPr>
              <w:t>-意识管控：员工进行过环保、安全知识方面的培训。</w:t>
            </w:r>
          </w:p>
          <w:p>
            <w:pPr>
              <w:pStyle w:val="8"/>
              <w:numPr>
                <w:ilvl w:val="0"/>
                <w:numId w:val="0"/>
              </w:numPr>
              <w:ind w:left="0" w:leftChars="0" w:firstLine="0" w:firstLineChars="0"/>
              <w:rPr>
                <w:rFonts w:hint="eastAsia"/>
                <w:highlight w:val="none"/>
                <w:lang w:val="en-US" w:eastAsia="zh-CN"/>
              </w:rPr>
            </w:pPr>
            <w:r>
              <w:rPr>
                <w:rFonts w:hint="eastAsia"/>
                <w:highlight w:val="none"/>
                <w:lang w:val="en-US" w:eastAsia="zh-CN"/>
              </w:rPr>
              <w:t>---远程视频查看办公场所配备有空调、照明灯具、办公家具、垃圾筐、灭火器。办公场所整洁，未发现固废随意排放情况，办公及生活垃圾按要求放置，未发现有违规用电／用火情况，未发现有明显的安全隐患。</w:t>
            </w:r>
          </w:p>
          <w:p>
            <w:pPr>
              <w:pStyle w:val="8"/>
              <w:numPr>
                <w:ilvl w:val="0"/>
                <w:numId w:val="0"/>
              </w:numPr>
              <w:ind w:left="0" w:leftChars="0" w:firstLine="0" w:firstLineChars="0"/>
              <w:rPr>
                <w:rFonts w:hint="eastAsia"/>
                <w:highlight w:val="yellow"/>
                <w:lang w:val="en-US" w:eastAsia="zh-CN"/>
              </w:rPr>
            </w:pPr>
            <w:r>
              <w:rPr>
                <w:rFonts w:hint="eastAsia"/>
                <w:highlight w:val="none"/>
                <w:lang w:val="en-US" w:eastAsia="zh-CN"/>
              </w:rPr>
              <w:t>——基本符合。</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应急准备和响应</w:t>
            </w:r>
          </w:p>
        </w:tc>
        <w:tc>
          <w:tcPr>
            <w:tcW w:w="960" w:type="dxa"/>
            <w:vAlign w:val="top"/>
          </w:tcPr>
          <w:p>
            <w:pPr>
              <w:rPr>
                <w:rFonts w:hint="default"/>
                <w:highlight w:val="none"/>
                <w:lang w:val="en-US" w:eastAsia="zh-CN"/>
              </w:rPr>
            </w:pPr>
            <w:r>
              <w:rPr>
                <w:rFonts w:hint="eastAsia"/>
                <w:highlight w:val="none"/>
                <w:lang w:val="en-US" w:eastAsia="zh-CN"/>
              </w:rPr>
              <w:t>ES8.2</w:t>
            </w:r>
          </w:p>
        </w:tc>
        <w:tc>
          <w:tcPr>
            <w:tcW w:w="10004" w:type="dxa"/>
            <w:vAlign w:val="top"/>
          </w:tcPr>
          <w:p>
            <w:pPr>
              <w:pStyle w:val="8"/>
              <w:numPr>
                <w:ilvl w:val="0"/>
                <w:numId w:val="0"/>
              </w:numPr>
              <w:ind w:left="0" w:leftChars="0" w:firstLine="0" w:firstLineChars="0"/>
              <w:rPr>
                <w:rFonts w:hint="eastAsia"/>
                <w:highlight w:val="yellow"/>
                <w:lang w:val="en-US" w:eastAsia="zh-CN"/>
              </w:rPr>
            </w:pPr>
            <w:r>
              <w:rPr>
                <w:rFonts w:hint="eastAsia" w:ascii="Times New Roman" w:hAnsi="Times New Roman" w:eastAsia="宋体" w:cs="Times New Roman"/>
                <w:lang w:val="en-US" w:eastAsia="zh-CN"/>
              </w:rPr>
              <w:t>部门参与了主控部门于2022.11.9.组织的4家联营公司联合开展火灾应急演练，有效果评价。</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监测、分析和评价总则；分析与评价</w:t>
            </w:r>
          </w:p>
        </w:tc>
        <w:tc>
          <w:tcPr>
            <w:tcW w:w="960" w:type="dxa"/>
            <w:vAlign w:val="top"/>
          </w:tcPr>
          <w:p>
            <w:pPr>
              <w:rPr>
                <w:rFonts w:hint="default"/>
                <w:highlight w:val="none"/>
                <w:lang w:val="en-US" w:eastAsia="zh-CN"/>
              </w:rPr>
            </w:pPr>
            <w:r>
              <w:rPr>
                <w:rFonts w:hint="eastAsia"/>
                <w:highlight w:val="none"/>
                <w:lang w:val="en-US" w:eastAsia="zh-CN"/>
              </w:rPr>
              <w:t>Q9.1.1/9.1.3</w:t>
            </w:r>
          </w:p>
        </w:tc>
        <w:tc>
          <w:tcPr>
            <w:tcW w:w="10004" w:type="dxa"/>
            <w:vAlign w:val="top"/>
          </w:tcPr>
          <w:p>
            <w:pPr>
              <w:rPr>
                <w:rFonts w:hint="eastAsia"/>
              </w:rPr>
            </w:pPr>
            <w:r>
              <w:rPr>
                <w:rFonts w:hint="eastAsia"/>
              </w:rPr>
              <w:t>1、核查其按照体系要求建立有完善的内部检查机制，其中包括：内审、</w:t>
            </w:r>
            <w:r>
              <w:rPr>
                <w:rFonts w:hint="eastAsia"/>
                <w:lang w:val="en-US" w:eastAsia="zh-CN"/>
              </w:rPr>
              <w:t>管评、</w:t>
            </w:r>
            <w:r>
              <w:rPr>
                <w:rFonts w:hint="eastAsia"/>
              </w:rPr>
              <w:t>工作目标绩效考核，各层级例行的工作检查等。</w:t>
            </w:r>
          </w:p>
          <w:p>
            <w:pPr>
              <w:rPr>
                <w:rFonts w:hint="eastAsia"/>
              </w:rPr>
            </w:pPr>
            <w:r>
              <w:rPr>
                <w:rFonts w:hint="eastAsia"/>
              </w:rPr>
              <w:t>2、部门分解目标均有效达成，内审发现的不符合</w:t>
            </w:r>
            <w:r>
              <w:rPr>
                <w:rFonts w:hint="eastAsia"/>
                <w:lang w:val="en-US" w:eastAsia="zh-CN"/>
              </w:rPr>
              <w:t>不涉及系统性及区域性失效，</w:t>
            </w:r>
            <w:r>
              <w:rPr>
                <w:rFonts w:hint="eastAsia"/>
              </w:rPr>
              <w:t>已验证关闭。</w:t>
            </w:r>
          </w:p>
          <w:p>
            <w:pPr>
              <w:pStyle w:val="8"/>
              <w:numPr>
                <w:ilvl w:val="0"/>
                <w:numId w:val="0"/>
              </w:numPr>
              <w:ind w:left="0" w:leftChars="0" w:firstLine="0" w:firstLineChars="0"/>
              <w:rPr>
                <w:rFonts w:hint="eastAsia"/>
                <w:highlight w:val="yellow"/>
                <w:lang w:val="en-US" w:eastAsia="zh-CN"/>
              </w:rPr>
            </w:pPr>
            <w:r>
              <w:rPr>
                <w:rFonts w:hint="eastAsia"/>
                <w:lang w:val="en-US" w:eastAsia="zh-CN"/>
              </w:rPr>
              <w:t>——基本符合</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顾客满意；</w:t>
            </w:r>
          </w:p>
        </w:tc>
        <w:tc>
          <w:tcPr>
            <w:tcW w:w="960" w:type="dxa"/>
            <w:vAlign w:val="top"/>
          </w:tcPr>
          <w:p>
            <w:pPr>
              <w:rPr>
                <w:rFonts w:hint="eastAsia"/>
                <w:highlight w:val="none"/>
                <w:lang w:val="en-US" w:eastAsia="zh-CN"/>
              </w:rPr>
            </w:pPr>
            <w:r>
              <w:rPr>
                <w:rFonts w:hint="eastAsia"/>
                <w:highlight w:val="none"/>
                <w:lang w:val="en-US" w:eastAsia="zh-CN"/>
              </w:rPr>
              <w:t>Q9.1.2</w:t>
            </w:r>
          </w:p>
        </w:tc>
        <w:tc>
          <w:tcPr>
            <w:tcW w:w="10004" w:type="dxa"/>
            <w:vAlign w:val="top"/>
          </w:tcPr>
          <w:p>
            <w:pPr>
              <w:rPr>
                <w:rFonts w:hint="eastAsia"/>
                <w:highlight w:val="none"/>
                <w:lang w:val="en-US" w:eastAsia="zh-CN"/>
              </w:rPr>
            </w:pPr>
            <w:r>
              <w:rPr>
                <w:rFonts w:hint="eastAsia"/>
                <w:highlight w:val="none"/>
                <w:lang w:val="en-US" w:eastAsia="zh-CN"/>
              </w:rPr>
              <w:t>查“顾客满意度调查表”及“顾客满意度调查分析报告”，</w:t>
            </w:r>
            <w:r>
              <w:rPr>
                <w:rFonts w:hint="eastAsia"/>
                <w:highlight w:val="none"/>
              </w:rPr>
              <w:t>调查日期：</w:t>
            </w:r>
            <w:r>
              <w:rPr>
                <w:rFonts w:hint="eastAsia"/>
                <w:highlight w:val="none"/>
                <w:lang w:eastAsia="zh-CN"/>
              </w:rPr>
              <w:t>2022-</w:t>
            </w:r>
            <w:r>
              <w:rPr>
                <w:rFonts w:hint="eastAsia"/>
                <w:highlight w:val="none"/>
                <w:lang w:val="en-US" w:eastAsia="zh-CN"/>
              </w:rPr>
              <w:t>11</w:t>
            </w:r>
            <w:r>
              <w:rPr>
                <w:rFonts w:hint="eastAsia"/>
                <w:highlight w:val="none"/>
                <w:lang w:eastAsia="zh-CN"/>
              </w:rPr>
              <w:t>-</w:t>
            </w:r>
            <w:r>
              <w:rPr>
                <w:rFonts w:hint="eastAsia"/>
                <w:highlight w:val="none"/>
                <w:lang w:val="en-US" w:eastAsia="zh-CN"/>
              </w:rPr>
              <w:t>10</w:t>
            </w:r>
            <w:r>
              <w:rPr>
                <w:rFonts w:hint="eastAsia"/>
                <w:highlight w:val="none"/>
                <w:lang w:eastAsia="zh-CN"/>
              </w:rPr>
              <w:t>，</w:t>
            </w:r>
            <w:r>
              <w:rPr>
                <w:rFonts w:hint="eastAsia"/>
                <w:highlight w:val="none"/>
                <w:lang w:val="en-US" w:eastAsia="zh-CN"/>
              </w:rPr>
              <w:t>对攀钢集团工程技术有限公司及攀钢集团攀枝花坤牛物流有限公司等进行了调查，综合得分98分；</w:t>
            </w:r>
          </w:p>
          <w:p>
            <w:pPr>
              <w:pStyle w:val="8"/>
              <w:rPr>
                <w:rFonts w:hint="eastAsia" w:ascii="宋体" w:hAnsi="宋体" w:eastAsia="宋体" w:cs="宋体"/>
                <w:color w:val="000000"/>
                <w:sz w:val="24"/>
                <w:highlight w:val="none"/>
                <w:lang w:val="en-US" w:eastAsia="zh-CN"/>
              </w:rPr>
            </w:pPr>
          </w:p>
          <w:p>
            <w:pPr>
              <w:pStyle w:val="8"/>
              <w:numPr>
                <w:ilvl w:val="0"/>
                <w:numId w:val="0"/>
              </w:numPr>
              <w:ind w:left="0" w:leftChars="0" w:firstLine="0" w:firstLineChars="0"/>
              <w:rPr>
                <w:rFonts w:hint="eastAsia" w:ascii="宋体" w:hAnsi="宋体" w:eastAsia="宋体" w:cs="宋体"/>
                <w:color w:val="000000"/>
                <w:sz w:val="24"/>
                <w:highlight w:val="yellow"/>
                <w:lang w:val="en-US" w:eastAsia="zh-CN"/>
              </w:rPr>
            </w:pPr>
            <w:r>
              <w:rPr>
                <w:rFonts w:hint="eastAsia" w:ascii="宋体" w:hAnsi="宋体" w:eastAsia="宋体" w:cs="宋体"/>
                <w:color w:val="000000"/>
                <w:sz w:val="24"/>
                <w:highlight w:val="none"/>
                <w:lang w:val="en-US" w:eastAsia="zh-CN"/>
              </w:rPr>
              <w:t>——基本符合</w:t>
            </w:r>
          </w:p>
        </w:tc>
        <w:tc>
          <w:tcPr>
            <w:tcW w:w="1585" w:type="dxa"/>
          </w:tcPr>
          <w:p>
            <w:pPr>
              <w:rPr>
                <w:rFonts w:hint="eastAsia" w:eastAsia="宋体"/>
                <w:lang w:val="en-US" w:eastAsia="zh-CN"/>
              </w:rPr>
            </w:pPr>
            <w:r>
              <w:rPr>
                <w:rFonts w:hint="eastAsia"/>
                <w:lang w:val="en-US" w:eastAsia="zh-CN"/>
              </w:rPr>
              <w:t>Y</w:t>
            </w:r>
          </w:p>
        </w:tc>
      </w:tr>
    </w:tbl>
    <w:p>
      <w:r>
        <w:ptab w:relativeTo="margin" w:alignment="center" w:leader="none"/>
      </w:r>
    </w:p>
    <w:p/>
    <w:p/>
    <w:p>
      <w:pPr>
        <w:pStyle w:val="4"/>
      </w:pPr>
      <w:r>
        <w:rPr>
          <w:rFonts w:hint="eastAsia"/>
        </w:rPr>
        <w:t>说明：不符合标注N</w:t>
      </w: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4"/>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98" w:leftChars="-41" w:firstLine="810" w:firstLineChars="450"/>
      <w:jc w:val="left"/>
      <w:rPr>
        <w:rStyle w:val="12"/>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2"/>
        <w:rFonts w:hint="default"/>
      </w:rPr>
      <w:t>北京国标联合认证有限公司</w:t>
    </w:r>
    <w:r>
      <w:rPr>
        <w:rStyle w:val="12"/>
        <w:rFonts w:hint="default"/>
      </w:rPr>
      <w:tab/>
    </w:r>
    <w:r>
      <w:rPr>
        <w:rStyle w:val="12"/>
        <w:rFonts w:hint="default"/>
      </w:rPr>
      <w:tab/>
    </w:r>
    <w:r>
      <w:rPr>
        <w:rStyle w:val="12"/>
        <w:rFonts w:hint="default"/>
      </w:rPr>
      <w:tab/>
    </w:r>
  </w:p>
  <w:p>
    <w:pPr>
      <w:pStyle w:val="5"/>
      <w:pBdr>
        <w:bottom w:val="none" w:color="auto" w:sz="0" w:space="0"/>
      </w:pBdr>
      <w:spacing w:line="320" w:lineRule="exact"/>
      <w:ind w:firstLine="756" w:firstLineChars="400"/>
      <w:jc w:val="left"/>
    </w:pPr>
    <w:r>
      <w:rPr>
        <w:rStyle w:val="12"/>
        <w:rFonts w:hint="default"/>
        <w:w w:val="90"/>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mNkY2MxNWJjNGRmNzZlOGE1ZDgyZDcwMDg5YTkyNGEifQ=="/>
  </w:docVars>
  <w:rsids>
    <w:rsidRoot w:val="00000000"/>
    <w:rsid w:val="02906F11"/>
    <w:rsid w:val="03522419"/>
    <w:rsid w:val="05EC26B0"/>
    <w:rsid w:val="06402A94"/>
    <w:rsid w:val="07852DBD"/>
    <w:rsid w:val="08253C58"/>
    <w:rsid w:val="0AED7401"/>
    <w:rsid w:val="0D904269"/>
    <w:rsid w:val="0DB96917"/>
    <w:rsid w:val="0F31338F"/>
    <w:rsid w:val="0FD7442D"/>
    <w:rsid w:val="149C69A2"/>
    <w:rsid w:val="150A60E0"/>
    <w:rsid w:val="1776627E"/>
    <w:rsid w:val="184B6451"/>
    <w:rsid w:val="19593CDE"/>
    <w:rsid w:val="1A0744A6"/>
    <w:rsid w:val="21A06B66"/>
    <w:rsid w:val="22832DB5"/>
    <w:rsid w:val="23517B9F"/>
    <w:rsid w:val="24422863"/>
    <w:rsid w:val="24625F84"/>
    <w:rsid w:val="2B1C518D"/>
    <w:rsid w:val="2BF37A45"/>
    <w:rsid w:val="2E1A575D"/>
    <w:rsid w:val="2E374FCC"/>
    <w:rsid w:val="2E3F4BE7"/>
    <w:rsid w:val="2F5C76FC"/>
    <w:rsid w:val="2F9E23BE"/>
    <w:rsid w:val="2FB2753E"/>
    <w:rsid w:val="30741715"/>
    <w:rsid w:val="308474AF"/>
    <w:rsid w:val="3103697D"/>
    <w:rsid w:val="318A2BFA"/>
    <w:rsid w:val="323E5792"/>
    <w:rsid w:val="33B52B1A"/>
    <w:rsid w:val="3451671F"/>
    <w:rsid w:val="366A2FFA"/>
    <w:rsid w:val="37AC1E14"/>
    <w:rsid w:val="3A502507"/>
    <w:rsid w:val="3BE92C13"/>
    <w:rsid w:val="404219A0"/>
    <w:rsid w:val="41D1217F"/>
    <w:rsid w:val="420A2F7A"/>
    <w:rsid w:val="46070B62"/>
    <w:rsid w:val="463211F6"/>
    <w:rsid w:val="482A346A"/>
    <w:rsid w:val="484C07B1"/>
    <w:rsid w:val="48E57894"/>
    <w:rsid w:val="493E3092"/>
    <w:rsid w:val="4A04507A"/>
    <w:rsid w:val="4AFF1DFB"/>
    <w:rsid w:val="4BCE3AD9"/>
    <w:rsid w:val="4CD11285"/>
    <w:rsid w:val="4E465CA3"/>
    <w:rsid w:val="4EBB48DA"/>
    <w:rsid w:val="506D7517"/>
    <w:rsid w:val="509A2907"/>
    <w:rsid w:val="52552958"/>
    <w:rsid w:val="52691F60"/>
    <w:rsid w:val="53FC752F"/>
    <w:rsid w:val="54B41BB8"/>
    <w:rsid w:val="561C5C04"/>
    <w:rsid w:val="56B153BE"/>
    <w:rsid w:val="57035E61"/>
    <w:rsid w:val="58314691"/>
    <w:rsid w:val="585B665C"/>
    <w:rsid w:val="5AC65FAE"/>
    <w:rsid w:val="5BA858A7"/>
    <w:rsid w:val="5D2544BA"/>
    <w:rsid w:val="5EF37781"/>
    <w:rsid w:val="601E082E"/>
    <w:rsid w:val="60F5158E"/>
    <w:rsid w:val="61E37EAA"/>
    <w:rsid w:val="62DC44FF"/>
    <w:rsid w:val="63F47135"/>
    <w:rsid w:val="6C156F89"/>
    <w:rsid w:val="6D415B5B"/>
    <w:rsid w:val="6E0A010B"/>
    <w:rsid w:val="6E0C6169"/>
    <w:rsid w:val="6E364D3C"/>
    <w:rsid w:val="6EA346F6"/>
    <w:rsid w:val="70C745CA"/>
    <w:rsid w:val="7127308D"/>
    <w:rsid w:val="72D354A8"/>
    <w:rsid w:val="732B37E3"/>
    <w:rsid w:val="73762F4A"/>
    <w:rsid w:val="742427A5"/>
    <w:rsid w:val="7879264D"/>
    <w:rsid w:val="799043B8"/>
    <w:rsid w:val="7A831561"/>
    <w:rsid w:val="7BCE0F02"/>
    <w:rsid w:val="7DDD542C"/>
    <w:rsid w:val="7F8D08B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semiHidden/>
    <w:unhideWhenUsed/>
    <w:qFormat/>
    <w:uiPriority w:val="99"/>
    <w:pPr>
      <w:spacing w:after="120" w:afterLines="0" w:afterAutospacing="0"/>
    </w:pPr>
  </w:style>
  <w:style w:type="paragraph" w:styleId="3">
    <w:name w:val="Balloon Text"/>
    <w:basedOn w:val="1"/>
    <w:link w:val="11"/>
    <w:semiHidden/>
    <w:unhideWhenUsed/>
    <w:qFormat/>
    <w:uiPriority w:val="99"/>
    <w:rPr>
      <w:sz w:val="18"/>
      <w:szCs w:val="18"/>
    </w:r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next w:val="2"/>
    <w:link w:val="9"/>
    <w:unhideWhenUsed/>
    <w:qFormat/>
    <w:uiPriority w:val="0"/>
    <w:pPr>
      <w:pBdr>
        <w:bottom w:val="single" w:color="auto" w:sz="6" w:space="1"/>
      </w:pBdr>
      <w:tabs>
        <w:tab w:val="center" w:pos="4153"/>
        <w:tab w:val="right" w:pos="8306"/>
      </w:tabs>
      <w:snapToGrid w:val="0"/>
      <w:jc w:val="center"/>
    </w:pPr>
    <w:rPr>
      <w:sz w:val="18"/>
      <w:szCs w:val="18"/>
    </w:rPr>
  </w:style>
  <w:style w:type="paragraph" w:customStyle="1" w:styleId="8">
    <w:name w:val="表格文字"/>
    <w:basedOn w:val="1"/>
    <w:qFormat/>
    <w:uiPriority w:val="0"/>
    <w:pPr>
      <w:spacing w:before="25" w:after="25"/>
    </w:pPr>
    <w:rPr>
      <w:bCs/>
      <w:spacing w:val="10"/>
    </w:rPr>
  </w:style>
  <w:style w:type="character" w:customStyle="1" w:styleId="9">
    <w:name w:val="页眉 Char"/>
    <w:basedOn w:val="7"/>
    <w:link w:val="5"/>
    <w:qFormat/>
    <w:uiPriority w:val="99"/>
    <w:rPr>
      <w:rFonts w:ascii="Times New Roman" w:hAnsi="Times New Roman" w:eastAsia="宋体" w:cs="Times New Roman"/>
      <w:sz w:val="18"/>
      <w:szCs w:val="18"/>
    </w:rPr>
  </w:style>
  <w:style w:type="character" w:customStyle="1" w:styleId="10">
    <w:name w:val="页脚 Char"/>
    <w:basedOn w:val="7"/>
    <w:link w:val="4"/>
    <w:qFormat/>
    <w:uiPriority w:val="99"/>
    <w:rPr>
      <w:rFonts w:ascii="Times New Roman" w:hAnsi="Times New Roman" w:eastAsia="宋体" w:cs="Times New Roman"/>
      <w:sz w:val="18"/>
      <w:szCs w:val="18"/>
    </w:rPr>
  </w:style>
  <w:style w:type="character" w:customStyle="1" w:styleId="11">
    <w:name w:val="批注框文本 Char"/>
    <w:basedOn w:val="7"/>
    <w:link w:val="3"/>
    <w:semiHidden/>
    <w:qFormat/>
    <w:uiPriority w:val="99"/>
    <w:rPr>
      <w:rFonts w:ascii="Times New Roman" w:hAnsi="Times New Roman" w:eastAsia="宋体" w:cs="Times New Roman"/>
      <w:sz w:val="18"/>
      <w:szCs w:val="18"/>
    </w:rPr>
  </w:style>
  <w:style w:type="character" w:customStyle="1" w:styleId="12">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2217</Words>
  <Characters>2421</Characters>
  <Lines>1</Lines>
  <Paragraphs>1</Paragraphs>
  <TotalTime>74</TotalTime>
  <ScaleCrop>false</ScaleCrop>
  <LinksUpToDate>false</LinksUpToDate>
  <CharactersWithSpaces>2471</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mlh52058</cp:lastModifiedBy>
  <dcterms:modified xsi:type="dcterms:W3CDTF">2023-01-10T03:50:14Z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7DFCEC2663F8433AAB0395BE4DD38EEB</vt:lpwstr>
  </property>
  <property fmtid="{D5CDD505-2E9C-101B-9397-08002B2CF9AE}" pid="3" name="KSOProductBuildVer">
    <vt:lpwstr>2052-11.1.0.12980</vt:lpwstr>
  </property>
</Properties>
</file>