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新宋体"/>
                <w:sz w:val="21"/>
                <w:szCs w:val="21"/>
                <w:lang w:val="en-US" w:eastAsia="zh-CN"/>
              </w:rPr>
              <w:t>综合部</w:t>
            </w:r>
            <w:r>
              <w:rPr>
                <w:rFonts w:hint="eastAsia"/>
                <w:sz w:val="24"/>
                <w:szCs w:val="24"/>
                <w:lang w:val="en-US" w:eastAsia="zh-CN"/>
              </w:rPr>
              <w:t xml:space="preserve">     </w:t>
            </w:r>
            <w:r>
              <w:rPr>
                <w:rFonts w:hint="eastAsia"/>
                <w:sz w:val="24"/>
                <w:szCs w:val="24"/>
              </w:rPr>
              <w:t>主管领导：</w:t>
            </w:r>
            <w:bookmarkStart w:id="2" w:name="_GoBack"/>
            <w:bookmarkEnd w:id="2"/>
            <w:r>
              <w:rPr>
                <w:rFonts w:hint="eastAsia" w:ascii="宋体" w:hAnsi="宋体"/>
                <w:lang w:val="en-US" w:eastAsia="zh-CN"/>
              </w:rPr>
              <w:t>肖静萍</w:t>
            </w:r>
            <w:r>
              <w:rPr>
                <w:rFonts w:hint="eastAsia"/>
                <w:sz w:val="24"/>
                <w:szCs w:val="24"/>
                <w:lang w:val="en-US" w:eastAsia="zh-CN"/>
              </w:rPr>
              <w:t xml:space="preserve">      </w:t>
            </w:r>
            <w:r>
              <w:rPr>
                <w:rFonts w:hint="eastAsia"/>
                <w:sz w:val="24"/>
                <w:szCs w:val="24"/>
              </w:rPr>
              <w:t>陪同人员：</w:t>
            </w:r>
            <w:r>
              <w:rPr>
                <w:rFonts w:hint="eastAsia" w:ascii="宋体" w:hAnsi="宋体"/>
                <w:lang w:val="en-US" w:eastAsia="zh-CN"/>
              </w:rPr>
              <w:t>肖静萍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val="en-US" w:eastAsia="zh-CN"/>
              </w:rPr>
              <w:t xml:space="preserve">/远程、微信      </w:t>
            </w:r>
            <w:r>
              <w:rPr>
                <w:rFonts w:hint="eastAsia"/>
                <w:sz w:val="24"/>
                <w:szCs w:val="24"/>
              </w:rPr>
              <w:t>审核时间：</w:t>
            </w:r>
            <w:bookmarkStart w:id="1" w:name="审核日期"/>
            <w:r>
              <w:t>202</w:t>
            </w:r>
            <w:r>
              <w:rPr>
                <w:rFonts w:hint="eastAsia"/>
                <w:lang w:val="en-US" w:eastAsia="zh-CN"/>
              </w:rPr>
              <w:t>3</w:t>
            </w:r>
            <w:r>
              <w:t>年</w:t>
            </w:r>
            <w:r>
              <w:rPr>
                <w:rFonts w:hint="eastAsia"/>
                <w:lang w:val="en-US" w:eastAsia="zh-CN"/>
              </w:rPr>
              <w:t xml:space="preserve">  1 </w:t>
            </w:r>
            <w:r>
              <w:t>月</w:t>
            </w:r>
            <w:r>
              <w:rPr>
                <w:rFonts w:hint="eastAsia"/>
                <w:lang w:val="en-US" w:eastAsia="zh-CN"/>
              </w:rPr>
              <w:t xml:space="preserve">  6  </w:t>
            </w:r>
            <w:r>
              <w:t xml:space="preserve">日 </w:t>
            </w:r>
            <w:bookmarkEnd w:id="1"/>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宋体" w:hAnsi="宋体"/>
                <w:b/>
                <w:bCs/>
                <w:sz w:val="21"/>
                <w:szCs w:val="21"/>
                <w:lang w:val="en-US" w:eastAsia="zh-CN"/>
              </w:rPr>
            </w:pPr>
            <w:r>
              <w:rPr>
                <w:rFonts w:hint="eastAsia"/>
                <w:sz w:val="24"/>
                <w:szCs w:val="24"/>
              </w:rPr>
              <w:t>审核条款：</w:t>
            </w:r>
          </w:p>
          <w:p>
            <w:pPr>
              <w:snapToGrid w:val="0"/>
              <w:spacing w:line="240" w:lineRule="exact"/>
              <w:rPr>
                <w:rFonts w:hint="eastAsia" w:ascii="宋体" w:hAnsi="宋体" w:cs="新宋体"/>
                <w:sz w:val="21"/>
                <w:szCs w:val="21"/>
              </w:rPr>
            </w:pPr>
            <w:r>
              <w:rPr>
                <w:rFonts w:hint="eastAsia" w:ascii="宋体" w:hAnsi="宋体" w:cs="新宋体"/>
                <w:sz w:val="21"/>
                <w:szCs w:val="21"/>
              </w:rPr>
              <w:t>QMS：5.3岗位/职责 /权限；6.2质量目标及其实现的策划； 9.2内部审核；</w:t>
            </w:r>
          </w:p>
          <w:p>
            <w:pPr>
              <w:snapToGrid w:val="0"/>
              <w:spacing w:line="240" w:lineRule="exact"/>
              <w:rPr>
                <w:rFonts w:ascii="宋体" w:hAnsi="宋体" w:cs="新宋体"/>
                <w:sz w:val="21"/>
                <w:szCs w:val="21"/>
              </w:rPr>
            </w:pPr>
            <w:r>
              <w:rPr>
                <w:rFonts w:hint="eastAsia" w:ascii="宋体" w:hAnsi="宋体" w:cs="新宋体"/>
                <w:sz w:val="21"/>
                <w:szCs w:val="21"/>
              </w:rPr>
              <w:t>EMS：5.3组织的角色、职责和权限;； 6.2目标及其达成的策划；6.1.2环境因素；9.2内部审核；</w:t>
            </w:r>
          </w:p>
          <w:p>
            <w:pPr>
              <w:rPr>
                <w:sz w:val="24"/>
                <w:szCs w:val="24"/>
              </w:rPr>
            </w:pPr>
            <w:r>
              <w:rPr>
                <w:rFonts w:hint="eastAsia" w:ascii="宋体" w:hAnsi="宋体" w:cs="新宋体"/>
                <w:sz w:val="21"/>
                <w:szCs w:val="21"/>
              </w:rPr>
              <w:t xml:space="preserve">OHSMS：5.3组织的角色、职责和权限;； 6.2目标及其达成的策划；6.1.2危险源辨识和职业安全风险评价；9.2内部审核；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岗位/职责 /权限</w:t>
            </w:r>
          </w:p>
        </w:tc>
        <w:tc>
          <w:tcPr>
            <w:tcW w:w="960" w:type="dxa"/>
            <w:vAlign w:val="top"/>
          </w:tcPr>
          <w:p>
            <w:pPr>
              <w:rPr>
                <w:rFonts w:hint="default" w:eastAsia="宋体"/>
                <w:lang w:val="en-US" w:eastAsia="zh-CN"/>
              </w:rPr>
            </w:pPr>
            <w:r>
              <w:rPr>
                <w:rFonts w:hint="eastAsia"/>
                <w:lang w:val="en-US" w:eastAsia="zh-CN"/>
              </w:rPr>
              <w:t>QES5.3</w:t>
            </w:r>
          </w:p>
        </w:tc>
        <w:tc>
          <w:tcPr>
            <w:tcW w:w="10004" w:type="dxa"/>
            <w:vAlign w:val="top"/>
          </w:tcPr>
          <w:p>
            <w:pPr>
              <w:spacing w:line="420" w:lineRule="exact"/>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查手册5.3：</w:t>
            </w:r>
          </w:p>
          <w:p>
            <w:pPr>
              <w:pStyle w:val="8"/>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综合部职责和权限：</w:t>
            </w:r>
          </w:p>
          <w:p>
            <w:pPr>
              <w:pStyle w:val="8"/>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——认真贯彻执行公司经营方针和重大决策，负责监督和检查公司各项决议的执行落实情况，建立相应的台账，进行备忘提醒；</w:t>
            </w:r>
          </w:p>
          <w:p>
            <w:pPr>
              <w:pStyle w:val="8"/>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——协助领导层组织好公司的管理评审，保存管理评审形成的资料；</w:t>
            </w:r>
          </w:p>
          <w:p>
            <w:pPr>
              <w:pStyle w:val="8"/>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——负责拟订公司管理制度、通知、文件，对全体员工执行制度、通知、文件情况进行监督和跟踪；</w:t>
            </w:r>
          </w:p>
          <w:p>
            <w:pPr>
              <w:pStyle w:val="8"/>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——负责做好档案管理工作，建立档案的存档、借阅、复印台账；</w:t>
            </w:r>
          </w:p>
          <w:p>
            <w:pPr>
              <w:pStyle w:val="8"/>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——负责公司办公设备、办公用品的购买、验收、使用登记、维护保养并定期检查使用管理工作；</w:t>
            </w:r>
          </w:p>
          <w:p>
            <w:pPr>
              <w:pStyle w:val="8"/>
              <w:rPr>
                <w:rFonts w:hint="eastAsia"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。。。。。。等等。</w:t>
            </w:r>
          </w:p>
          <w:p>
            <w:pPr>
              <w:spacing w:line="420" w:lineRule="exact"/>
              <w:rPr>
                <w:rFonts w:hint="default" w:ascii="宋体" w:hAnsi="宋体" w:eastAsia="宋体" w:cs="Times New Roman"/>
                <w:bCs/>
                <w:color w:val="auto"/>
                <w:spacing w:val="10"/>
                <w:kern w:val="2"/>
                <w:sz w:val="24"/>
                <w:szCs w:val="24"/>
                <w:lang w:val="en-US" w:eastAsia="zh-CN" w:bidi="ar-SA"/>
              </w:rPr>
            </w:pPr>
            <w:r>
              <w:rPr>
                <w:rFonts w:hint="eastAsia" w:ascii="宋体" w:hAnsi="宋体" w:eastAsia="宋体" w:cs="Times New Roman"/>
                <w:bCs/>
                <w:color w:val="auto"/>
                <w:spacing w:val="10"/>
                <w:kern w:val="2"/>
                <w:sz w:val="24"/>
                <w:szCs w:val="24"/>
                <w:lang w:val="en-US" w:eastAsia="zh-CN" w:bidi="ar-SA"/>
              </w:rPr>
              <w:t>——基本符合</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r>
              <w:rPr>
                <w:rFonts w:hint="eastAsia" w:ascii="Times New Roman" w:hAnsi="Times New Roman" w:eastAsia="宋体" w:cs="Times New Roman"/>
                <w:highlight w:val="none"/>
                <w:lang w:val="en-US" w:eastAsia="zh-CN"/>
              </w:rPr>
              <w:t>环境因素/危险源辨识和职业安全风险评价</w:t>
            </w:r>
          </w:p>
        </w:tc>
        <w:tc>
          <w:tcPr>
            <w:tcW w:w="960" w:type="dxa"/>
            <w:vAlign w:val="top"/>
          </w:tcPr>
          <w:p>
            <w:r>
              <w:rPr>
                <w:rFonts w:hint="eastAsia"/>
                <w:highlight w:val="none"/>
                <w:lang w:val="en-US" w:eastAsia="zh-CN"/>
              </w:rPr>
              <w:t>ES6.1.2</w:t>
            </w:r>
          </w:p>
        </w:tc>
        <w:tc>
          <w:tcPr>
            <w:tcW w:w="10004" w:type="dxa"/>
            <w:vAlign w:val="top"/>
          </w:tcPr>
          <w:p>
            <w:pPr>
              <w:pStyle w:val="8"/>
              <w:numPr>
                <w:ilvl w:val="0"/>
                <w:numId w:val="0"/>
              </w:numPr>
              <w:ind w:left="0" w:leftChars="0" w:firstLine="0" w:firstLineChars="0"/>
              <w:rPr>
                <w:rFonts w:hint="eastAsia"/>
                <w:highlight w:val="none"/>
                <w:lang w:val="en-US" w:eastAsia="zh-CN"/>
              </w:rPr>
            </w:pPr>
            <w:r>
              <w:rPr>
                <w:rFonts w:hint="eastAsia"/>
                <w:highlight w:val="none"/>
                <w:lang w:val="en-US" w:eastAsia="zh-CN"/>
              </w:rPr>
              <w:t>---策划的程序：《环境因素控制程序》。</w:t>
            </w:r>
          </w:p>
          <w:p>
            <w:pPr>
              <w:pStyle w:val="8"/>
              <w:numPr>
                <w:ilvl w:val="0"/>
                <w:numId w:val="0"/>
              </w:numPr>
              <w:ind w:left="0" w:leftChars="0" w:firstLine="0" w:firstLineChars="0"/>
              <w:rPr>
                <w:rFonts w:hint="eastAsia"/>
                <w:highlight w:val="none"/>
                <w:lang w:val="en-US" w:eastAsia="zh-CN"/>
              </w:rPr>
            </w:pPr>
            <w:r>
              <w:rPr>
                <w:rFonts w:hint="eastAsia"/>
                <w:highlight w:val="none"/>
                <w:lang w:val="en-US" w:eastAsia="zh-CN"/>
              </w:rPr>
              <w:t>-查“环境因素识别评价表（办公区域）”2022年7月2日，编审批齐全，按活动区域识别环境因数共50项，抽查如下：</w:t>
            </w:r>
          </w:p>
          <w:p>
            <w:pPr>
              <w:pStyle w:val="8"/>
              <w:numPr>
                <w:ilvl w:val="0"/>
                <w:numId w:val="0"/>
              </w:numPr>
              <w:ind w:left="0" w:leftChars="0" w:firstLine="0" w:firstLineChars="0"/>
              <w:rPr>
                <w:rFonts w:hint="eastAsia"/>
                <w:highlight w:val="none"/>
                <w:lang w:val="en-US" w:eastAsia="zh-CN"/>
              </w:rPr>
            </w:pPr>
            <w:r>
              <w:drawing>
                <wp:inline distT="0" distB="0" distL="114300" distR="114300">
                  <wp:extent cx="6159500" cy="12192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6159500" cy="1219200"/>
                          </a:xfrm>
                          <a:prstGeom prst="rect">
                            <a:avLst/>
                          </a:prstGeom>
                          <a:noFill/>
                          <a:ln>
                            <a:noFill/>
                          </a:ln>
                        </pic:spPr>
                      </pic:pic>
                    </a:graphicData>
                  </a:graphic>
                </wp:inline>
              </w:drawing>
            </w:r>
          </w:p>
          <w:p>
            <w:pPr>
              <w:pStyle w:val="8"/>
              <w:numPr>
                <w:ilvl w:val="0"/>
                <w:numId w:val="0"/>
              </w:numPr>
              <w:ind w:left="0" w:leftChars="0" w:firstLine="0" w:firstLineChars="0"/>
              <w:rPr>
                <w:rFonts w:hint="eastAsia"/>
                <w:highlight w:val="none"/>
                <w:lang w:val="en-US" w:eastAsia="zh-CN"/>
              </w:rPr>
            </w:pPr>
          </w:p>
          <w:p>
            <w:pPr>
              <w:pStyle w:val="8"/>
              <w:numPr>
                <w:ilvl w:val="0"/>
                <w:numId w:val="0"/>
              </w:numPr>
              <w:ind w:left="0" w:leftChars="0" w:firstLine="0" w:firstLineChars="0"/>
              <w:rPr>
                <w:rFonts w:hint="eastAsia"/>
                <w:highlight w:val="none"/>
                <w:lang w:val="en-US" w:eastAsia="zh-CN"/>
              </w:rPr>
            </w:pPr>
            <w:r>
              <w:rPr>
                <w:rFonts w:hint="eastAsia"/>
                <w:highlight w:val="none"/>
                <w:lang w:val="en-US" w:eastAsia="zh-CN"/>
              </w:rPr>
              <w:t>-查“重要环境因素清单”2022年7月2日，编审批齐全，识别的重要环境因数涉及本部门的为固体废弃物排放及电源线路老化、漏电或其他原因导致潜在火灾的发生，指定的管控措施为《废弃物管理办法》、《火灾应急预案》及管理方案。</w:t>
            </w:r>
          </w:p>
          <w:p>
            <w:pPr>
              <w:pStyle w:val="8"/>
              <w:numPr>
                <w:ilvl w:val="0"/>
                <w:numId w:val="0"/>
              </w:numPr>
              <w:ind w:left="0" w:leftChars="0" w:firstLine="0" w:firstLineChars="0"/>
              <w:rPr>
                <w:rFonts w:hint="eastAsia"/>
                <w:highlight w:val="none"/>
                <w:lang w:val="en-US" w:eastAsia="zh-CN"/>
              </w:rPr>
            </w:pPr>
          </w:p>
          <w:p>
            <w:pPr>
              <w:pStyle w:val="8"/>
              <w:numPr>
                <w:ilvl w:val="0"/>
                <w:numId w:val="0"/>
              </w:numPr>
              <w:ind w:left="0" w:leftChars="0" w:firstLine="0" w:firstLineChars="0"/>
              <w:rPr>
                <w:rFonts w:hint="eastAsia"/>
                <w:highlight w:val="none"/>
                <w:lang w:val="en-US" w:eastAsia="zh-CN"/>
              </w:rPr>
            </w:pPr>
            <w:r>
              <w:rPr>
                <w:rFonts w:hint="eastAsia"/>
                <w:highlight w:val="none"/>
                <w:lang w:val="en-US" w:eastAsia="zh-CN"/>
              </w:rPr>
              <w:t>-查“危 险 源 辨 识 评 价 表”2022年7月2日，编审批齐全，按作业活动识别潜在危险因素共70项，抽查如下：</w:t>
            </w:r>
          </w:p>
          <w:p>
            <w:pPr>
              <w:pStyle w:val="8"/>
              <w:numPr>
                <w:ilvl w:val="0"/>
                <w:numId w:val="0"/>
              </w:numPr>
              <w:ind w:left="0" w:leftChars="0" w:firstLine="0" w:firstLineChars="0"/>
              <w:rPr>
                <w:rFonts w:hint="eastAsia"/>
                <w:highlight w:val="none"/>
                <w:lang w:val="en-US" w:eastAsia="zh-CN"/>
              </w:rPr>
            </w:pPr>
            <w:r>
              <w:drawing>
                <wp:inline distT="0" distB="0" distL="114300" distR="114300">
                  <wp:extent cx="6102350" cy="9969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102350" cy="996950"/>
                          </a:xfrm>
                          <a:prstGeom prst="rect">
                            <a:avLst/>
                          </a:prstGeom>
                          <a:noFill/>
                          <a:ln>
                            <a:noFill/>
                          </a:ln>
                        </pic:spPr>
                      </pic:pic>
                    </a:graphicData>
                  </a:graphic>
                </wp:inline>
              </w:drawing>
            </w:r>
          </w:p>
          <w:p>
            <w:pPr>
              <w:pStyle w:val="8"/>
              <w:numPr>
                <w:ilvl w:val="0"/>
                <w:numId w:val="0"/>
              </w:numPr>
              <w:ind w:left="0" w:leftChars="0" w:firstLine="0" w:firstLineChars="0"/>
              <w:rPr>
                <w:rFonts w:hint="eastAsia"/>
                <w:highlight w:val="none"/>
                <w:lang w:val="en-US" w:eastAsia="zh-CN"/>
              </w:rPr>
            </w:pPr>
          </w:p>
          <w:p>
            <w:pPr>
              <w:pStyle w:val="8"/>
              <w:numPr>
                <w:ilvl w:val="0"/>
                <w:numId w:val="0"/>
              </w:numPr>
              <w:ind w:left="0" w:leftChars="0" w:firstLine="0" w:firstLineChars="0"/>
              <w:rPr>
                <w:rFonts w:hint="eastAsia"/>
                <w:highlight w:val="none"/>
                <w:lang w:val="en-US" w:eastAsia="zh-CN"/>
              </w:rPr>
            </w:pPr>
            <w:r>
              <w:rPr>
                <w:rFonts w:hint="eastAsia"/>
                <w:highlight w:val="none"/>
                <w:lang w:val="en-US" w:eastAsia="zh-CN"/>
              </w:rPr>
              <w:t>-查“不可接受风险清单(公司总清单)”共识别不可接受风险5项，涉及本部门的为潜在火灾、爆炸及触电伤害。</w:t>
            </w:r>
          </w:p>
          <w:p>
            <w:pPr>
              <w:pStyle w:val="8"/>
              <w:numPr>
                <w:ilvl w:val="0"/>
                <w:numId w:val="0"/>
              </w:numPr>
              <w:ind w:left="0" w:leftChars="0" w:firstLine="0" w:firstLineChars="0"/>
              <w:rPr>
                <w:rFonts w:hint="eastAsia"/>
                <w:highlight w:val="none"/>
                <w:lang w:val="en-US" w:eastAsia="zh-CN"/>
              </w:rPr>
            </w:pPr>
          </w:p>
          <w:p>
            <w:pPr>
              <w:pStyle w:val="8"/>
              <w:numPr>
                <w:ilvl w:val="0"/>
                <w:numId w:val="0"/>
              </w:numPr>
              <w:ind w:left="0" w:leftChars="0" w:firstLine="0" w:firstLineChars="0"/>
            </w:pPr>
            <w:r>
              <w:rPr>
                <w:rFonts w:hint="eastAsia"/>
                <w:highlight w:val="none"/>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ascii="Times New Roman" w:hAnsi="Times New Roman" w:eastAsia="宋体" w:cs="Times New Roman"/>
              </w:rPr>
              <w:t>目标及其达成的策划</w:t>
            </w:r>
          </w:p>
        </w:tc>
        <w:tc>
          <w:tcPr>
            <w:tcW w:w="960" w:type="dxa"/>
            <w:vAlign w:val="top"/>
          </w:tcPr>
          <w:p>
            <w:r>
              <w:rPr>
                <w:rFonts w:hint="eastAsia"/>
                <w:lang w:val="en-US" w:eastAsia="zh-CN"/>
              </w:rPr>
              <w:t>QES6.2</w:t>
            </w:r>
          </w:p>
        </w:tc>
        <w:tc>
          <w:tcPr>
            <w:tcW w:w="10004" w:type="dxa"/>
            <w:vAlign w:val="top"/>
          </w:tcPr>
          <w:p>
            <w:pPr>
              <w:rPr>
                <w:rFonts w:hint="eastAsia"/>
                <w:lang w:val="en-US" w:eastAsia="zh-CN"/>
              </w:rPr>
            </w:pPr>
            <w:r>
              <w:rPr>
                <w:rFonts w:hint="eastAsia"/>
                <w:lang w:val="en-US" w:eastAsia="zh-CN"/>
              </w:rPr>
              <w:t>查“（2022年）目标、指标完成情况监控记录”，内容显示2-3季度部门目标均已达成。</w:t>
            </w:r>
          </w:p>
          <w:p>
            <w:pPr>
              <w:pStyle w:val="8"/>
            </w:pPr>
            <w:r>
              <w:drawing>
                <wp:inline distT="0" distB="0" distL="114300" distR="114300">
                  <wp:extent cx="6067425" cy="1431290"/>
                  <wp:effectExtent l="0" t="0" r="3175"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6067425" cy="1431290"/>
                          </a:xfrm>
                          <a:prstGeom prst="rect">
                            <a:avLst/>
                          </a:prstGeom>
                          <a:noFill/>
                          <a:ln>
                            <a:noFill/>
                          </a:ln>
                        </pic:spPr>
                      </pic:pic>
                    </a:graphicData>
                  </a:graphic>
                </wp:inline>
              </w:drawing>
            </w:r>
          </w:p>
          <w:p>
            <w:pPr>
              <w:pStyle w:val="8"/>
              <w:rPr>
                <w:rFonts w:hint="default" w:eastAsia="宋体"/>
                <w:lang w:val="en-US" w:eastAsia="zh-CN"/>
              </w:rPr>
            </w:pPr>
            <w:r>
              <w:rPr>
                <w:rFonts w:hint="eastAsia"/>
                <w:lang w:eastAsia="zh-CN"/>
              </w:rPr>
              <w:t>——</w:t>
            </w:r>
            <w:r>
              <w:rPr>
                <w:rFonts w:hint="eastAsia"/>
                <w:lang w:val="en-US" w:eastAsia="zh-CN"/>
              </w:rPr>
              <w:t>基本符合</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rPr>
            </w:pPr>
            <w:r>
              <w:rPr>
                <w:rFonts w:hint="eastAsia" w:cs="Arial" w:asciiTheme="minorEastAsia" w:hAnsiTheme="minorEastAsia" w:eastAsiaTheme="minorEastAsia"/>
                <w:sz w:val="21"/>
                <w:szCs w:val="21"/>
                <w:u w:val="none"/>
              </w:rPr>
              <w:t>内部审核</w:t>
            </w:r>
          </w:p>
        </w:tc>
        <w:tc>
          <w:tcPr>
            <w:tcW w:w="960" w:type="dxa"/>
            <w:vAlign w:val="top"/>
          </w:tcPr>
          <w:p>
            <w:pPr>
              <w:rPr>
                <w:rFonts w:hint="eastAsia"/>
                <w:lang w:val="en-US" w:eastAsia="zh-CN"/>
              </w:rPr>
            </w:pPr>
            <w:r>
              <w:rPr>
                <w:rFonts w:hint="eastAsia"/>
                <w:lang w:val="en-US" w:eastAsia="zh-CN"/>
              </w:rPr>
              <w:t>QES9.2</w:t>
            </w:r>
          </w:p>
        </w:tc>
        <w:tc>
          <w:tcPr>
            <w:tcW w:w="10004" w:type="dxa"/>
            <w:vAlign w:val="top"/>
          </w:tcPr>
          <w:p>
            <w:pPr>
              <w:rPr>
                <w:rFonts w:hint="eastAsia"/>
              </w:rPr>
            </w:pPr>
            <w:r>
              <w:rPr>
                <w:rFonts w:hint="eastAsia"/>
              </w:rPr>
              <w:t xml:space="preserve">---制定了《内部审核控制程序》进行内部审核过程控制 </w:t>
            </w:r>
          </w:p>
          <w:p>
            <w:pPr>
              <w:rPr>
                <w:rFonts w:hint="eastAsia"/>
              </w:rPr>
            </w:pPr>
            <w:r>
              <w:rPr>
                <w:rFonts w:hint="eastAsia"/>
              </w:rPr>
              <w:t>查2022.</w:t>
            </w:r>
            <w:r>
              <w:rPr>
                <w:rFonts w:hint="eastAsia"/>
                <w:lang w:val="en-US" w:eastAsia="zh-CN"/>
              </w:rPr>
              <w:t>10.10</w:t>
            </w:r>
            <w:r>
              <w:rPr>
                <w:rFonts w:hint="eastAsia"/>
              </w:rPr>
              <w:t>.制定计划，2022.</w:t>
            </w:r>
            <w:r>
              <w:rPr>
                <w:rFonts w:hint="eastAsia"/>
                <w:lang w:val="en-US" w:eastAsia="zh-CN"/>
              </w:rPr>
              <w:t>10</w:t>
            </w:r>
            <w:r>
              <w:rPr>
                <w:rFonts w:hint="eastAsia"/>
              </w:rPr>
              <w:t>.</w:t>
            </w:r>
            <w:r>
              <w:rPr>
                <w:rFonts w:hint="eastAsia"/>
                <w:lang w:val="en-US" w:eastAsia="zh-CN"/>
              </w:rPr>
              <w:t>18.</w:t>
            </w:r>
            <w:r>
              <w:rPr>
                <w:rFonts w:hint="eastAsia"/>
              </w:rPr>
              <w:t>实施的内部审核，内容包括审核目的、审核范围、审核准则、审核具体日程安排、编制批准等，内容完整，能够满足策划要求。</w:t>
            </w:r>
          </w:p>
          <w:p>
            <w:pPr>
              <w:rPr>
                <w:rFonts w:hint="eastAsia"/>
              </w:rPr>
            </w:pPr>
            <w:r>
              <w:rPr>
                <w:rFonts w:hint="eastAsia"/>
              </w:rPr>
              <w:t>提供各部门《内部审核检查表》，内容包括条款号、审核内容</w:t>
            </w:r>
            <w:r>
              <w:rPr>
                <w:rFonts w:hint="eastAsia" w:ascii="宋体" w:hAnsi="宋体"/>
                <w:szCs w:val="21"/>
              </w:rPr>
              <w:t>方法</w:t>
            </w:r>
            <w:r>
              <w:rPr>
                <w:rFonts w:hint="eastAsia"/>
              </w:rPr>
              <w:t>、审核记录和结果判定等，记录显示，审核组有按照计划要求进行，满足执行要求。</w:t>
            </w:r>
          </w:p>
          <w:p>
            <w:pPr>
              <w:rPr>
                <w:rFonts w:hint="eastAsia"/>
              </w:rPr>
            </w:pPr>
            <w:r>
              <w:rPr>
                <w:rFonts w:hint="eastAsia"/>
              </w:rPr>
              <w:t xml:space="preserve">查《内审报告》中内部审核结论：在不符合项采取了纠正措施并验证其有效性后，本公司质量、环境和职业健康安全管理体系的有效性、适宜性和符合性将有所提高，质量、环境和职业健康安全管理体系文件得到了有效的实施和保持。 </w:t>
            </w:r>
          </w:p>
          <w:p>
            <w:pPr>
              <w:rPr>
                <w:rFonts w:hint="eastAsia"/>
              </w:rPr>
            </w:pPr>
            <w:r>
              <w:rPr>
                <w:rFonts w:hint="eastAsia"/>
              </w:rPr>
              <w:t>查内审发现不符合</w:t>
            </w:r>
            <w:r>
              <w:rPr>
                <w:rFonts w:hint="eastAsia"/>
                <w:lang w:val="en-US" w:eastAsia="zh-CN"/>
              </w:rPr>
              <w:t>1</w:t>
            </w:r>
            <w:r>
              <w:rPr>
                <w:rFonts w:hint="eastAsia"/>
              </w:rPr>
              <w:t>项，</w:t>
            </w:r>
            <w:r>
              <w:rPr>
                <w:rFonts w:hint="eastAsia"/>
                <w:lang w:val="en-US" w:eastAsia="zh-CN"/>
              </w:rPr>
              <w:t>分布在运营部，</w:t>
            </w:r>
            <w:r>
              <w:rPr>
                <w:rFonts w:hint="eastAsia"/>
              </w:rPr>
              <w:t>不符合已验证关闭。</w:t>
            </w:r>
          </w:p>
          <w:p>
            <w:r>
              <w:rPr>
                <w:rFonts w:hint="eastAsia"/>
              </w:rPr>
              <w:t>——内部审核控制基本有效。</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0D40D69"/>
    <w:rsid w:val="060F45F1"/>
    <w:rsid w:val="066210AC"/>
    <w:rsid w:val="07FB307F"/>
    <w:rsid w:val="0D9D2217"/>
    <w:rsid w:val="0E8D69FB"/>
    <w:rsid w:val="0F494F53"/>
    <w:rsid w:val="161D68B6"/>
    <w:rsid w:val="184B6451"/>
    <w:rsid w:val="1B7105EA"/>
    <w:rsid w:val="20803CC9"/>
    <w:rsid w:val="23810484"/>
    <w:rsid w:val="23F92711"/>
    <w:rsid w:val="24625F84"/>
    <w:rsid w:val="2B1C518D"/>
    <w:rsid w:val="2D26209C"/>
    <w:rsid w:val="337C3F57"/>
    <w:rsid w:val="3E843743"/>
    <w:rsid w:val="43762DA0"/>
    <w:rsid w:val="44E7628B"/>
    <w:rsid w:val="472A4C9A"/>
    <w:rsid w:val="493E3092"/>
    <w:rsid w:val="4BCE3AD9"/>
    <w:rsid w:val="4EBB48DA"/>
    <w:rsid w:val="4F642884"/>
    <w:rsid w:val="528D20F2"/>
    <w:rsid w:val="52CC2C1B"/>
    <w:rsid w:val="53C2401E"/>
    <w:rsid w:val="661F70AE"/>
    <w:rsid w:val="66707C28"/>
    <w:rsid w:val="693B41FE"/>
    <w:rsid w:val="6FD1766A"/>
    <w:rsid w:val="6FF869A5"/>
    <w:rsid w:val="78197E01"/>
    <w:rsid w:val="783D79BD"/>
    <w:rsid w:val="7A3E36EC"/>
    <w:rsid w:val="7F8D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2"/>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1104</Words>
  <Characters>1204</Characters>
  <Lines>1</Lines>
  <Paragraphs>1</Paragraphs>
  <TotalTime>1</TotalTime>
  <ScaleCrop>false</ScaleCrop>
  <LinksUpToDate>false</LinksUpToDate>
  <CharactersWithSpaces>1248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2023-01-10T03:51:14Z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2052-11.1.0.12980</vt:lpwstr>
  </property>
</Properties>
</file>