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ascii="宋体" w:hAnsi="宋体"/>
                <w:lang w:val="en-US" w:eastAsia="zh-CN"/>
              </w:rPr>
              <w:t>杨勇、何兵</w:t>
            </w:r>
            <w:r>
              <w:rPr>
                <w:rFonts w:hint="eastAsia" w:ascii="宋体" w:hAnsi="宋体" w:eastAsia="宋体" w:cs="Times New Roman"/>
                <w:lang w:val="en-US" w:eastAsia="zh-CN"/>
              </w:rPr>
              <w:t xml:space="preserve">、吴琼   </w:t>
            </w:r>
            <w:r>
              <w:rPr>
                <w:rFonts w:hint="eastAsia"/>
                <w:sz w:val="24"/>
                <w:szCs w:val="24"/>
                <w:lang w:val="en-US" w:eastAsia="zh-CN"/>
              </w:rPr>
              <w:t xml:space="preserve">   </w:t>
            </w:r>
            <w:r>
              <w:rPr>
                <w:rFonts w:hint="eastAsia"/>
                <w:sz w:val="24"/>
                <w:szCs w:val="24"/>
              </w:rPr>
              <w:t>陪同人员：</w:t>
            </w:r>
            <w:r>
              <w:rPr>
                <w:rFonts w:hint="eastAsia" w:ascii="宋体" w:hAnsi="宋体"/>
                <w:lang w:val="en-US" w:eastAsia="zh-CN"/>
              </w:rPr>
              <w:t>何兵</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bookmarkStart w:id="0" w:name="审核组成员不含组长"/>
            <w:r>
              <w:rPr>
                <w:rFonts w:hint="eastAsia"/>
                <w:sz w:val="24"/>
                <w:szCs w:val="24"/>
              </w:rPr>
              <w:t>周文</w:t>
            </w:r>
            <w:bookmarkEnd w:id="0"/>
            <w:r>
              <w:rPr>
                <w:rFonts w:hint="eastAsia"/>
                <w:sz w:val="24"/>
                <w:szCs w:val="24"/>
                <w:lang w:val="en-US" w:eastAsia="zh-CN"/>
              </w:rPr>
              <w:t xml:space="preserve">/远程、微信视频       </w:t>
            </w:r>
            <w:r>
              <w:rPr>
                <w:rFonts w:hint="eastAsia"/>
                <w:sz w:val="24"/>
                <w:szCs w:val="24"/>
              </w:rPr>
              <w:t>审核时间：</w:t>
            </w:r>
            <w:bookmarkStart w:id="1" w:name="审核日期"/>
            <w:r>
              <w:t>202</w:t>
            </w:r>
            <w:r>
              <w:rPr>
                <w:rFonts w:hint="eastAsia"/>
                <w:lang w:val="en-US" w:eastAsia="zh-CN"/>
              </w:rPr>
              <w:t>3</w:t>
            </w:r>
            <w:r>
              <w:t>年</w:t>
            </w:r>
            <w:r>
              <w:rPr>
                <w:rFonts w:hint="eastAsia"/>
                <w:lang w:val="en-US" w:eastAsia="zh-CN"/>
              </w:rPr>
              <w:t xml:space="preserve">   1</w:t>
            </w:r>
            <w:r>
              <w:t>月</w:t>
            </w:r>
            <w:r>
              <w:rPr>
                <w:rFonts w:hint="eastAsia"/>
                <w:lang w:val="en-US" w:eastAsia="zh-CN"/>
              </w:rPr>
              <w:t xml:space="preserve">  5  </w:t>
            </w:r>
            <w:r>
              <w:t xml:space="preserve">日 </w:t>
            </w:r>
            <w:bookmarkEnd w:id="1"/>
            <w:r>
              <w:rPr>
                <w:rFonts w:hint="eastAsia"/>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300" w:lineRule="exact"/>
              <w:rPr>
                <w:rFonts w:hint="eastAsia" w:ascii="宋体" w:hAnsi="宋体"/>
                <w:b/>
                <w:bCs/>
                <w:sz w:val="21"/>
                <w:szCs w:val="21"/>
                <w:lang w:val="en-US" w:eastAsia="zh-CN"/>
              </w:rPr>
            </w:pPr>
            <w:r>
              <w:rPr>
                <w:rFonts w:hint="eastAsia"/>
                <w:sz w:val="24"/>
                <w:szCs w:val="24"/>
              </w:rPr>
              <w:t>审核条款：</w:t>
            </w:r>
          </w:p>
          <w:p>
            <w:pPr>
              <w:spacing w:line="300" w:lineRule="exact"/>
              <w:rPr>
                <w:rFonts w:ascii="宋体" w:hAnsi="宋体" w:cs="新宋体"/>
                <w:sz w:val="21"/>
                <w:szCs w:val="21"/>
              </w:rPr>
            </w:pPr>
            <w:r>
              <w:rPr>
                <w:rFonts w:hint="eastAsia" w:ascii="宋体" w:hAnsi="宋体" w:cs="新宋体"/>
                <w:sz w:val="21"/>
                <w:szCs w:val="21"/>
              </w:rPr>
              <w:t>QMS ：4.1组织及其环境;4.2相关方需求与期望;4.3确定体系范围;4.4体系及其过程;5.1领导作用与承诺;5.2方针;5.3组织的角色、职责和权限；6.1应对风险和机遇的措施；6.2目标及其实现的策划；6.3变更的策划；7.1.1资源 总则；9.1.1监测、分析和评价总则；9.3管理评审；10.1改进 总则；10.3持续改进；</w:t>
            </w:r>
          </w:p>
          <w:p>
            <w:pPr>
              <w:spacing w:line="300" w:lineRule="exact"/>
              <w:rPr>
                <w:sz w:val="21"/>
                <w:szCs w:val="21"/>
              </w:rPr>
            </w:pPr>
          </w:p>
          <w:p>
            <w:pPr>
              <w:spacing w:line="300" w:lineRule="exact"/>
              <w:rPr>
                <w:rFonts w:hint="eastAsia"/>
                <w:sz w:val="21"/>
                <w:szCs w:val="21"/>
              </w:rPr>
            </w:pPr>
            <w:r>
              <w:rPr>
                <w:rFonts w:hint="eastAsia"/>
                <w:sz w:val="21"/>
                <w:szCs w:val="21"/>
              </w:rPr>
              <w:t>EMS：4.1组织及其环境;4.2相关方需求与期望;4.3确定体系范围;4.4体系;5.1领导作用与承诺;5.2方针;5.3组织的角色、职责和权限；6.1.1策划总则；6.1.4措施的策划；6.2目标及其实现的策划；7.1资源；9.1.1监测、分析和评估总则；9.3管理评审；10.1改进 总则；10.3持续改进。</w:t>
            </w:r>
          </w:p>
          <w:p>
            <w:pPr>
              <w:pStyle w:val="13"/>
            </w:pPr>
          </w:p>
          <w:p>
            <w:pPr>
              <w:spacing w:line="300" w:lineRule="exact"/>
              <w:rPr>
                <w:rFonts w:ascii="宋体" w:hAnsi="宋体" w:cs="新宋体"/>
                <w:sz w:val="21"/>
                <w:szCs w:val="21"/>
              </w:rPr>
            </w:pPr>
            <w:r>
              <w:rPr>
                <w:rFonts w:hint="eastAsia" w:ascii="宋体" w:hAnsi="宋体" w:cs="新宋体"/>
                <w:sz w:val="21"/>
                <w:szCs w:val="21"/>
              </w:rPr>
              <w:t>OHSMS：4.1组织及其环境;4.2相关方需求与期望;4.3确定体系范围;4.4体系;5.1领导作用与承诺;5.2方针;5.3组织的角色、职责和权限；5.4工作人员的协商和参与；6.1应对风险和机遇的措施；6.1.4措施的策划；6.2目标及其实现的策划；7.1资源；9.1</w:t>
            </w:r>
            <w:r>
              <w:rPr>
                <w:rFonts w:hint="eastAsia" w:ascii="宋体" w:hAnsi="宋体" w:cs="新宋体"/>
                <w:sz w:val="21"/>
                <w:szCs w:val="21"/>
                <w:lang w:val="en-US" w:eastAsia="zh-CN"/>
              </w:rPr>
              <w:t>.1</w:t>
            </w:r>
            <w:r>
              <w:rPr>
                <w:rFonts w:hint="eastAsia" w:ascii="宋体" w:hAnsi="宋体" w:cs="新宋体"/>
                <w:sz w:val="21"/>
                <w:szCs w:val="21"/>
              </w:rPr>
              <w:t>监视、测量、分析和评价；9.3管理评审；10.1事件、不符合和纠正措施；10.3持续改进。</w:t>
            </w:r>
          </w:p>
          <w:p>
            <w:pPr>
              <w:snapToGrid w:val="0"/>
              <w:spacing w:line="240" w:lineRule="exact"/>
              <w:rPr>
                <w:rFonts w:ascii="宋体" w:hAnsi="宋体" w:cs="新宋体"/>
                <w:sz w:val="21"/>
                <w:szCs w:val="21"/>
              </w:rPr>
            </w:pPr>
          </w:p>
          <w:p>
            <w:pPr>
              <w:rPr>
                <w:sz w:val="24"/>
                <w:szCs w:val="24"/>
              </w:rPr>
            </w:pPr>
            <w:r>
              <w:rPr>
                <w:rFonts w:hint="eastAsia" w:ascii="宋体" w:hAnsi="宋体" w:cs="宋体"/>
                <w:color w:val="auto"/>
                <w:sz w:val="21"/>
                <w:szCs w:val="21"/>
              </w:rPr>
              <w:t>范围的确认，资质的确认，法律法规执行情况，重大质量事故，及顾客投诉和质量监督抽查情况，环境安全投诉，一阶段问题验证。</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r>
              <w:rPr>
                <w:rFonts w:hint="eastAsia" w:ascii="宋体" w:hAnsi="宋体" w:cs="新宋体"/>
                <w:sz w:val="21"/>
                <w:szCs w:val="21"/>
              </w:rPr>
              <w:t>组织及其环境;相关方需求与期望</w:t>
            </w:r>
            <w:r>
              <w:rPr>
                <w:rFonts w:hint="eastAsia" w:ascii="宋体" w:hAnsi="宋体" w:cs="新宋体"/>
                <w:sz w:val="21"/>
                <w:szCs w:val="21"/>
                <w:lang w:eastAsia="zh-CN"/>
              </w:rPr>
              <w:t>；</w:t>
            </w:r>
            <w:r>
              <w:rPr>
                <w:rFonts w:hint="eastAsia" w:ascii="宋体" w:hAnsi="宋体" w:cs="新宋体"/>
                <w:sz w:val="21"/>
                <w:szCs w:val="21"/>
              </w:rPr>
              <w:t>应对风险和机遇的措施；</w:t>
            </w:r>
          </w:p>
        </w:tc>
        <w:tc>
          <w:tcPr>
            <w:tcW w:w="960" w:type="dxa"/>
            <w:vAlign w:val="top"/>
          </w:tcPr>
          <w:p>
            <w:pPr>
              <w:rPr>
                <w:rFonts w:hint="default" w:eastAsia="宋体"/>
                <w:lang w:val="en-US" w:eastAsia="zh-CN"/>
              </w:rPr>
            </w:pPr>
            <w:r>
              <w:rPr>
                <w:rFonts w:hint="eastAsia"/>
                <w:sz w:val="21"/>
                <w:szCs w:val="21"/>
                <w:lang w:val="en-US" w:eastAsia="zh-CN"/>
              </w:rPr>
              <w:t>QES4.1、4.2、6.1；</w:t>
            </w:r>
          </w:p>
        </w:tc>
        <w:tc>
          <w:tcPr>
            <w:tcW w:w="10004" w:type="dxa"/>
            <w:vAlign w:val="top"/>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总经理：杨勇；管代：何兵；员工代表：吴琼 ；</w:t>
            </w:r>
          </w:p>
          <w:p>
            <w:pPr>
              <w:pStyle w:val="15"/>
              <w:spacing w:line="240" w:lineRule="auto"/>
              <w:ind w:firstLine="420" w:firstLineChars="200"/>
              <w:rPr>
                <w:rFonts w:hint="eastAsia" w:ascii="Times New Roman" w:hAnsi="Times New Roman"/>
                <w:sz w:val="21"/>
                <w:szCs w:val="21"/>
                <w:lang w:val="en-US" w:eastAsia="zh-CN"/>
              </w:rPr>
            </w:pPr>
            <w:r>
              <w:rPr>
                <w:rFonts w:hint="eastAsia" w:ascii="Times New Roman" w:hAnsi="Times New Roman"/>
                <w:sz w:val="21"/>
                <w:szCs w:val="21"/>
                <w:lang w:val="en-US" w:eastAsia="zh-CN"/>
              </w:rPr>
              <w:t>管代</w:t>
            </w:r>
            <w:r>
              <w:rPr>
                <w:rFonts w:hint="eastAsia" w:ascii="宋体" w:hAnsi="宋体"/>
                <w:lang w:val="en-US" w:eastAsia="zh-CN"/>
              </w:rPr>
              <w:t>何兵</w:t>
            </w:r>
            <w:r>
              <w:rPr>
                <w:rFonts w:hint="eastAsia" w:ascii="Times New Roman" w:hAnsi="Times New Roman"/>
                <w:sz w:val="21"/>
                <w:szCs w:val="21"/>
                <w:lang w:val="en-US" w:eastAsia="zh-CN"/>
              </w:rPr>
              <w:t>介绍，攀枝花市恒瑞工程有限责任公司办公室地址位于钢城、钒钛之都、阳光花城攀枝花，攀枝花 攀枝花市东区奥林匹克北路8号D座4楼(入驻攀枝花好棒网商务秘书服务有限公司)，于2019年06月10日在攀枝花市东区市场监督管理局注册成立，注册资本为800（万元），在公司发展壮大的4年里，我们始终为客户提供好的产品和技术支持、健全的售后服务，我公司主要经营矿山生产；设备维修劳务作业；园林绿化生产设备维修；普通货运；货物装卸搬运；道路货物运输；金属加工机械设备、液压动力机电设备和探矿、采矿、选矿设备维修；机电设备维修（不含特种设备）道路货物运输（不含危险货物）；以下项目限分支机构经营：土砂石开采。 我们有好的产品和专业的销售和技术团队，我公司属于攀枝花矿山冶金专用设备厂黄页行业。</w:t>
            </w:r>
          </w:p>
          <w:p>
            <w:pPr>
              <w:pStyle w:val="15"/>
              <w:spacing w:line="240" w:lineRule="auto"/>
              <w:ind w:firstLine="420" w:firstLineChars="200"/>
              <w:rPr>
                <w:rFonts w:hint="eastAsia" w:ascii="Times New Roman" w:hAnsi="Times New Roman"/>
                <w:sz w:val="21"/>
                <w:szCs w:val="21"/>
              </w:rPr>
            </w:pPr>
            <w:r>
              <w:rPr>
                <w:rFonts w:hint="eastAsia" w:ascii="Times New Roman" w:hAnsi="Times New Roman"/>
                <w:sz w:val="21"/>
                <w:szCs w:val="21"/>
              </w:rPr>
              <w:t>公司</w:t>
            </w:r>
            <w:r>
              <w:rPr>
                <w:rFonts w:hint="eastAsia" w:ascii="Times New Roman" w:hAnsi="Times New Roman"/>
                <w:sz w:val="21"/>
                <w:szCs w:val="21"/>
                <w:lang w:val="en-US" w:eastAsia="zh-CN"/>
              </w:rPr>
              <w:t>于2022年7月1日</w:t>
            </w:r>
            <w:r>
              <w:rPr>
                <w:rFonts w:hint="eastAsia" w:ascii="Times New Roman" w:hAnsi="Times New Roman"/>
                <w:sz w:val="21"/>
                <w:szCs w:val="21"/>
              </w:rPr>
              <w:t>依据GB/T19001-2015 idt ISO9001：2015《质量管理体系  要求》</w:t>
            </w:r>
            <w:r>
              <w:rPr>
                <w:rFonts w:hint="eastAsia" w:ascii="Times New Roman" w:hAnsi="Times New Roman"/>
                <w:sz w:val="21"/>
                <w:szCs w:val="21"/>
                <w:lang w:eastAsia="zh-CN"/>
              </w:rPr>
              <w:t>、</w:t>
            </w:r>
            <w:r>
              <w:rPr>
                <w:rFonts w:hint="eastAsia" w:ascii="Times New Roman" w:hAnsi="Times New Roman"/>
                <w:sz w:val="21"/>
                <w:szCs w:val="21"/>
              </w:rPr>
              <w:t>GB/T24001-2015 idt ISO14001：2015《环境管理体系  要求及使用指南》</w:t>
            </w:r>
            <w:r>
              <w:rPr>
                <w:rFonts w:hint="eastAsia" w:ascii="Times New Roman" w:hAnsi="Times New Roman"/>
                <w:sz w:val="21"/>
                <w:szCs w:val="21"/>
                <w:lang w:eastAsia="zh-CN"/>
              </w:rPr>
              <w:t>、GB/T45001-2020/ISO45001:20</w:t>
            </w:r>
            <w:r>
              <w:rPr>
                <w:rFonts w:hint="eastAsia" w:ascii="Times New Roman" w:hAnsi="Times New Roman"/>
                <w:sz w:val="21"/>
                <w:szCs w:val="21"/>
                <w:lang w:val="en-US" w:eastAsia="zh-CN"/>
              </w:rPr>
              <w:t>20</w:t>
            </w:r>
            <w:r>
              <w:rPr>
                <w:rFonts w:hint="eastAsia" w:ascii="Times New Roman" w:hAnsi="Times New Roman"/>
                <w:sz w:val="21"/>
                <w:szCs w:val="21"/>
              </w:rPr>
              <w:t>《职业健康安全管理体系 要求及使用指南》，结合本公司的实际情况和产品特性</w:t>
            </w:r>
            <w:r>
              <w:rPr>
                <w:rFonts w:hint="eastAsia" w:ascii="Times New Roman" w:hAnsi="Times New Roman"/>
                <w:sz w:val="21"/>
                <w:szCs w:val="21"/>
                <w:lang w:eastAsia="zh-CN"/>
              </w:rPr>
              <w:t>，</w:t>
            </w:r>
            <w:r>
              <w:rPr>
                <w:rFonts w:hint="eastAsia" w:ascii="Times New Roman" w:hAnsi="Times New Roman"/>
                <w:sz w:val="21"/>
                <w:szCs w:val="21"/>
              </w:rPr>
              <w:t>建立</w:t>
            </w:r>
            <w:r>
              <w:rPr>
                <w:rFonts w:hint="eastAsia" w:ascii="Times New Roman" w:hAnsi="Times New Roman"/>
                <w:sz w:val="21"/>
                <w:szCs w:val="21"/>
                <w:lang w:eastAsia="zh-CN"/>
              </w:rPr>
              <w:t>、</w:t>
            </w:r>
            <w:r>
              <w:rPr>
                <w:rFonts w:hint="eastAsia" w:ascii="Times New Roman" w:hAnsi="Times New Roman"/>
                <w:sz w:val="21"/>
                <w:szCs w:val="21"/>
                <w:lang w:val="en-US" w:eastAsia="zh-CN"/>
              </w:rPr>
              <w:t>实施、保持和持续改进</w:t>
            </w:r>
            <w:r>
              <w:rPr>
                <w:rFonts w:hint="eastAsia" w:ascii="Times New Roman" w:hAnsi="Times New Roman"/>
                <w:sz w:val="21"/>
                <w:szCs w:val="21"/>
              </w:rPr>
              <w:t>了质量</w:t>
            </w:r>
            <w:r>
              <w:rPr>
                <w:rFonts w:hint="eastAsia" w:ascii="Times New Roman" w:hAnsi="Times New Roman"/>
                <w:sz w:val="21"/>
                <w:szCs w:val="21"/>
                <w:lang w:eastAsia="zh-CN"/>
              </w:rPr>
              <w:t>、</w:t>
            </w:r>
            <w:r>
              <w:rPr>
                <w:rFonts w:hint="eastAsia" w:ascii="Times New Roman" w:hAnsi="Times New Roman"/>
                <w:sz w:val="21"/>
                <w:szCs w:val="21"/>
                <w:lang w:val="en-US" w:eastAsia="zh-CN"/>
              </w:rPr>
              <w:t>环境、职业健康安全一体化管理</w:t>
            </w:r>
            <w:r>
              <w:rPr>
                <w:rFonts w:hint="eastAsia" w:ascii="Times New Roman" w:hAnsi="Times New Roman"/>
                <w:sz w:val="21"/>
                <w:szCs w:val="21"/>
              </w:rPr>
              <w:t>体系，确保在满足国家法规的基础上为客户提供优质的产品和完善的服务。</w:t>
            </w:r>
          </w:p>
          <w:p>
            <w:pPr>
              <w:pStyle w:val="15"/>
              <w:spacing w:line="240" w:lineRule="auto"/>
              <w:ind w:firstLine="420" w:firstLineChars="200"/>
              <w:rPr>
                <w:rFonts w:hint="eastAsia" w:ascii="Times New Roman" w:hAnsi="Times New Roman"/>
                <w:sz w:val="21"/>
                <w:szCs w:val="21"/>
              </w:rPr>
            </w:pPr>
            <w:r>
              <w:rPr>
                <w:rFonts w:hint="eastAsia" w:ascii="Times New Roman" w:hAnsi="Times New Roman"/>
                <w:sz w:val="21"/>
                <w:szCs w:val="21"/>
              </w:rPr>
              <w:t>根据顾客要求、企业的经验和资源状况，以过程方法模式，识别公司的管理体系所需的过程。采用PDCA循环的管理方法。重点识别生活垃圾焚烧发电及相关环境</w:t>
            </w:r>
            <w:r>
              <w:rPr>
                <w:rFonts w:hint="eastAsia" w:ascii="Times New Roman" w:hAnsi="Times New Roman"/>
                <w:sz w:val="21"/>
                <w:szCs w:val="21"/>
                <w:lang w:eastAsia="zh-CN"/>
              </w:rPr>
              <w:t>、</w:t>
            </w:r>
            <w:r>
              <w:rPr>
                <w:rFonts w:hint="eastAsia" w:ascii="Times New Roman" w:hAnsi="Times New Roman"/>
                <w:sz w:val="21"/>
                <w:szCs w:val="21"/>
                <w:lang w:val="en-US" w:eastAsia="zh-CN"/>
              </w:rPr>
              <w:t>职业健康安全</w:t>
            </w:r>
            <w:r>
              <w:rPr>
                <w:rFonts w:hint="eastAsia" w:ascii="Times New Roman" w:hAnsi="Times New Roman"/>
                <w:sz w:val="21"/>
                <w:szCs w:val="21"/>
              </w:rPr>
              <w:t>管理活动实现过程、关键过程及其相互作用。通过把管理的过程方法原则和系统方法原理相结合，实现企业的全面管理。</w:t>
            </w:r>
          </w:p>
          <w:p>
            <w:pPr>
              <w:pStyle w:val="15"/>
              <w:spacing w:line="240" w:lineRule="auto"/>
              <w:ind w:firstLine="420" w:firstLineChars="200"/>
              <w:rPr>
                <w:rFonts w:hint="eastAsia" w:ascii="Times New Roman" w:hAnsi="Times New Roman"/>
                <w:sz w:val="21"/>
                <w:szCs w:val="21"/>
              </w:rPr>
            </w:pPr>
          </w:p>
          <w:p>
            <w:pPr>
              <w:pStyle w:val="15"/>
              <w:spacing w:line="240" w:lineRule="auto"/>
              <w:rPr>
                <w:rFonts w:hint="default" w:ascii="Times New Roman" w:hAnsi="Times New Roman"/>
                <w:sz w:val="21"/>
                <w:szCs w:val="21"/>
                <w:lang w:val="en-US" w:eastAsia="zh-CN"/>
              </w:rPr>
            </w:pPr>
            <w:r>
              <w:rPr>
                <w:rFonts w:hint="eastAsia" w:ascii="Times New Roman" w:hAnsi="Times New Roman"/>
                <w:sz w:val="21"/>
                <w:szCs w:val="21"/>
                <w:lang w:val="en-US" w:eastAsia="zh-CN"/>
              </w:rPr>
              <w:t>---以顾客为关注焦点，对影响</w:t>
            </w:r>
            <w:r>
              <w:rPr>
                <w:rFonts w:hint="eastAsia" w:ascii="Times New Roman" w:hAnsi="Times New Roman"/>
                <w:sz w:val="21"/>
                <w:szCs w:val="21"/>
              </w:rPr>
              <w:t>公司</w:t>
            </w:r>
            <w:r>
              <w:rPr>
                <w:rFonts w:hint="eastAsia" w:ascii="Times New Roman" w:hAnsi="Times New Roman"/>
                <w:sz w:val="21"/>
                <w:szCs w:val="21"/>
                <w:lang w:val="en-US" w:eastAsia="zh-CN"/>
              </w:rPr>
              <w:t>管理体系预期结果的相关方进行了全面的识别和评价，</w:t>
            </w:r>
            <w:r>
              <w:rPr>
                <w:rFonts w:hint="eastAsia" w:ascii="Times New Roman" w:hAnsi="Times New Roman"/>
                <w:sz w:val="21"/>
                <w:szCs w:val="21"/>
              </w:rPr>
              <w:t>策划了</w:t>
            </w:r>
            <w:r>
              <w:rPr>
                <w:rFonts w:hint="eastAsia" w:ascii="Times New Roman" w:hAnsi="Times New Roman"/>
                <w:sz w:val="21"/>
                <w:szCs w:val="21"/>
                <w:lang w:eastAsia="zh-CN"/>
              </w:rPr>
              <w:t>“</w:t>
            </w:r>
            <w:r>
              <w:rPr>
                <w:rFonts w:hint="eastAsia" w:ascii="Times New Roman" w:hAnsi="Times New Roman"/>
                <w:sz w:val="21"/>
                <w:szCs w:val="21"/>
              </w:rPr>
              <w:t>组织环境分析控制程序</w:t>
            </w:r>
            <w:r>
              <w:rPr>
                <w:rFonts w:hint="eastAsia" w:ascii="Times New Roman" w:hAnsi="Times New Roman"/>
                <w:sz w:val="21"/>
                <w:szCs w:val="21"/>
                <w:lang w:eastAsia="zh-CN"/>
              </w:rPr>
              <w:t>”、“</w:t>
            </w:r>
            <w:r>
              <w:rPr>
                <w:rFonts w:hint="eastAsia" w:ascii="宋体" w:hAnsi="宋体" w:eastAsia="宋体" w:cs="Times New Roman"/>
              </w:rPr>
              <w:t>风险和机遇应对控制程序</w:t>
            </w:r>
            <w:r>
              <w:rPr>
                <w:rFonts w:hint="eastAsia" w:ascii="宋体" w:hAnsi="宋体" w:eastAsia="宋体" w:cs="Times New Roman"/>
                <w:lang w:eastAsia="zh-CN"/>
              </w:rPr>
              <w:t>”、</w:t>
            </w:r>
            <w:r>
              <w:rPr>
                <w:rFonts w:hint="eastAsia" w:ascii="Times New Roman" w:hAnsi="Times New Roman"/>
                <w:sz w:val="21"/>
                <w:szCs w:val="21"/>
                <w:lang w:eastAsia="zh-CN"/>
              </w:rPr>
              <w:t>“环境因素识别与评价控制程序”、“危险源识别及风险评价控制程序”、</w:t>
            </w:r>
            <w:r>
              <w:rPr>
                <w:rFonts w:hint="eastAsia" w:ascii="Times New Roman" w:hAnsi="Times New Roman"/>
                <w:sz w:val="21"/>
                <w:szCs w:val="21"/>
              </w:rPr>
              <w:t>“法律法规及其他要求控制程序”、“顾客投诉处理与满意度调查控制程序”</w:t>
            </w:r>
            <w:r>
              <w:rPr>
                <w:rFonts w:hint="eastAsia" w:ascii="Times New Roman" w:hAnsi="Times New Roman"/>
                <w:sz w:val="21"/>
                <w:szCs w:val="21"/>
                <w:lang w:val="en-US" w:eastAsia="zh-CN"/>
              </w:rPr>
              <w:t>等</w:t>
            </w:r>
            <w:r>
              <w:rPr>
                <w:rFonts w:hint="eastAsia" w:ascii="Times New Roman" w:hAnsi="Times New Roman"/>
                <w:sz w:val="21"/>
                <w:szCs w:val="21"/>
              </w:rPr>
              <w:t>。</w:t>
            </w:r>
          </w:p>
          <w:p>
            <w:pPr>
              <w:pStyle w:val="15"/>
              <w:spacing w:line="240" w:lineRule="auto"/>
              <w:ind w:firstLine="420" w:firstLineChars="200"/>
              <w:rPr>
                <w:rFonts w:hint="default" w:ascii="Times New Roman" w:hAnsi="Times New Roman"/>
                <w:sz w:val="21"/>
                <w:szCs w:val="21"/>
                <w:lang w:val="en-US" w:eastAsia="zh-CN"/>
              </w:rPr>
            </w:pPr>
            <w:r>
              <w:rPr>
                <w:rFonts w:hint="eastAsia" w:ascii="Times New Roman" w:hAnsi="Times New Roman"/>
                <w:sz w:val="21"/>
                <w:szCs w:val="21"/>
                <w:lang w:val="en-US" w:eastAsia="zh-CN"/>
              </w:rPr>
              <w:t>出示有“组织环境识别表”、“内外部环境分析报告”及“ 相关方的需求和期望清单”，基于风险的思维对可能导致对过程和预期结果产生影响的公司内外部的因素、风险和机遇及与管理体系有关的相关方的信息进行了监视与评审。</w:t>
            </w:r>
          </w:p>
          <w:p>
            <w:pPr>
              <w:pStyle w:val="15"/>
              <w:spacing w:line="240" w:lineRule="auto"/>
              <w:rPr>
                <w:rFonts w:hint="eastAsia"/>
                <w:sz w:val="21"/>
                <w:szCs w:val="21"/>
                <w:lang w:val="en-US" w:eastAsia="zh-CN"/>
              </w:rPr>
            </w:pPr>
            <w:r>
              <w:rPr>
                <w:rFonts w:hint="eastAsia"/>
                <w:sz w:val="21"/>
                <w:szCs w:val="21"/>
                <w:lang w:val="en-US" w:eastAsia="zh-CN"/>
              </w:rPr>
              <w:t>---核查“风险和机遇评估分析表”，编制/日期：吴静平 2022-7-2                                                                          审批/日期：何兵 2022-7-2  抽查：</w:t>
            </w:r>
          </w:p>
          <w:p>
            <w:pPr>
              <w:pStyle w:val="15"/>
              <w:spacing w:line="240" w:lineRule="auto"/>
              <w:rPr>
                <w:rFonts w:hint="eastAsia"/>
                <w:sz w:val="21"/>
                <w:szCs w:val="21"/>
                <w:lang w:val="en-US" w:eastAsia="zh-CN"/>
              </w:rPr>
            </w:pPr>
            <w:r>
              <w:drawing>
                <wp:inline distT="0" distB="0" distL="114300" distR="114300">
                  <wp:extent cx="5873750" cy="32512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873750" cy="3251200"/>
                          </a:xfrm>
                          <a:prstGeom prst="rect">
                            <a:avLst/>
                          </a:prstGeom>
                          <a:noFill/>
                          <a:ln>
                            <a:noFill/>
                          </a:ln>
                        </pic:spPr>
                      </pic:pic>
                    </a:graphicData>
                  </a:graphic>
                </wp:inline>
              </w:drawing>
            </w:r>
          </w:p>
          <w:p>
            <w:r>
              <w:rPr>
                <w:rFonts w:hint="eastAsia"/>
                <w:sz w:val="21"/>
                <w:szCs w:val="21"/>
              </w:rPr>
              <w:t>——基本满足要求。</w:t>
            </w:r>
          </w:p>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240" w:lineRule="auto"/>
              <w:rPr>
                <w:rFonts w:hint="eastAsia" w:ascii="宋体"/>
                <w:sz w:val="21"/>
                <w:szCs w:val="21"/>
              </w:rPr>
            </w:pPr>
            <w:r>
              <w:rPr>
                <w:rFonts w:hint="eastAsia" w:ascii="宋体"/>
                <w:sz w:val="21"/>
                <w:szCs w:val="21"/>
              </w:rPr>
              <w:t>管理体系范围确定的适宜性和充分性</w:t>
            </w:r>
          </w:p>
          <w:p>
            <w:pPr>
              <w:spacing w:line="240" w:lineRule="auto"/>
              <w:rPr>
                <w:rFonts w:hint="eastAsia" w:ascii="宋体"/>
                <w:sz w:val="21"/>
                <w:szCs w:val="21"/>
              </w:rPr>
            </w:pPr>
            <w:r>
              <w:rPr>
                <w:rFonts w:hint="eastAsia" w:ascii="宋体"/>
                <w:sz w:val="21"/>
                <w:szCs w:val="21"/>
              </w:rPr>
              <w:t>管理体系策划、建立、</w:t>
            </w:r>
          </w:p>
          <w:p>
            <w:pPr>
              <w:spacing w:line="240" w:lineRule="auto"/>
              <w:rPr>
                <w:rFonts w:hint="eastAsia" w:ascii="宋体"/>
                <w:sz w:val="21"/>
                <w:szCs w:val="21"/>
              </w:rPr>
            </w:pPr>
            <w:r>
              <w:rPr>
                <w:rFonts w:hint="eastAsia" w:ascii="宋体"/>
                <w:sz w:val="21"/>
                <w:szCs w:val="21"/>
              </w:rPr>
              <w:t>变更的策划</w:t>
            </w:r>
          </w:p>
          <w:p/>
        </w:tc>
        <w:tc>
          <w:tcPr>
            <w:tcW w:w="960" w:type="dxa"/>
            <w:vAlign w:val="top"/>
          </w:tcPr>
          <w:p>
            <w:pPr>
              <w:spacing w:line="240" w:lineRule="auto"/>
              <w:rPr>
                <w:rFonts w:hint="eastAsia"/>
                <w:lang w:val="en-US" w:eastAsia="zh-CN"/>
              </w:rPr>
            </w:pPr>
            <w:r>
              <w:rPr>
                <w:rFonts w:hint="eastAsia"/>
                <w:lang w:val="en-US" w:eastAsia="zh-CN"/>
              </w:rPr>
              <w:t>QES4.3/4.4;</w:t>
            </w:r>
          </w:p>
          <w:p>
            <w:r>
              <w:rPr>
                <w:rFonts w:hint="eastAsia"/>
                <w:sz w:val="21"/>
                <w:szCs w:val="21"/>
                <w:lang w:val="en-US" w:eastAsia="zh-CN"/>
              </w:rPr>
              <w:t>Q6.3</w:t>
            </w:r>
          </w:p>
        </w:tc>
        <w:tc>
          <w:tcPr>
            <w:tcW w:w="10004" w:type="dxa"/>
            <w:vAlign w:val="top"/>
          </w:tcPr>
          <w:p>
            <w:pPr>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---查管理手册4.3 确定公司管理体系覆盖的范围：</w:t>
            </w:r>
          </w:p>
          <w:p>
            <w:pPr>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本手册适用于公司金属加工机械设备、液压动力机电设备和探矿、采矿、选矿设备维修；机电设备维修（不含特种设备）；道路货物运输（不含危险货物）；所涉及的部门和设备维修场所的的质量、环境和职业健康安全管理活动。</w:t>
            </w:r>
          </w:p>
          <w:p>
            <w:pPr>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---查管理手册8.3 产品和服务的设计与开发：公司根据国家标准要求以及客户要求进行道路货物运输；公司根据客户要求以及设备图纸要求，以及标准要求进行设备维修，8.3设计开发不适用。</w:t>
            </w:r>
          </w:p>
          <w:p>
            <w:pPr>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即：</w:t>
            </w:r>
          </w:p>
          <w:p>
            <w:pPr>
              <w:pStyle w:val="15"/>
              <w:spacing w:line="240" w:lineRule="auto"/>
              <w:rPr>
                <w:rFonts w:hint="eastAsia" w:ascii="Calibri" w:hAnsi="Calibri" w:eastAsia="宋体" w:cs="Times New Roman"/>
                <w:kern w:val="2"/>
                <w:sz w:val="21"/>
                <w:szCs w:val="21"/>
                <w:lang w:val="en-US" w:eastAsia="zh-CN" w:bidi="ar-SA"/>
              </w:rPr>
            </w:pPr>
            <w:bookmarkStart w:id="2" w:name="审核范围"/>
            <w:r>
              <w:rPr>
                <w:rFonts w:hint="eastAsia" w:ascii="Calibri" w:hAnsi="Calibri" w:eastAsia="宋体" w:cs="Times New Roman"/>
                <w:kern w:val="2"/>
                <w:sz w:val="21"/>
                <w:szCs w:val="21"/>
                <w:lang w:val="en-US" w:eastAsia="zh-CN" w:bidi="ar-SA"/>
              </w:rPr>
              <w:t>Q：金属加工机械设备、液压动力机电设备维修；机电设备维修（不含特种设备）；道路货物运输（不含危险货物）</w:t>
            </w:r>
          </w:p>
          <w:p>
            <w:pPr>
              <w:pStyle w:val="15"/>
              <w:spacing w:line="240" w:lineRule="auto"/>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E：金属加工机械设备、液压动力机电设备维修；机电设备维修（不含特种设备）；道路货物运输（不含危险货物）。所涉及场所的相关环境管理活动</w:t>
            </w:r>
          </w:p>
          <w:p>
            <w:pPr>
              <w:pStyle w:val="15"/>
              <w:spacing w:line="240" w:lineRule="auto"/>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O：金属加工机械设备、液压动力机电设备维修；机电设备维修（不含特种设备）；道路货物运输（不含危险货物）。所涉及场所的相关职业健康安全管理活动</w:t>
            </w:r>
            <w:bookmarkEnd w:id="2"/>
          </w:p>
          <w:p>
            <w:pPr>
              <w:pStyle w:val="15"/>
              <w:spacing w:line="240" w:lineRule="auto"/>
              <w:rPr>
                <w:rFonts w:hint="default"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物理边界：</w:t>
            </w:r>
          </w:p>
          <w:p>
            <w:pPr>
              <w:pStyle w:val="15"/>
              <w:spacing w:line="240" w:lineRule="auto"/>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注册地址：</w:t>
            </w:r>
            <w:bookmarkStart w:id="3" w:name="注册地址"/>
            <w:r>
              <w:rPr>
                <w:rFonts w:hint="eastAsia" w:ascii="Calibri" w:hAnsi="Calibri" w:eastAsia="宋体" w:cs="Times New Roman"/>
                <w:kern w:val="2"/>
                <w:sz w:val="21"/>
                <w:szCs w:val="21"/>
                <w:lang w:val="en-US" w:eastAsia="zh-CN" w:bidi="ar-SA"/>
              </w:rPr>
              <w:t>攀枝花市东区奥林匹克北路8号D座4楼（入驻攀枝花好棒网商务秘书服务有限公司）</w:t>
            </w:r>
            <w:bookmarkEnd w:id="3"/>
          </w:p>
          <w:p>
            <w:pPr>
              <w:pStyle w:val="15"/>
              <w:spacing w:line="240" w:lineRule="auto"/>
              <w:rPr>
                <w:rFonts w:hint="default"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办公地址：攀枝花市东区奥林匹克北路8号D座4楼（入驻攀枝花好棒网商务秘书服务有限公司）</w:t>
            </w:r>
          </w:p>
          <w:p>
            <w:pPr>
              <w:pStyle w:val="15"/>
              <w:spacing w:line="240" w:lineRule="auto"/>
              <w:rPr>
                <w:rFonts w:hint="default"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--查组织机构图：覆盖的部门为总经理领导下的</w:t>
            </w:r>
            <w:r>
              <w:rPr>
                <w:rFonts w:hint="eastAsia" w:cs="Times New Roman"/>
                <w:kern w:val="2"/>
                <w:sz w:val="21"/>
                <w:szCs w:val="21"/>
                <w:lang w:val="en-US" w:eastAsia="zh-CN" w:bidi="ar-SA"/>
              </w:rPr>
              <w:t>生产部、运营部、综合部、财务部、安全部</w:t>
            </w:r>
            <w:r>
              <w:rPr>
                <w:rFonts w:hint="eastAsia" w:ascii="Calibri" w:hAnsi="Calibri" w:eastAsia="宋体" w:cs="Times New Roman"/>
                <w:kern w:val="2"/>
                <w:sz w:val="21"/>
                <w:szCs w:val="21"/>
                <w:lang w:val="en-US" w:eastAsia="zh-CN" w:bidi="ar-SA"/>
              </w:rPr>
              <w:t>组成。</w:t>
            </w:r>
          </w:p>
          <w:p>
            <w:pPr>
              <w:pStyle w:val="15"/>
              <w:spacing w:line="240" w:lineRule="auto"/>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——针对上述范围再一次与管代进行了确认。</w:t>
            </w:r>
          </w:p>
          <w:p>
            <w:pPr>
              <w:pStyle w:val="15"/>
              <w:spacing w:line="240" w:lineRule="auto"/>
              <w:rPr>
                <w:rFonts w:hint="eastAsia" w:ascii="Times New Roman" w:hAnsi="Times New Roman" w:eastAsia="宋体" w:cs="Times New Roman"/>
                <w:sz w:val="21"/>
                <w:szCs w:val="21"/>
                <w:lang w:val="en-US" w:eastAsia="zh-CN"/>
              </w:rPr>
            </w:pPr>
          </w:p>
          <w:p>
            <w:pPr>
              <w:spacing w:line="240" w:lineRule="auto"/>
              <w:jc w:val="left"/>
              <w:rPr>
                <w:sz w:val="21"/>
                <w:szCs w:val="21"/>
              </w:rPr>
            </w:pPr>
            <w:r>
              <w:rPr>
                <w:rFonts w:hint="eastAsia"/>
                <w:sz w:val="21"/>
                <w:szCs w:val="21"/>
                <w:lang w:val="en-US" w:eastAsia="zh-CN"/>
              </w:rPr>
              <w:t>--</w:t>
            </w:r>
            <w:r>
              <w:rPr>
                <w:rFonts w:hint="eastAsia"/>
                <w:sz w:val="21"/>
                <w:szCs w:val="21"/>
              </w:rPr>
              <w:t>建立管理体系的目的：</w:t>
            </w:r>
          </w:p>
          <w:p>
            <w:pPr>
              <w:spacing w:line="240" w:lineRule="auto"/>
              <w:jc w:val="left"/>
              <w:rPr>
                <w:rFonts w:hint="eastAsia" w:eastAsia="宋体"/>
                <w:sz w:val="21"/>
                <w:szCs w:val="21"/>
                <w:lang w:eastAsia="zh-CN"/>
              </w:rPr>
            </w:pPr>
            <w:r>
              <w:rPr>
                <w:rFonts w:hint="eastAsia"/>
                <w:sz w:val="21"/>
                <w:szCs w:val="21"/>
              </w:rPr>
              <w:t>公司领导说明根据行业招投标要求建立管理体系，也是为了进一步规范企业的管理</w:t>
            </w:r>
            <w:r>
              <w:rPr>
                <w:rFonts w:hint="eastAsia"/>
                <w:sz w:val="21"/>
                <w:szCs w:val="21"/>
                <w:lang w:eastAsia="zh-CN"/>
              </w:rPr>
              <w:t>。</w:t>
            </w:r>
          </w:p>
          <w:p>
            <w:pPr>
              <w:pStyle w:val="15"/>
              <w:spacing w:line="24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--建立了管理体系文件，包括：管理手册、程序文件</w:t>
            </w:r>
            <w:r>
              <w:rPr>
                <w:rFonts w:hint="eastAsia" w:ascii="Times New Roman" w:hAnsi="Times New Roman" w:cs="Times New Roman"/>
                <w:sz w:val="21"/>
                <w:szCs w:val="21"/>
                <w:lang w:val="en-US" w:eastAsia="zh-CN"/>
              </w:rPr>
              <w:t>汇编</w:t>
            </w:r>
            <w:r>
              <w:rPr>
                <w:rFonts w:hint="eastAsia" w:ascii="Times New Roman" w:hAnsi="Times New Roman" w:eastAsia="宋体" w:cs="Times New Roman"/>
                <w:sz w:val="21"/>
                <w:szCs w:val="21"/>
                <w:lang w:val="en-US" w:eastAsia="zh-CN"/>
              </w:rPr>
              <w:t>、管理</w:t>
            </w:r>
            <w:r>
              <w:rPr>
                <w:rFonts w:hint="eastAsia" w:ascii="Times New Roman" w:hAnsi="Times New Roman" w:cs="Times New Roman"/>
                <w:sz w:val="21"/>
                <w:szCs w:val="21"/>
                <w:lang w:val="en-US" w:eastAsia="zh-CN"/>
              </w:rPr>
              <w:t>文件</w:t>
            </w:r>
            <w:r>
              <w:rPr>
                <w:rFonts w:hint="eastAsia" w:ascii="Times New Roman" w:hAnsi="Times New Roman" w:eastAsia="宋体" w:cs="Times New Roman"/>
                <w:sz w:val="21"/>
                <w:szCs w:val="21"/>
                <w:lang w:val="en-US" w:eastAsia="zh-CN"/>
              </w:rPr>
              <w:t>汇编--等。</w:t>
            </w:r>
          </w:p>
          <w:p>
            <w:pPr>
              <w:pStyle w:val="15"/>
              <w:spacing w:line="240" w:lineRule="auto"/>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w:t>
            </w:r>
            <w:r>
              <w:rPr>
                <w:rFonts w:hint="eastAsia" w:ascii="Times New Roman" w:hAnsi="Times New Roman" w:eastAsia="宋体" w:cs="Times New Roman"/>
                <w:sz w:val="21"/>
                <w:szCs w:val="21"/>
                <w:lang w:val="en-US" w:eastAsia="zh-CN"/>
              </w:rPr>
              <w:t>在管理手册中包括QES整合的方针和目标、组织机构、职能分配表、各部门职责、流程图、管理体系要求等。</w:t>
            </w:r>
          </w:p>
          <w:p>
            <w:pPr>
              <w:spacing w:line="240" w:lineRule="auto"/>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--主要产品实现过程为：</w:t>
            </w:r>
          </w:p>
          <w:p>
            <w:pPr>
              <w:spacing w:line="240" w:lineRule="auto"/>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机电设备维修工作流程：</w:t>
            </w:r>
          </w:p>
          <w:p>
            <w:pPr>
              <w:spacing w:line="240" w:lineRule="auto"/>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合同洽谈（招投标）---签订合同---组织项目生产加工零备件（设备维修）---验收---售后服务（保修期管理、维修、维保等）</w:t>
            </w:r>
          </w:p>
          <w:p>
            <w:pPr>
              <w:spacing w:line="240" w:lineRule="auto"/>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道路货物运输工艺流程：</w:t>
            </w:r>
          </w:p>
          <w:p>
            <w:pPr>
              <w:spacing w:line="240" w:lineRule="auto"/>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货物运输通知----确定运输车辆---派车到装车指定地点，装货服务---到达收货单位（指定地点卸货过磅）---货物完好收货确认---结算单</w:t>
            </w:r>
          </w:p>
          <w:p>
            <w:pPr>
              <w:spacing w:line="240" w:lineRule="auto"/>
              <w:jc w:val="left"/>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---经识别的外包过程：暂无。</w:t>
            </w:r>
          </w:p>
          <w:p>
            <w:pPr>
              <w:pStyle w:val="13"/>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---经识别的关键过程：暂无。</w:t>
            </w:r>
          </w:p>
          <w:p>
            <w:pPr>
              <w:pStyle w:val="13"/>
              <w:rPr>
                <w:rFonts w:hint="default" w:ascii="Calibri" w:hAnsi="Calibri" w:eastAsia="宋体" w:cs="Times New Roman"/>
                <w:kern w:val="2"/>
                <w:sz w:val="21"/>
                <w:szCs w:val="21"/>
                <w:lang w:val="en-US" w:eastAsia="zh-CN" w:bidi="ar-SA"/>
              </w:rPr>
            </w:pPr>
            <w:r>
              <w:rPr>
                <w:rFonts w:hint="eastAsia" w:ascii="Calibri" w:hAnsi="Calibri" w:cs="Times New Roman"/>
                <w:kern w:val="2"/>
                <w:sz w:val="21"/>
                <w:szCs w:val="21"/>
                <w:lang w:val="en-US" w:eastAsia="zh-CN" w:bidi="ar-SA"/>
              </w:rPr>
              <w:t>---</w:t>
            </w:r>
            <w:r>
              <w:rPr>
                <w:rFonts w:hint="eastAsia" w:ascii="Calibri" w:hAnsi="Calibri" w:eastAsia="宋体" w:cs="Times New Roman"/>
                <w:kern w:val="2"/>
                <w:sz w:val="21"/>
                <w:szCs w:val="21"/>
                <w:lang w:val="en-US" w:eastAsia="zh-CN" w:bidi="ar-SA"/>
              </w:rPr>
              <w:t>经识别的</w:t>
            </w:r>
            <w:r>
              <w:rPr>
                <w:rFonts w:hint="eastAsia" w:ascii="Calibri" w:hAnsi="Calibri" w:cs="Times New Roman"/>
                <w:kern w:val="2"/>
                <w:sz w:val="21"/>
                <w:szCs w:val="21"/>
                <w:lang w:val="en-US" w:eastAsia="zh-CN" w:bidi="ar-SA"/>
              </w:rPr>
              <w:t>特殊</w:t>
            </w:r>
            <w:r>
              <w:rPr>
                <w:rFonts w:hint="eastAsia" w:ascii="Calibri" w:hAnsi="Calibri" w:eastAsia="宋体" w:cs="Times New Roman"/>
                <w:kern w:val="2"/>
                <w:sz w:val="21"/>
                <w:szCs w:val="21"/>
                <w:lang w:val="en-US" w:eastAsia="zh-CN" w:bidi="ar-SA"/>
              </w:rPr>
              <w:t>过程：</w:t>
            </w:r>
            <w:r>
              <w:rPr>
                <w:rFonts w:hint="eastAsia" w:ascii="Calibri" w:hAnsi="Calibri" w:cs="Times New Roman"/>
                <w:kern w:val="2"/>
                <w:sz w:val="21"/>
                <w:szCs w:val="21"/>
                <w:lang w:val="en-US" w:eastAsia="zh-CN" w:bidi="ar-SA"/>
              </w:rPr>
              <w:t>服务的过程。</w:t>
            </w:r>
          </w:p>
          <w:p>
            <w:pPr>
              <w:pStyle w:val="15"/>
              <w:spacing w:line="24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---变更的策划：管代说明建立管理体系至今无变化。</w:t>
            </w:r>
          </w:p>
          <w:p>
            <w:pPr>
              <w:pStyle w:val="15"/>
              <w:spacing w:line="240" w:lineRule="auto"/>
              <w:rPr>
                <w:rFonts w:hint="default" w:ascii="Times New Roman" w:hAnsi="Times New Roman" w:cs="Times New Roman"/>
                <w:sz w:val="21"/>
                <w:szCs w:val="21"/>
                <w:lang w:val="en-US" w:eastAsia="zh-CN"/>
              </w:rPr>
            </w:pPr>
          </w:p>
          <w:p>
            <w:r>
              <w:rPr>
                <w:rFonts w:hint="eastAsia" w:ascii="Times New Roman" w:hAnsi="Times New Roman" w:eastAsia="宋体" w:cs="Times New Roman"/>
                <w:sz w:val="21"/>
                <w:szCs w:val="21"/>
                <w:lang w:val="en-US" w:eastAsia="zh-CN"/>
              </w:rPr>
              <w:t>——上述经本次</w:t>
            </w:r>
            <w:r>
              <w:rPr>
                <w:rFonts w:hint="eastAsia" w:cs="Times New Roman"/>
                <w:sz w:val="21"/>
                <w:szCs w:val="21"/>
                <w:lang w:val="en-US" w:eastAsia="zh-CN"/>
              </w:rPr>
              <w:t>现场</w:t>
            </w:r>
            <w:r>
              <w:rPr>
                <w:rFonts w:hint="eastAsia" w:ascii="Times New Roman" w:hAnsi="Times New Roman" w:eastAsia="宋体" w:cs="Times New Roman"/>
                <w:sz w:val="21"/>
                <w:szCs w:val="21"/>
                <w:lang w:val="en-US" w:eastAsia="zh-CN"/>
              </w:rPr>
              <w:t>审核确认有效</w:t>
            </w:r>
            <w:r>
              <w:rPr>
                <w:rFonts w:hint="eastAsia" w:ascii="Times New Roman" w:hAnsi="Times New Roman" w:cs="Times New Roman"/>
                <w:sz w:val="21"/>
                <w:szCs w:val="21"/>
                <w:lang w:val="en-US" w:eastAsia="zh-CN"/>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40" w:lineRule="auto"/>
              <w:rPr>
                <w:rFonts w:hint="eastAsia"/>
              </w:rPr>
            </w:pPr>
            <w:r>
              <w:rPr>
                <w:rFonts w:hint="eastAsia"/>
              </w:rPr>
              <w:t>领导作用和承诺</w:t>
            </w:r>
          </w:p>
          <w:p>
            <w:pPr>
              <w:spacing w:line="240" w:lineRule="auto"/>
              <w:rPr>
                <w:rFonts w:hint="eastAsia"/>
              </w:rPr>
            </w:pPr>
            <w:r>
              <w:rPr>
                <w:rFonts w:hint="eastAsia"/>
              </w:rPr>
              <w:t>岗位、职责、责任和权限</w:t>
            </w:r>
          </w:p>
          <w:p>
            <w:pPr>
              <w:pStyle w:val="2"/>
              <w:rPr>
                <w:rFonts w:hint="default" w:eastAsia="宋体"/>
                <w:lang w:val="en-US" w:eastAsia="zh-CN"/>
              </w:rPr>
            </w:pPr>
            <w:r>
              <w:rPr>
                <w:rFonts w:hint="eastAsia"/>
                <w:lang w:val="en-US" w:eastAsia="zh-CN"/>
              </w:rPr>
              <w:t>员工代表</w:t>
            </w:r>
          </w:p>
          <w:p/>
        </w:tc>
        <w:tc>
          <w:tcPr>
            <w:tcW w:w="960" w:type="dxa"/>
            <w:vAlign w:val="top"/>
          </w:tcPr>
          <w:p>
            <w:pPr>
              <w:spacing w:line="240" w:lineRule="auto"/>
              <w:rPr>
                <w:rFonts w:hint="default"/>
                <w:lang w:val="en-US" w:eastAsia="zh-CN"/>
              </w:rPr>
            </w:pPr>
            <w:r>
              <w:rPr>
                <w:rFonts w:hint="eastAsia"/>
                <w:lang w:val="en-US" w:eastAsia="zh-CN"/>
              </w:rPr>
              <w:t>QES5.1/5.3/S5.4</w:t>
            </w:r>
          </w:p>
          <w:p/>
        </w:tc>
        <w:tc>
          <w:tcPr>
            <w:tcW w:w="10004" w:type="dxa"/>
            <w:vAlign w:val="top"/>
          </w:tcPr>
          <w:p>
            <w:pPr>
              <w:spacing w:line="240" w:lineRule="auto"/>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―查“质量/环境/职业健安全管理手册”中包括管理体系标准要求的领导作用和承诺内容</w:t>
            </w:r>
            <w:r>
              <w:rPr>
                <w:rFonts w:hint="eastAsia" w:ascii="Times New Roman" w:hAnsi="Times New Roman" w:eastAsia="宋体" w:cs="Times New Roman"/>
                <w:sz w:val="21"/>
                <w:szCs w:val="21"/>
                <w:lang w:eastAsia="zh-CN"/>
              </w:rPr>
              <w:t>。</w:t>
            </w:r>
          </w:p>
          <w:p>
            <w:pPr>
              <w:spacing w:line="240" w:lineRule="auto"/>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查管理手册中包括管理者代表任命书，并规定了其职责，管代口述职责，正确</w:t>
            </w:r>
            <w:r>
              <w:rPr>
                <w:rFonts w:hint="eastAsia" w:ascii="Times New Roman" w:hAnsi="Times New Roman" w:eastAsia="宋体" w:cs="Times New Roman"/>
                <w:sz w:val="21"/>
                <w:szCs w:val="21"/>
                <w:lang w:eastAsia="zh-CN"/>
              </w:rPr>
              <w:t>。</w:t>
            </w:r>
          </w:p>
          <w:p>
            <w:pPr>
              <w:spacing w:line="240" w:lineRule="auto"/>
              <w:jc w:val="lef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查管理手册中包括员工代表任命书，并规定了其职责，员工代表李红梅口述职责，正确</w:t>
            </w:r>
            <w:r>
              <w:rPr>
                <w:rFonts w:hint="eastAsia" w:ascii="Times New Roman" w:hAnsi="Times New Roman" w:eastAsia="宋体" w:cs="Times New Roman"/>
                <w:sz w:val="21"/>
                <w:szCs w:val="21"/>
                <w:lang w:eastAsia="zh-CN"/>
              </w:rPr>
              <w:t>。</w:t>
            </w:r>
          </w:p>
          <w:p>
            <w:pPr>
              <w:spacing w:line="240" w:lineRule="auto"/>
              <w:jc w:val="lef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查管理手册中包括ＱＥＳ方针、目标、组织机构、职责等</w:t>
            </w:r>
            <w:r>
              <w:rPr>
                <w:rFonts w:hint="eastAsia" w:ascii="Times New Roman" w:hAnsi="Times New Roman" w:eastAsia="宋体" w:cs="Times New Roman"/>
                <w:sz w:val="21"/>
                <w:szCs w:val="21"/>
                <w:lang w:eastAsia="zh-CN"/>
              </w:rPr>
              <w:t>。</w:t>
            </w:r>
          </w:p>
          <w:p>
            <w:pPr>
              <w:spacing w:line="240" w:lineRule="auto"/>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---查顾客满意度统计及分析报告，调查与分析结果，实现预期。</w:t>
            </w:r>
          </w:p>
          <w:p>
            <w:pPr>
              <w:spacing w:line="240" w:lineRule="auto"/>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能够提供管理体系建立、运行的资源；实施内审、管理评审等。</w:t>
            </w:r>
          </w:p>
          <w:p>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符合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160" w:type="dxa"/>
            <w:vAlign w:val="top"/>
          </w:tcPr>
          <w:p>
            <w:r>
              <w:rPr>
                <w:rFonts w:hint="eastAsia" w:ascii="宋体" w:hAnsi="宋体"/>
              </w:rPr>
              <w:t>管理方针、目标</w:t>
            </w:r>
          </w:p>
        </w:tc>
        <w:tc>
          <w:tcPr>
            <w:tcW w:w="960" w:type="dxa"/>
            <w:vAlign w:val="top"/>
          </w:tcPr>
          <w:p>
            <w:pPr>
              <w:spacing w:line="240" w:lineRule="auto"/>
              <w:rPr>
                <w:rFonts w:hint="default"/>
                <w:lang w:val="en-US" w:eastAsia="zh-CN"/>
              </w:rPr>
            </w:pPr>
            <w:r>
              <w:rPr>
                <w:rFonts w:hint="eastAsia"/>
                <w:lang w:val="en-US" w:eastAsia="zh-CN"/>
              </w:rPr>
              <w:t>QES5.2/6.2</w:t>
            </w:r>
          </w:p>
          <w:p/>
        </w:tc>
        <w:tc>
          <w:tcPr>
            <w:tcW w:w="10004" w:type="dxa"/>
            <w:vAlign w:val="top"/>
          </w:tcPr>
          <w:p>
            <w:pPr>
              <w:spacing w:line="240" w:lineRule="auto"/>
              <w:jc w:val="lef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在管理手册中建立公司的质量、环境和职业健康安全管理方针和目标，基本适宜</w:t>
            </w:r>
            <w:r>
              <w:rPr>
                <w:rFonts w:hint="eastAsia" w:ascii="Times New Roman" w:hAnsi="Times New Roman" w:eastAsia="宋体" w:cs="Times New Roman"/>
                <w:sz w:val="21"/>
                <w:szCs w:val="21"/>
                <w:lang w:eastAsia="zh-CN"/>
              </w:rPr>
              <w:t>。</w:t>
            </w:r>
          </w:p>
          <w:p>
            <w:pPr>
              <w:spacing w:line="240" w:lineRule="auto"/>
              <w:jc w:val="left"/>
              <w:rPr>
                <w:rFonts w:hint="eastAsia" w:cs="Times New Roman"/>
                <w:sz w:val="21"/>
                <w:szCs w:val="21"/>
                <w:lang w:val="en-US" w:eastAsia="zh-CN"/>
              </w:rPr>
            </w:pPr>
            <w:r>
              <w:rPr>
                <w:rFonts w:hint="eastAsia" w:cs="Times New Roman"/>
                <w:sz w:val="21"/>
                <w:szCs w:val="21"/>
                <w:lang w:val="en-US" w:eastAsia="zh-CN"/>
              </w:rPr>
              <w:t xml:space="preserve">   优质高效；顾客满意；节能惜资；以人为本；协商参与；员工满意；遵章守法；预防改进。</w:t>
            </w:r>
          </w:p>
          <w:p>
            <w:pPr>
              <w:spacing w:line="240" w:lineRule="auto"/>
              <w:jc w:val="left"/>
              <w:rPr>
                <w:rFonts w:hint="eastAsia" w:ascii="Times New Roman" w:hAnsi="Times New Roman" w:eastAsia="宋体" w:cs="Times New Roman"/>
                <w:sz w:val="21"/>
                <w:szCs w:val="21"/>
              </w:rPr>
            </w:pPr>
            <w:r>
              <w:rPr>
                <w:rFonts w:hint="eastAsia" w:cs="Times New Roman"/>
                <w:sz w:val="21"/>
                <w:szCs w:val="21"/>
                <w:lang w:val="en-US" w:eastAsia="zh-CN"/>
              </w:rPr>
              <w:t>——</w:t>
            </w:r>
            <w:r>
              <w:rPr>
                <w:rFonts w:hint="eastAsia" w:ascii="Times New Roman" w:hAnsi="Times New Roman" w:eastAsia="宋体" w:cs="Times New Roman"/>
                <w:sz w:val="21"/>
                <w:szCs w:val="21"/>
              </w:rPr>
              <w:t>ＱＥＳ方针与公司战略相适宜</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 xml:space="preserve"> </w:t>
            </w:r>
          </w:p>
          <w:p>
            <w:pPr>
              <w:spacing w:line="240" w:lineRule="auto"/>
              <w:jc w:val="lef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管理目标</w:t>
            </w:r>
            <w:r>
              <w:rPr>
                <w:rFonts w:hint="eastAsia" w:ascii="Times New Roman" w:hAnsi="Times New Roman" w:eastAsia="宋体" w:cs="Times New Roman"/>
                <w:sz w:val="21"/>
                <w:szCs w:val="21"/>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质量目标：</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一次交付合格率100%（</w:t>
            </w:r>
            <w:r>
              <w:rPr>
                <w:rFonts w:hint="eastAsia" w:ascii="宋体" w:hAnsi="宋体" w:eastAsia="宋体" w:cs="宋体"/>
                <w:sz w:val="24"/>
                <w:szCs w:val="24"/>
                <w:lang w:val="en-US" w:eastAsia="zh-CN"/>
              </w:rPr>
              <w:t>项目</w:t>
            </w:r>
            <w:r>
              <w:rPr>
                <w:rFonts w:hint="eastAsia" w:ascii="宋体" w:hAnsi="宋体" w:eastAsia="宋体" w:cs="宋体"/>
                <w:sz w:val="24"/>
                <w:szCs w:val="24"/>
              </w:rPr>
              <w:t>一次</w:t>
            </w:r>
            <w:r>
              <w:rPr>
                <w:rFonts w:hint="eastAsia" w:ascii="宋体" w:hAnsi="宋体" w:eastAsia="宋体" w:cs="宋体"/>
                <w:sz w:val="24"/>
                <w:szCs w:val="24"/>
                <w:lang w:val="en-US" w:eastAsia="zh-CN"/>
              </w:rPr>
              <w:t>维修</w:t>
            </w:r>
            <w:r>
              <w:rPr>
                <w:rFonts w:hint="eastAsia" w:ascii="宋体" w:hAnsi="宋体" w:eastAsia="宋体" w:cs="宋体"/>
                <w:sz w:val="24"/>
                <w:szCs w:val="24"/>
              </w:rPr>
              <w:t>验收合格率100%；</w:t>
            </w:r>
            <w:r>
              <w:rPr>
                <w:rFonts w:hint="eastAsia" w:ascii="宋体" w:hAnsi="宋体" w:eastAsia="宋体" w:cs="宋体"/>
                <w:sz w:val="24"/>
                <w:szCs w:val="24"/>
                <w:lang w:val="en-US" w:eastAsia="zh-CN"/>
              </w:rPr>
              <w:t>货物运输一次交付合格率100%）</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顾客满意率≥9</w:t>
            </w:r>
            <w:r>
              <w:rPr>
                <w:rFonts w:hint="eastAsia" w:ascii="宋体" w:hAnsi="宋体" w:eastAsia="宋体" w:cs="宋体"/>
                <w:sz w:val="24"/>
                <w:szCs w:val="24"/>
                <w:lang w:val="en-US" w:eastAsia="zh-CN"/>
              </w:rPr>
              <w:t>5</w:t>
            </w:r>
            <w:r>
              <w:rPr>
                <w:rFonts w:hint="eastAsia" w:ascii="宋体" w:hAnsi="宋体" w:eastAsia="宋体" w:cs="宋体"/>
                <w:sz w:val="24"/>
                <w:szCs w:val="24"/>
              </w:rPr>
              <w:t>%；</w:t>
            </w:r>
          </w:p>
          <w:p>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环境目标：</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杜绝火灾</w:t>
            </w:r>
            <w:r>
              <w:rPr>
                <w:rFonts w:hint="eastAsia" w:ascii="宋体" w:hAnsi="宋体" w:cs="宋体"/>
                <w:sz w:val="24"/>
                <w:szCs w:val="24"/>
                <w:lang w:val="en-US" w:eastAsia="zh-CN"/>
              </w:rPr>
              <w:t>事故</w:t>
            </w:r>
            <w:r>
              <w:rPr>
                <w:rFonts w:hint="eastAsia" w:ascii="宋体" w:hAnsi="宋体" w:eastAsia="宋体" w:cs="宋体"/>
                <w:sz w:val="24"/>
                <w:szCs w:val="24"/>
              </w:rPr>
              <w:t>的发生；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噪音</w:t>
            </w:r>
            <w:r>
              <w:rPr>
                <w:rFonts w:hint="eastAsia" w:ascii="宋体" w:hAnsi="宋体" w:cs="宋体"/>
                <w:sz w:val="24"/>
                <w:szCs w:val="24"/>
                <w:lang w:val="en-US" w:eastAsia="zh-CN"/>
              </w:rPr>
              <w:t>达标</w:t>
            </w:r>
            <w:r>
              <w:rPr>
                <w:rFonts w:hint="eastAsia" w:ascii="宋体" w:hAnsi="宋体" w:eastAsia="宋体" w:cs="宋体"/>
                <w:sz w:val="24"/>
                <w:szCs w:val="24"/>
              </w:rPr>
              <w:t>排放</w:t>
            </w:r>
            <w:r>
              <w:rPr>
                <w:rFonts w:hint="eastAsia" w:ascii="宋体" w:hAnsi="宋体" w:cs="宋体"/>
                <w:sz w:val="24"/>
                <w:szCs w:val="24"/>
                <w:lang w:eastAsia="zh-CN"/>
              </w:rPr>
              <w:t>，</w:t>
            </w:r>
            <w:r>
              <w:rPr>
                <w:rFonts w:hint="eastAsia" w:ascii="宋体" w:hAnsi="宋体" w:cs="宋体"/>
                <w:sz w:val="24"/>
                <w:szCs w:val="24"/>
                <w:lang w:val="en-US" w:eastAsia="zh-CN"/>
              </w:rPr>
              <w:t>不扰民</w:t>
            </w:r>
            <w:r>
              <w:rPr>
                <w:rFonts w:hint="eastAsia" w:ascii="宋体" w:hAnsi="宋体" w:eastAsia="宋体" w:cs="宋体"/>
                <w:sz w:val="24"/>
                <w:szCs w:val="24"/>
              </w:rPr>
              <w:t>。</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固废分类处置率100%</w:t>
            </w:r>
          </w:p>
          <w:p>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职业健康安全目标：</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杜绝出现重大伤亡事故</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杜绝火灾的发生</w:t>
            </w:r>
          </w:p>
          <w:p>
            <w:pPr>
              <w:spacing w:line="240" w:lineRule="auto"/>
              <w:jc w:val="left"/>
              <w:rPr>
                <w:rFonts w:hint="eastAsia" w:eastAsia="宋体"/>
                <w:lang w:eastAsia="zh-CN"/>
              </w:rPr>
            </w:pPr>
            <w:r>
              <w:rPr>
                <w:rFonts w:hint="eastAsia" w:cs="Times New Roman"/>
                <w:sz w:val="21"/>
                <w:szCs w:val="21"/>
                <w:lang w:val="en-US" w:eastAsia="zh-CN"/>
              </w:rPr>
              <w:t>——</w:t>
            </w:r>
            <w:r>
              <w:rPr>
                <w:rFonts w:hint="eastAsia" w:ascii="Times New Roman" w:hAnsi="Times New Roman" w:eastAsia="宋体" w:cs="Times New Roman"/>
                <w:sz w:val="21"/>
                <w:szCs w:val="21"/>
              </w:rPr>
              <w:t>目标可测量</w:t>
            </w:r>
            <w:r>
              <w:rPr>
                <w:rFonts w:hint="eastAsia" w:cs="Times New Roman"/>
                <w:sz w:val="21"/>
                <w:szCs w:val="21"/>
                <w:lang w:eastAsia="zh-CN"/>
              </w:rPr>
              <w:t>。</w:t>
            </w:r>
          </w:p>
          <w:p>
            <w:pPr>
              <w:spacing w:line="240" w:lineRule="auto"/>
              <w:jc w:val="lef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通过发放文件、会议（每周部门会议，每月公司会议）、培训等方式向员工传达，使得员工理解和应用</w:t>
            </w:r>
            <w:r>
              <w:rPr>
                <w:rFonts w:hint="eastAsia" w:ascii="Times New Roman" w:hAnsi="Times New Roman" w:eastAsia="宋体" w:cs="Times New Roman"/>
                <w:sz w:val="21"/>
                <w:szCs w:val="21"/>
                <w:lang w:eastAsia="zh-CN"/>
              </w:rPr>
              <w:t>。</w:t>
            </w:r>
          </w:p>
          <w:p>
            <w:pPr>
              <w:spacing w:line="240" w:lineRule="auto"/>
              <w:jc w:val="lef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建立管理体系，以实现公司的目标</w:t>
            </w:r>
            <w:r>
              <w:rPr>
                <w:rFonts w:hint="eastAsia" w:ascii="Times New Roman" w:hAnsi="Times New Roman" w:eastAsia="宋体" w:cs="Times New Roman"/>
                <w:sz w:val="21"/>
                <w:szCs w:val="21"/>
                <w:lang w:eastAsia="zh-CN"/>
              </w:rPr>
              <w:t>。</w:t>
            </w:r>
          </w:p>
          <w:p>
            <w:pPr>
              <w:spacing w:line="240" w:lineRule="auto"/>
              <w:jc w:val="lef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管理评审中对适宜性进行评审</w:t>
            </w:r>
            <w:r>
              <w:rPr>
                <w:rFonts w:hint="eastAsia" w:ascii="Times New Roman" w:hAnsi="Times New Roman" w:eastAsia="宋体" w:cs="Times New Roman"/>
                <w:sz w:val="21"/>
                <w:szCs w:val="21"/>
                <w:lang w:eastAsia="zh-CN"/>
              </w:rPr>
              <w:t>。</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管理方针、目标</w:t>
            </w:r>
            <w:r>
              <w:rPr>
                <w:rFonts w:hint="eastAsia" w:ascii="Times New Roman" w:hAnsi="Times New Roman" w:eastAsia="宋体" w:cs="Times New Roman"/>
                <w:sz w:val="21"/>
                <w:szCs w:val="21"/>
                <w:lang w:val="en-US" w:eastAsia="zh-CN"/>
              </w:rPr>
              <w:t>及其实现的策划基本有效。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2160" w:type="dxa"/>
            <w:vAlign w:val="top"/>
          </w:tcPr>
          <w:p>
            <w:pPr>
              <w:spacing w:line="240" w:lineRule="auto"/>
              <w:jc w:val="left"/>
              <w:rPr>
                <w:rFonts w:hint="eastAsia"/>
                <w:sz w:val="21"/>
                <w:szCs w:val="21"/>
                <w:lang w:val="en-US" w:eastAsia="zh-CN"/>
              </w:rPr>
            </w:pPr>
            <w:r>
              <w:rPr>
                <w:rFonts w:hint="eastAsia"/>
                <w:sz w:val="21"/>
                <w:szCs w:val="21"/>
                <w:lang w:val="en-US" w:eastAsia="zh-CN"/>
              </w:rPr>
              <w:t>资源</w:t>
            </w:r>
          </w:p>
        </w:tc>
        <w:tc>
          <w:tcPr>
            <w:tcW w:w="960" w:type="dxa"/>
            <w:vAlign w:val="top"/>
          </w:tcPr>
          <w:p>
            <w:pPr>
              <w:spacing w:line="240" w:lineRule="auto"/>
              <w:jc w:val="left"/>
              <w:rPr>
                <w:rFonts w:hint="eastAsia"/>
                <w:sz w:val="21"/>
                <w:szCs w:val="21"/>
                <w:lang w:val="en-US" w:eastAsia="zh-CN"/>
              </w:rPr>
            </w:pPr>
            <w:r>
              <w:rPr>
                <w:rFonts w:hint="eastAsia"/>
                <w:sz w:val="21"/>
                <w:szCs w:val="21"/>
                <w:lang w:val="en-US" w:eastAsia="zh-CN"/>
              </w:rPr>
              <w:t>Q7.1</w:t>
            </w:r>
          </w:p>
          <w:p>
            <w:pPr>
              <w:spacing w:line="240" w:lineRule="auto"/>
              <w:jc w:val="left"/>
              <w:rPr>
                <w:rFonts w:hint="default"/>
                <w:sz w:val="21"/>
                <w:szCs w:val="21"/>
                <w:lang w:val="en-US" w:eastAsia="zh-CN"/>
              </w:rPr>
            </w:pPr>
            <w:r>
              <w:rPr>
                <w:rFonts w:hint="eastAsia"/>
                <w:sz w:val="21"/>
                <w:szCs w:val="21"/>
                <w:lang w:val="en-US" w:eastAsia="zh-CN"/>
              </w:rPr>
              <w:t>ES7.1.1</w:t>
            </w:r>
          </w:p>
          <w:p>
            <w:pPr>
              <w:spacing w:line="240" w:lineRule="auto"/>
              <w:jc w:val="left"/>
              <w:rPr>
                <w:rFonts w:hint="default"/>
                <w:sz w:val="21"/>
                <w:szCs w:val="21"/>
                <w:lang w:val="en-US" w:eastAsia="zh-CN"/>
              </w:rPr>
            </w:pPr>
          </w:p>
        </w:tc>
        <w:tc>
          <w:tcPr>
            <w:tcW w:w="10004" w:type="dxa"/>
            <w:vAlign w:val="top"/>
          </w:tcPr>
          <w:p>
            <w:pPr>
              <w:spacing w:line="240" w:lineRule="auto"/>
              <w:jc w:val="left"/>
              <w:rPr>
                <w:rFonts w:hint="eastAsia"/>
                <w:sz w:val="21"/>
                <w:szCs w:val="21"/>
                <w:lang w:val="en-US" w:eastAsia="zh-CN"/>
              </w:rPr>
            </w:pPr>
            <w:r>
              <w:rPr>
                <w:rFonts w:hint="eastAsia"/>
                <w:sz w:val="21"/>
                <w:szCs w:val="21"/>
                <w:lang w:val="en-US" w:eastAsia="zh-CN"/>
              </w:rPr>
              <w:t>主厂房970平，综合楼410平；配备了生产所需的主要设备有：内六角扳手、螺丝刀、钢丝钳、什锦锉刀等维修工具以及货运车辆等；配备了生产所需的主要计量器具：万用表、压力表等。</w:t>
            </w:r>
          </w:p>
          <w:p>
            <w:pPr>
              <w:spacing w:line="240" w:lineRule="auto"/>
              <w:jc w:val="left"/>
              <w:rPr>
                <w:rFonts w:hint="default"/>
                <w:sz w:val="21"/>
                <w:szCs w:val="21"/>
                <w:lang w:val="en-US" w:eastAsia="zh-CN"/>
              </w:rPr>
            </w:pPr>
            <w:r>
              <w:rPr>
                <w:rFonts w:hint="eastAsia"/>
                <w:sz w:val="21"/>
                <w:szCs w:val="21"/>
                <w:lang w:val="en-US" w:eastAsia="zh-CN"/>
              </w:rPr>
              <w:t>——经专业审核员确认，满足企业现阶段生产经营需求。</w:t>
            </w:r>
          </w:p>
          <w:p>
            <w:pPr>
              <w:spacing w:line="240" w:lineRule="auto"/>
              <w:jc w:val="left"/>
              <w:rPr>
                <w:rFonts w:hint="eastAsia"/>
                <w:sz w:val="21"/>
                <w:szCs w:val="21"/>
                <w:lang w:val="en-US" w:eastAsia="zh-CN"/>
              </w:rPr>
            </w:pP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highlight w:val="yellow"/>
                <w:lang w:val="en-US" w:eastAsia="zh-CN"/>
              </w:rPr>
            </w:pPr>
            <w:r>
              <w:rPr>
                <w:rFonts w:hint="eastAsia" w:ascii="宋体" w:hAnsi="宋体"/>
                <w:lang w:val="en-US" w:eastAsia="zh-CN"/>
              </w:rPr>
              <w:t>管理评审的策划及实施情况</w:t>
            </w:r>
          </w:p>
        </w:tc>
        <w:tc>
          <w:tcPr>
            <w:tcW w:w="960" w:type="dxa"/>
            <w:vAlign w:val="top"/>
          </w:tcPr>
          <w:p>
            <w:pPr>
              <w:rPr>
                <w:highlight w:val="yellow"/>
              </w:rPr>
            </w:pPr>
            <w:r>
              <w:rPr>
                <w:rFonts w:hint="eastAsia"/>
                <w:lang w:val="en-US" w:eastAsia="zh-CN"/>
              </w:rPr>
              <w:t>QES9.3</w:t>
            </w:r>
          </w:p>
        </w:tc>
        <w:tc>
          <w:tcPr>
            <w:tcW w:w="10004" w:type="dxa"/>
            <w:vAlign w:val="top"/>
          </w:tcPr>
          <w:p>
            <w:pPr>
              <w:spacing w:line="240" w:lineRule="auto"/>
              <w:jc w:val="left"/>
              <w:rPr>
                <w:rFonts w:hint="eastAsia"/>
                <w:sz w:val="21"/>
                <w:szCs w:val="21"/>
                <w:lang w:val="en-US" w:eastAsia="zh-CN"/>
              </w:rPr>
            </w:pPr>
            <w:r>
              <w:rPr>
                <w:rFonts w:hint="eastAsia"/>
                <w:sz w:val="21"/>
                <w:szCs w:val="21"/>
                <w:lang w:val="en-US" w:eastAsia="zh-CN"/>
              </w:rPr>
              <w:t>---查公司策划了：管理评审程序。</w:t>
            </w:r>
          </w:p>
          <w:p>
            <w:pPr>
              <w:spacing w:line="240" w:lineRule="auto"/>
              <w:jc w:val="left"/>
              <w:rPr>
                <w:rFonts w:hint="eastAsia"/>
                <w:sz w:val="21"/>
                <w:szCs w:val="21"/>
                <w:lang w:val="en-US" w:eastAsia="zh-CN"/>
              </w:rPr>
            </w:pPr>
            <w:r>
              <w:rPr>
                <w:rFonts w:hint="eastAsia"/>
                <w:sz w:val="21"/>
                <w:szCs w:val="21"/>
                <w:lang w:val="en-US" w:eastAsia="zh-CN"/>
              </w:rPr>
              <w:t>---管理评审的实施情况：建立管理体系至今进行管评一次，提供了相应的记录，如下：</w:t>
            </w:r>
          </w:p>
          <w:p>
            <w:pPr>
              <w:spacing w:line="240" w:lineRule="auto"/>
              <w:jc w:val="left"/>
              <w:rPr>
                <w:rFonts w:hint="default"/>
                <w:sz w:val="21"/>
                <w:szCs w:val="21"/>
                <w:lang w:val="en-US" w:eastAsia="zh-CN"/>
              </w:rPr>
            </w:pPr>
            <w:r>
              <w:rPr>
                <w:rFonts w:hint="default"/>
                <w:sz w:val="21"/>
                <w:szCs w:val="21"/>
                <w:lang w:val="en-US" w:eastAsia="zh-CN"/>
              </w:rPr>
              <w:t>公司在</w:t>
            </w:r>
            <w:r>
              <w:rPr>
                <w:rFonts w:hint="eastAsia"/>
                <w:sz w:val="21"/>
                <w:szCs w:val="21"/>
                <w:lang w:val="en-US" w:eastAsia="zh-CN"/>
              </w:rPr>
              <w:t>2022.10.25.实施</w:t>
            </w:r>
            <w:r>
              <w:rPr>
                <w:rFonts w:hint="default"/>
                <w:sz w:val="21"/>
                <w:szCs w:val="21"/>
                <w:lang w:val="en-US" w:eastAsia="zh-CN"/>
              </w:rPr>
              <w:t>了管理评审活动，所有职能部门参与；主要的输入：</w:t>
            </w:r>
          </w:p>
          <w:p>
            <w:pPr>
              <w:pStyle w:val="2"/>
              <w:rPr>
                <w:rFonts w:hint="default"/>
                <w:sz w:val="21"/>
                <w:szCs w:val="21"/>
                <w:lang w:val="en-US" w:eastAsia="zh-CN"/>
              </w:rPr>
            </w:pPr>
            <w:r>
              <w:rPr>
                <w:rFonts w:hint="default"/>
                <w:sz w:val="21"/>
                <w:szCs w:val="21"/>
                <w:lang w:val="en-US" w:eastAsia="zh-CN"/>
              </w:rPr>
              <w:t>评审内容：</w:t>
            </w:r>
          </w:p>
          <w:p>
            <w:pPr>
              <w:pStyle w:val="2"/>
              <w:rPr>
                <w:rFonts w:hint="default"/>
                <w:sz w:val="21"/>
                <w:szCs w:val="21"/>
                <w:lang w:val="en-US" w:eastAsia="zh-CN"/>
              </w:rPr>
            </w:pPr>
            <w:r>
              <w:rPr>
                <w:rFonts w:hint="default"/>
                <w:sz w:val="21"/>
                <w:szCs w:val="21"/>
                <w:lang w:val="en-US" w:eastAsia="zh-CN"/>
              </w:rPr>
              <w:t xml:space="preserve">1、以往管理评审所采取措施的实施情况； </w:t>
            </w:r>
          </w:p>
          <w:p>
            <w:pPr>
              <w:pStyle w:val="2"/>
              <w:rPr>
                <w:rFonts w:hint="default"/>
                <w:sz w:val="21"/>
                <w:szCs w:val="21"/>
                <w:lang w:val="en-US" w:eastAsia="zh-CN"/>
              </w:rPr>
            </w:pPr>
            <w:r>
              <w:rPr>
                <w:rFonts w:hint="default"/>
                <w:sz w:val="21"/>
                <w:szCs w:val="21"/>
                <w:lang w:val="en-US" w:eastAsia="zh-CN"/>
              </w:rPr>
              <w:t>2、以下方面的变化：</w:t>
            </w:r>
          </w:p>
          <w:p>
            <w:pPr>
              <w:pStyle w:val="2"/>
              <w:rPr>
                <w:rFonts w:hint="default"/>
                <w:sz w:val="21"/>
                <w:szCs w:val="21"/>
                <w:lang w:val="en-US" w:eastAsia="zh-CN"/>
              </w:rPr>
            </w:pPr>
            <w:r>
              <w:rPr>
                <w:rFonts w:hint="default"/>
                <w:sz w:val="21"/>
                <w:szCs w:val="21"/>
                <w:lang w:val="en-US" w:eastAsia="zh-CN"/>
              </w:rPr>
              <w:t>1）与质量、环境、职业健康安全管理体系相关的内外部因素和问题的变化；</w:t>
            </w:r>
          </w:p>
          <w:p>
            <w:pPr>
              <w:pStyle w:val="2"/>
              <w:rPr>
                <w:rFonts w:hint="default"/>
                <w:sz w:val="21"/>
                <w:szCs w:val="21"/>
                <w:lang w:val="en-US" w:eastAsia="zh-CN"/>
              </w:rPr>
            </w:pPr>
            <w:r>
              <w:rPr>
                <w:rFonts w:hint="default"/>
                <w:sz w:val="21"/>
                <w:szCs w:val="21"/>
                <w:lang w:val="en-US" w:eastAsia="zh-CN"/>
              </w:rPr>
              <w:t>2）相关方的需求和期望，包括合规义务；</w:t>
            </w:r>
          </w:p>
          <w:p>
            <w:pPr>
              <w:pStyle w:val="2"/>
              <w:rPr>
                <w:rFonts w:hint="default"/>
                <w:sz w:val="21"/>
                <w:szCs w:val="21"/>
                <w:lang w:val="en-US" w:eastAsia="zh-CN"/>
              </w:rPr>
            </w:pPr>
            <w:r>
              <w:rPr>
                <w:rFonts w:hint="default"/>
                <w:sz w:val="21"/>
                <w:szCs w:val="21"/>
                <w:lang w:val="en-US" w:eastAsia="zh-CN"/>
              </w:rPr>
              <w:t>3）其重要环境因素、不可接受风险；</w:t>
            </w:r>
          </w:p>
          <w:p>
            <w:pPr>
              <w:pStyle w:val="2"/>
              <w:rPr>
                <w:rFonts w:hint="default"/>
                <w:sz w:val="21"/>
                <w:szCs w:val="21"/>
                <w:lang w:val="en-US" w:eastAsia="zh-CN"/>
              </w:rPr>
            </w:pPr>
            <w:r>
              <w:rPr>
                <w:rFonts w:hint="default"/>
                <w:sz w:val="21"/>
                <w:szCs w:val="21"/>
                <w:lang w:val="en-US" w:eastAsia="zh-CN"/>
              </w:rPr>
              <w:t>4）风险和机遇。</w:t>
            </w:r>
          </w:p>
          <w:p>
            <w:pPr>
              <w:pStyle w:val="2"/>
              <w:rPr>
                <w:rFonts w:hint="default"/>
                <w:sz w:val="21"/>
                <w:szCs w:val="21"/>
                <w:lang w:val="en-US" w:eastAsia="zh-CN"/>
              </w:rPr>
            </w:pPr>
            <w:r>
              <w:rPr>
                <w:rFonts w:hint="default"/>
                <w:sz w:val="21"/>
                <w:szCs w:val="21"/>
                <w:lang w:val="en-US" w:eastAsia="zh-CN"/>
              </w:rPr>
              <w:t>5）客观环境的变化，包括与质量、环境、职业健康安全管理体系相关的法律法规和其他要求的发展。</w:t>
            </w:r>
          </w:p>
          <w:p>
            <w:pPr>
              <w:pStyle w:val="2"/>
              <w:rPr>
                <w:rFonts w:hint="default"/>
                <w:sz w:val="21"/>
                <w:szCs w:val="21"/>
                <w:lang w:val="en-US" w:eastAsia="zh-CN"/>
              </w:rPr>
            </w:pPr>
            <w:r>
              <w:rPr>
                <w:rFonts w:hint="default"/>
                <w:sz w:val="21"/>
                <w:szCs w:val="21"/>
                <w:lang w:val="en-US" w:eastAsia="zh-CN"/>
              </w:rPr>
              <w:t xml:space="preserve">3、有关质量、环境、职业健康安全管理体系绩效和有效性的信息，包括下列趋势性信息： </w:t>
            </w:r>
          </w:p>
          <w:p>
            <w:pPr>
              <w:pStyle w:val="2"/>
              <w:rPr>
                <w:rFonts w:hint="default"/>
                <w:sz w:val="21"/>
                <w:szCs w:val="21"/>
                <w:lang w:val="en-US" w:eastAsia="zh-CN"/>
              </w:rPr>
            </w:pPr>
            <w:r>
              <w:rPr>
                <w:rFonts w:hint="default"/>
                <w:sz w:val="21"/>
                <w:szCs w:val="21"/>
                <w:lang w:val="en-US" w:eastAsia="zh-CN"/>
              </w:rPr>
              <w:t xml:space="preserve">1）顾客满意和相关方的反馈； </w:t>
            </w:r>
          </w:p>
          <w:p>
            <w:pPr>
              <w:pStyle w:val="2"/>
              <w:rPr>
                <w:rFonts w:hint="default"/>
                <w:sz w:val="21"/>
                <w:szCs w:val="21"/>
                <w:lang w:val="en-US" w:eastAsia="zh-CN"/>
              </w:rPr>
            </w:pPr>
            <w:r>
              <w:rPr>
                <w:rFonts w:hint="default"/>
                <w:sz w:val="21"/>
                <w:szCs w:val="21"/>
                <w:lang w:val="en-US" w:eastAsia="zh-CN"/>
              </w:rPr>
              <w:t xml:space="preserve">2）管理目标的实现程度； </w:t>
            </w:r>
          </w:p>
          <w:p>
            <w:pPr>
              <w:pStyle w:val="2"/>
              <w:rPr>
                <w:rFonts w:hint="default"/>
                <w:sz w:val="21"/>
                <w:szCs w:val="21"/>
                <w:lang w:val="en-US" w:eastAsia="zh-CN"/>
              </w:rPr>
            </w:pPr>
            <w:r>
              <w:rPr>
                <w:rFonts w:hint="default"/>
                <w:sz w:val="21"/>
                <w:szCs w:val="21"/>
                <w:lang w:val="en-US" w:eastAsia="zh-CN"/>
              </w:rPr>
              <w:t xml:space="preserve">3）过程绩效以及产品和服务的符合性； </w:t>
            </w:r>
          </w:p>
          <w:p>
            <w:pPr>
              <w:pStyle w:val="2"/>
              <w:rPr>
                <w:rFonts w:hint="default"/>
                <w:sz w:val="21"/>
                <w:szCs w:val="21"/>
                <w:lang w:val="en-US" w:eastAsia="zh-CN"/>
              </w:rPr>
            </w:pPr>
            <w:r>
              <w:rPr>
                <w:rFonts w:hint="default"/>
                <w:sz w:val="21"/>
                <w:szCs w:val="21"/>
                <w:lang w:val="en-US" w:eastAsia="zh-CN"/>
              </w:rPr>
              <w:t xml:space="preserve">4）事件调查、不合格、纠正措施及其合规性义务履行情况； </w:t>
            </w:r>
          </w:p>
          <w:p>
            <w:pPr>
              <w:pStyle w:val="2"/>
              <w:rPr>
                <w:rFonts w:hint="default"/>
                <w:sz w:val="21"/>
                <w:szCs w:val="21"/>
                <w:lang w:val="en-US" w:eastAsia="zh-CN"/>
              </w:rPr>
            </w:pPr>
            <w:r>
              <w:rPr>
                <w:rFonts w:hint="default"/>
                <w:sz w:val="21"/>
                <w:szCs w:val="21"/>
                <w:lang w:val="en-US" w:eastAsia="zh-CN"/>
              </w:rPr>
              <w:t xml:space="preserve">5）监视和测量结果及审核结果； </w:t>
            </w:r>
          </w:p>
          <w:p>
            <w:pPr>
              <w:pStyle w:val="2"/>
              <w:rPr>
                <w:rFonts w:hint="default"/>
                <w:sz w:val="21"/>
                <w:szCs w:val="21"/>
                <w:lang w:val="en-US" w:eastAsia="zh-CN"/>
              </w:rPr>
            </w:pPr>
            <w:r>
              <w:rPr>
                <w:rFonts w:hint="default"/>
                <w:sz w:val="21"/>
                <w:szCs w:val="21"/>
                <w:lang w:val="en-US" w:eastAsia="zh-CN"/>
              </w:rPr>
              <w:t xml:space="preserve">6）外部供方的绩效。 </w:t>
            </w:r>
          </w:p>
          <w:p>
            <w:pPr>
              <w:pStyle w:val="2"/>
              <w:rPr>
                <w:rFonts w:hint="default"/>
                <w:sz w:val="21"/>
                <w:szCs w:val="21"/>
                <w:lang w:val="en-US" w:eastAsia="zh-CN"/>
              </w:rPr>
            </w:pPr>
            <w:r>
              <w:rPr>
                <w:rFonts w:hint="default"/>
                <w:sz w:val="21"/>
                <w:szCs w:val="21"/>
                <w:lang w:val="en-US" w:eastAsia="zh-CN"/>
              </w:rPr>
              <w:t>7）参与和协商的结果；</w:t>
            </w:r>
          </w:p>
          <w:p>
            <w:pPr>
              <w:pStyle w:val="2"/>
              <w:rPr>
                <w:rFonts w:hint="default"/>
                <w:sz w:val="21"/>
                <w:szCs w:val="21"/>
                <w:lang w:val="en-US" w:eastAsia="zh-CN"/>
              </w:rPr>
            </w:pPr>
            <w:r>
              <w:rPr>
                <w:rFonts w:hint="default"/>
                <w:sz w:val="21"/>
                <w:szCs w:val="21"/>
                <w:lang w:val="en-US" w:eastAsia="zh-CN"/>
              </w:rPr>
              <w:t>8）来自相关方的有关信息交流，包括抱怨、投诉。</w:t>
            </w:r>
          </w:p>
          <w:p>
            <w:pPr>
              <w:pStyle w:val="2"/>
              <w:rPr>
                <w:rFonts w:hint="default"/>
                <w:sz w:val="21"/>
                <w:szCs w:val="21"/>
                <w:lang w:val="en-US" w:eastAsia="zh-CN"/>
              </w:rPr>
            </w:pPr>
            <w:r>
              <w:rPr>
                <w:rFonts w:hint="default"/>
                <w:sz w:val="21"/>
                <w:szCs w:val="21"/>
                <w:lang w:val="en-US" w:eastAsia="zh-CN"/>
              </w:rPr>
              <w:t xml:space="preserve">d）资源的充分性； </w:t>
            </w:r>
          </w:p>
          <w:p>
            <w:pPr>
              <w:pStyle w:val="2"/>
              <w:rPr>
                <w:rFonts w:hint="default"/>
                <w:sz w:val="21"/>
                <w:szCs w:val="21"/>
                <w:lang w:val="en-US" w:eastAsia="zh-CN"/>
              </w:rPr>
            </w:pPr>
            <w:r>
              <w:rPr>
                <w:rFonts w:hint="default"/>
                <w:sz w:val="21"/>
                <w:szCs w:val="21"/>
                <w:lang w:val="en-US" w:eastAsia="zh-CN"/>
              </w:rPr>
              <w:t>e）应对风险和机遇所采取措施的有效性（见6.1）；</w:t>
            </w:r>
          </w:p>
          <w:p>
            <w:pPr>
              <w:pStyle w:val="2"/>
              <w:rPr>
                <w:rFonts w:hint="default"/>
                <w:sz w:val="21"/>
                <w:szCs w:val="21"/>
                <w:lang w:val="en-US" w:eastAsia="zh-CN"/>
              </w:rPr>
            </w:pPr>
            <w:r>
              <w:rPr>
                <w:rFonts w:hint="default"/>
                <w:sz w:val="21"/>
                <w:szCs w:val="21"/>
                <w:lang w:val="en-US" w:eastAsia="zh-CN"/>
              </w:rPr>
              <w:t xml:space="preserve">f）改进的机会。 </w:t>
            </w:r>
          </w:p>
          <w:p>
            <w:pPr>
              <w:pStyle w:val="2"/>
              <w:rPr>
                <w:rFonts w:hint="default"/>
                <w:sz w:val="21"/>
                <w:szCs w:val="21"/>
                <w:lang w:val="en-US" w:eastAsia="zh-CN"/>
              </w:rPr>
            </w:pPr>
            <w:r>
              <w:rPr>
                <w:rFonts w:hint="default"/>
                <w:sz w:val="21"/>
                <w:szCs w:val="21"/>
                <w:lang w:val="en-US" w:eastAsia="zh-CN"/>
              </w:rPr>
              <w:t>具体内容由责任部门或人员按职责分工负责收集和提供。</w:t>
            </w:r>
          </w:p>
          <w:p>
            <w:pPr>
              <w:pStyle w:val="2"/>
              <w:rPr>
                <w:rFonts w:hint="default"/>
                <w:sz w:val="21"/>
                <w:szCs w:val="21"/>
                <w:lang w:val="en-US" w:eastAsia="zh-CN"/>
              </w:rPr>
            </w:pPr>
            <w:r>
              <w:rPr>
                <w:rFonts w:hint="default"/>
                <w:sz w:val="21"/>
                <w:szCs w:val="21"/>
                <w:lang w:val="en-US" w:eastAsia="zh-CN"/>
              </w:rPr>
              <w:t>评审结论：</w:t>
            </w:r>
          </w:p>
          <w:p>
            <w:pPr>
              <w:pStyle w:val="2"/>
              <w:rPr>
                <w:rFonts w:hint="default"/>
                <w:sz w:val="21"/>
                <w:szCs w:val="21"/>
                <w:lang w:val="en-US" w:eastAsia="zh-CN"/>
              </w:rPr>
            </w:pPr>
            <w:r>
              <w:rPr>
                <w:rFonts w:hint="default"/>
                <w:sz w:val="21"/>
                <w:szCs w:val="21"/>
                <w:lang w:val="en-US" w:eastAsia="zh-CN"/>
              </w:rPr>
              <w:t>公司已按照GB/T19001-2016、GB/T24001-2016、GB/T45001-2020标准建立了符合本公司实际的管理体系，体系是持续适宜的、充分的和有效的。基本能够得到实施和保持。方针、目标和指标是适应的，正在通过体系的运行不断实现。</w:t>
            </w:r>
          </w:p>
          <w:p>
            <w:pPr>
              <w:pStyle w:val="2"/>
              <w:rPr>
                <w:rFonts w:hint="default"/>
                <w:sz w:val="21"/>
                <w:szCs w:val="21"/>
                <w:lang w:val="en-US" w:eastAsia="zh-CN"/>
              </w:rPr>
            </w:pPr>
            <w:r>
              <w:rPr>
                <w:rFonts w:hint="default"/>
                <w:sz w:val="21"/>
                <w:szCs w:val="21"/>
                <w:lang w:val="en-US" w:eastAsia="zh-CN"/>
              </w:rPr>
              <w:t>通过本次管理评审，确保了质量、环境和职业健康安全方针、目标和管理体系持续的适宜性、充分性和有效性，达到了持续改进的目的，为下一步外审工作奠定了良好的基础。</w:t>
            </w:r>
          </w:p>
          <w:p>
            <w:pPr>
              <w:pStyle w:val="2"/>
              <w:rPr>
                <w:rFonts w:hint="default"/>
                <w:sz w:val="21"/>
                <w:szCs w:val="21"/>
                <w:lang w:val="en-US" w:eastAsia="zh-CN"/>
              </w:rPr>
            </w:pPr>
            <w:r>
              <w:rPr>
                <w:rFonts w:hint="default"/>
                <w:sz w:val="21"/>
                <w:szCs w:val="21"/>
                <w:lang w:val="en-US" w:eastAsia="zh-CN"/>
              </w:rPr>
              <w:t>改进、纠正和预防措施摘要及责任部门：</w:t>
            </w:r>
          </w:p>
          <w:p>
            <w:pPr>
              <w:pStyle w:val="2"/>
              <w:rPr>
                <w:rFonts w:hint="default"/>
                <w:sz w:val="21"/>
                <w:szCs w:val="21"/>
                <w:lang w:val="en-US" w:eastAsia="zh-CN"/>
              </w:rPr>
            </w:pPr>
            <w:r>
              <w:rPr>
                <w:rFonts w:hint="default"/>
                <w:sz w:val="21"/>
                <w:szCs w:val="21"/>
                <w:lang w:val="en-US" w:eastAsia="zh-CN"/>
              </w:rPr>
              <w:t>1.为解决监管力度不够的情况，要求</w:t>
            </w:r>
            <w:r>
              <w:rPr>
                <w:rFonts w:hint="eastAsia" w:ascii="宋体" w:hAnsi="宋体" w:cs="宋体"/>
                <w:sz w:val="21"/>
                <w:szCs w:val="21"/>
                <w:lang w:eastAsia="zh-CN"/>
              </w:rPr>
              <w:t>综合部</w:t>
            </w:r>
            <w:r>
              <w:rPr>
                <w:rFonts w:hint="default"/>
                <w:sz w:val="21"/>
                <w:szCs w:val="21"/>
                <w:lang w:val="en-US" w:eastAsia="zh-CN"/>
              </w:rPr>
              <w:t>今后每季度至少组织一次对体系运行情况的监督检查；</w:t>
            </w:r>
          </w:p>
          <w:p>
            <w:pPr>
              <w:pStyle w:val="2"/>
              <w:rPr>
                <w:rFonts w:hint="default"/>
                <w:sz w:val="21"/>
                <w:szCs w:val="21"/>
                <w:lang w:val="en-US" w:eastAsia="zh-CN"/>
              </w:rPr>
            </w:pPr>
            <w:r>
              <w:rPr>
                <w:rFonts w:hint="default"/>
                <w:sz w:val="21"/>
                <w:szCs w:val="21"/>
                <w:lang w:val="en-US" w:eastAsia="zh-CN"/>
              </w:rPr>
              <w:t>2.</w:t>
            </w:r>
            <w:r>
              <w:rPr>
                <w:rFonts w:hint="eastAsia" w:ascii="宋体" w:hAnsi="宋体" w:cs="宋体"/>
                <w:sz w:val="21"/>
                <w:szCs w:val="21"/>
                <w:lang w:eastAsia="zh-CN"/>
              </w:rPr>
              <w:t>综合部</w:t>
            </w:r>
            <w:r>
              <w:rPr>
                <w:rFonts w:hint="default"/>
                <w:sz w:val="21"/>
                <w:szCs w:val="21"/>
                <w:lang w:val="en-US" w:eastAsia="zh-CN"/>
              </w:rPr>
              <w:t>继续抓好对员工的质量、环境、职业健康安全意识教育。</w:t>
            </w:r>
          </w:p>
          <w:p>
            <w:pPr>
              <w:pStyle w:val="2"/>
              <w:rPr>
                <w:rFonts w:hint="default"/>
                <w:sz w:val="21"/>
                <w:szCs w:val="21"/>
                <w:lang w:val="en-US" w:eastAsia="zh-CN"/>
              </w:rPr>
            </w:pPr>
            <w:r>
              <w:rPr>
                <w:rFonts w:hint="eastAsia"/>
                <w:sz w:val="21"/>
                <w:szCs w:val="21"/>
                <w:lang w:val="en-US" w:eastAsia="zh-CN"/>
              </w:rPr>
              <w:t>---管评已发放相关职能部门。</w:t>
            </w:r>
          </w:p>
          <w:p>
            <w:pPr>
              <w:rPr>
                <w:rFonts w:hint="eastAsia"/>
                <w:sz w:val="21"/>
                <w:szCs w:val="21"/>
                <w:lang w:val="en-US" w:eastAsia="zh-CN"/>
              </w:rPr>
            </w:pPr>
            <w:r>
              <w:rPr>
                <w:rFonts w:hint="eastAsia"/>
                <w:sz w:val="21"/>
                <w:szCs w:val="21"/>
                <w:lang w:val="en-US" w:eastAsia="zh-CN"/>
              </w:rPr>
              <w:t>——基本符合</w:t>
            </w:r>
          </w:p>
          <w:p>
            <w:pPr>
              <w:pStyle w:val="2"/>
              <w:rPr>
                <w:rFonts w:hint="eastAsia" w:ascii="Times New Roman" w:hAnsi="Times New Roman" w:eastAsia="宋体" w:cs="Times New Roman"/>
                <w:sz w:val="21"/>
                <w:szCs w:val="21"/>
                <w:highlight w:val="yellow"/>
                <w:lang w:eastAsia="zh-CN"/>
              </w:rPr>
            </w:pP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00" w:lineRule="exact"/>
              <w:rPr>
                <w:rFonts w:ascii="宋体" w:hAnsi="宋体" w:cs="新宋体"/>
                <w:sz w:val="21"/>
                <w:szCs w:val="21"/>
              </w:rPr>
            </w:pPr>
            <w:r>
              <w:rPr>
                <w:rFonts w:hint="eastAsia" w:ascii="宋体" w:hAnsi="宋体" w:cs="新宋体"/>
                <w:sz w:val="21"/>
                <w:szCs w:val="21"/>
              </w:rPr>
              <w:t>监测、分析和评价总则；改进 总则；持续改进；</w:t>
            </w:r>
          </w:p>
          <w:p>
            <w:pPr>
              <w:rPr>
                <w:rFonts w:hint="eastAsia" w:ascii="宋体" w:hAnsi="宋体"/>
                <w:lang w:val="en-US" w:eastAsia="zh-CN"/>
              </w:rPr>
            </w:pPr>
          </w:p>
        </w:tc>
        <w:tc>
          <w:tcPr>
            <w:tcW w:w="960" w:type="dxa"/>
            <w:vAlign w:val="top"/>
          </w:tcPr>
          <w:p>
            <w:pPr>
              <w:rPr>
                <w:rFonts w:hint="eastAsia"/>
                <w:lang w:val="en-US" w:eastAsia="zh-CN"/>
              </w:rPr>
            </w:pPr>
            <w:r>
              <w:rPr>
                <w:rFonts w:hint="eastAsia"/>
                <w:lang w:val="en-US" w:eastAsia="zh-CN"/>
              </w:rPr>
              <w:t>QES9.1.1/10.1/10.3</w:t>
            </w:r>
          </w:p>
        </w:tc>
        <w:tc>
          <w:tcPr>
            <w:tcW w:w="10004" w:type="dxa"/>
            <w:vAlign w:val="top"/>
          </w:tcPr>
          <w:p>
            <w:pPr>
              <w:rPr>
                <w:rFonts w:hint="eastAsia"/>
              </w:rPr>
            </w:pPr>
            <w:r>
              <w:rPr>
                <w:rFonts w:hint="eastAsia"/>
                <w:lang w:val="en-US" w:eastAsia="zh-CN"/>
              </w:rPr>
              <w:t>---负责人表述，公司</w:t>
            </w:r>
            <w:r>
              <w:rPr>
                <w:rFonts w:hint="eastAsia"/>
              </w:rPr>
              <w:t>通过管理评审、内审、目标指标考核、过程控制、纠正措施和预防措施等方式，进行质量和环境</w:t>
            </w:r>
            <w:r>
              <w:rPr>
                <w:rFonts w:hint="eastAsia"/>
                <w:lang w:eastAsia="zh-CN"/>
              </w:rPr>
              <w:t>、</w:t>
            </w:r>
            <w:r>
              <w:rPr>
                <w:rFonts w:hint="eastAsia"/>
                <w:lang w:val="en-US" w:eastAsia="zh-CN"/>
              </w:rPr>
              <w:t>安全</w:t>
            </w:r>
            <w:r>
              <w:rPr>
                <w:rFonts w:hint="eastAsia"/>
              </w:rPr>
              <w:t>管理体系过程的监视和测量，找出改进点，持续改进质量、环境和健康安全管理体系的运行有效性。</w:t>
            </w:r>
          </w:p>
          <w:p>
            <w:pPr>
              <w:rPr>
                <w:rFonts w:hint="eastAsia"/>
              </w:rPr>
            </w:pPr>
            <w:r>
              <w:rPr>
                <w:rFonts w:hint="eastAsia"/>
                <w:lang w:val="en-US" w:eastAsia="zh-CN"/>
              </w:rPr>
              <w:t>---</w:t>
            </w:r>
            <w:r>
              <w:rPr>
                <w:rFonts w:hint="eastAsia"/>
              </w:rPr>
              <w:t>过程的监视、测量、分析、评价主要表现在以下几个方面</w:t>
            </w:r>
          </w:p>
          <w:p>
            <w:pPr>
              <w:rPr>
                <w:rFonts w:hint="eastAsia"/>
              </w:rPr>
            </w:pPr>
            <w:r>
              <w:rPr>
                <w:rFonts w:hint="eastAsia"/>
              </w:rPr>
              <w:t>1.目标指标考评：其</w:t>
            </w:r>
            <w:r>
              <w:rPr>
                <w:rFonts w:hint="eastAsia"/>
                <w:lang w:val="en-US" w:eastAsia="zh-CN"/>
              </w:rPr>
              <w:t>贯标期内</w:t>
            </w:r>
            <w:r>
              <w:rPr>
                <w:rFonts w:hint="eastAsia"/>
              </w:rPr>
              <w:t>目标指标</w:t>
            </w:r>
            <w:r>
              <w:rPr>
                <w:rFonts w:hint="eastAsia"/>
                <w:lang w:val="en-US" w:eastAsia="zh-CN"/>
              </w:rPr>
              <w:t>均已</w:t>
            </w:r>
            <w:r>
              <w:rPr>
                <w:rFonts w:hint="eastAsia"/>
              </w:rPr>
              <w:t>达成，有效证实体系过程具备目标指标的实现能力。</w:t>
            </w:r>
          </w:p>
          <w:p>
            <w:pPr>
              <w:rPr>
                <w:rFonts w:hint="eastAsia"/>
              </w:rPr>
            </w:pPr>
            <w:r>
              <w:rPr>
                <w:rFonts w:hint="eastAsia"/>
              </w:rPr>
              <w:t>2. 日常监测包括自查、接受检查，目前未发现</w:t>
            </w:r>
            <w:r>
              <w:rPr>
                <w:rFonts w:hint="eastAsia"/>
                <w:lang w:val="en-US" w:eastAsia="zh-CN"/>
              </w:rPr>
              <w:t>严重影响体系运行</w:t>
            </w:r>
            <w:r>
              <w:rPr>
                <w:rFonts w:hint="eastAsia"/>
              </w:rPr>
              <w:t>的问题。对目标进行考核，目标经考核能完成。对完成情况进行分析，在工作报告中，整体认为</w:t>
            </w:r>
            <w:r>
              <w:rPr>
                <w:rFonts w:hint="eastAsia"/>
                <w:lang w:val="en-US" w:eastAsia="zh-CN"/>
              </w:rPr>
              <w:t>公司</w:t>
            </w:r>
            <w:r>
              <w:rPr>
                <w:rFonts w:hint="eastAsia"/>
              </w:rPr>
              <w:t>的监测分析工作基本有效。本年度内审中发现的不符合</w:t>
            </w:r>
            <w:r>
              <w:rPr>
                <w:rFonts w:hint="eastAsia"/>
                <w:lang w:val="en-US" w:eastAsia="zh-CN"/>
              </w:rPr>
              <w:t>已整改验证关闭</w:t>
            </w:r>
            <w:r>
              <w:rPr>
                <w:rFonts w:hint="eastAsia"/>
              </w:rPr>
              <w:t>。管评的改进措施正在实施中。</w:t>
            </w:r>
            <w:r>
              <w:rPr>
                <w:rFonts w:hint="eastAsia"/>
                <w:lang w:val="en-US" w:eastAsia="zh-CN"/>
              </w:rPr>
              <w:t>公司</w:t>
            </w:r>
            <w:r>
              <w:rPr>
                <w:rFonts w:hint="eastAsia"/>
              </w:rPr>
              <w:t>执行质量、环境、职业健康安全手册相关内容，明确公司收集分析信息数据的内容、责任部门及方法等内容。分析和评价机制</w:t>
            </w:r>
            <w:r>
              <w:rPr>
                <w:rFonts w:hint="eastAsia"/>
                <w:lang w:val="en-US" w:eastAsia="zh-CN"/>
              </w:rPr>
              <w:t>运行有效</w:t>
            </w:r>
            <w:r>
              <w:rPr>
                <w:rFonts w:hint="eastAsia"/>
              </w:rPr>
              <w:t>。基本符合要求。</w:t>
            </w:r>
          </w:p>
          <w:p>
            <w:pPr>
              <w:rPr>
                <w:rFonts w:hint="eastAsia"/>
              </w:rPr>
            </w:pPr>
            <w:r>
              <w:rPr>
                <w:rFonts w:hint="eastAsia"/>
              </w:rPr>
              <w:t>3.过程控制：出示有“</w:t>
            </w:r>
            <w:r>
              <w:rPr>
                <w:rFonts w:hint="eastAsia"/>
                <w:lang w:val="en-US" w:eastAsia="zh-CN"/>
              </w:rPr>
              <w:t>目标、指标完成情况监控记录2022</w:t>
            </w:r>
            <w:r>
              <w:rPr>
                <w:rFonts w:hint="eastAsia"/>
              </w:rPr>
              <w:t>”，“</w:t>
            </w:r>
            <w:r>
              <w:rPr>
                <w:rFonts w:hint="eastAsia"/>
                <w:lang w:val="en-US" w:eastAsia="zh-CN"/>
              </w:rPr>
              <w:t>内审检查表</w:t>
            </w:r>
            <w:r>
              <w:rPr>
                <w:rFonts w:hint="eastAsia"/>
              </w:rPr>
              <w:t>”等。</w:t>
            </w:r>
          </w:p>
          <w:p>
            <w:pPr>
              <w:rPr>
                <w:rFonts w:hint="eastAsia" w:ascii="Times New Roman" w:hAnsi="Times New Roman" w:eastAsia="宋体" w:cs="Times New Roman"/>
                <w:sz w:val="21"/>
                <w:szCs w:val="21"/>
                <w:highlight w:val="yellow"/>
                <w:lang w:eastAsia="zh-CN"/>
              </w:rPr>
            </w:pPr>
            <w:r>
              <w:rPr>
                <w:rFonts w:hint="eastAsia"/>
              </w:rPr>
              <w:t>——上述描述基本有效证实了体系过程监视、测量、分析和评价</w:t>
            </w:r>
            <w:r>
              <w:rPr>
                <w:rFonts w:hint="eastAsia"/>
                <w:lang w:val="en-US" w:eastAsia="zh-CN"/>
              </w:rPr>
              <w:t>及改进过程</w:t>
            </w:r>
            <w:r>
              <w:rPr>
                <w:rFonts w:hint="eastAsia"/>
              </w:rPr>
              <w:t>符合要求。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160" w:type="dxa"/>
            <w:vAlign w:val="top"/>
          </w:tcPr>
          <w:p>
            <w:pPr>
              <w:rPr>
                <w:rFonts w:hint="eastAsia" w:ascii="宋体" w:hAnsi="宋体"/>
                <w:lang w:val="en-US" w:eastAsia="zh-CN"/>
              </w:rPr>
            </w:pPr>
            <w:r>
              <w:rPr>
                <w:rFonts w:hint="eastAsia" w:ascii="Calibri" w:hAnsi="Calibri" w:eastAsia="宋体" w:cs="Times New Roman"/>
                <w:kern w:val="2"/>
                <w:sz w:val="21"/>
                <w:szCs w:val="22"/>
                <w:lang w:val="en-US" w:eastAsia="zh-CN" w:bidi="ar-SA"/>
              </w:rPr>
              <w:t>产品质量状况(包括质量/环境/安全事故、顾客投诉、监督部门抽查/</w:t>
            </w:r>
            <w:bookmarkStart w:id="4" w:name="_GoBack"/>
            <w:bookmarkEnd w:id="4"/>
            <w:r>
              <w:rPr>
                <w:rFonts w:hint="eastAsia" w:ascii="Calibri" w:hAnsi="Calibri" w:eastAsia="宋体" w:cs="Times New Roman"/>
                <w:kern w:val="2"/>
                <w:sz w:val="21"/>
                <w:szCs w:val="22"/>
                <w:lang w:val="en-US" w:eastAsia="zh-CN" w:bidi="ar-SA"/>
              </w:rPr>
              <w:t>监测等</w:t>
            </w:r>
          </w:p>
        </w:tc>
        <w:tc>
          <w:tcPr>
            <w:tcW w:w="960" w:type="dxa"/>
            <w:vAlign w:val="top"/>
          </w:tcPr>
          <w:p>
            <w:pPr>
              <w:rPr>
                <w:rFonts w:hint="eastAsia"/>
                <w:lang w:val="en-US" w:eastAsia="zh-CN"/>
              </w:rPr>
            </w:pPr>
          </w:p>
        </w:tc>
        <w:tc>
          <w:tcPr>
            <w:tcW w:w="10004" w:type="dxa"/>
            <w:vAlign w:val="top"/>
          </w:tcPr>
          <w:p>
            <w:pPr>
              <w:pStyle w:val="15"/>
              <w:rPr>
                <w:rFonts w:hint="eastAsia"/>
              </w:rPr>
            </w:pPr>
            <w:r>
              <w:rPr>
                <w:rFonts w:hint="eastAsia"/>
              </w:rPr>
              <w:t>公司领导介绍，公司在年度</w:t>
            </w:r>
            <w:r>
              <w:rPr>
                <w:rFonts w:hint="eastAsia"/>
                <w:lang w:val="en-US" w:eastAsia="zh-CN"/>
              </w:rPr>
              <w:t>顾客</w:t>
            </w:r>
            <w:r>
              <w:rPr>
                <w:rFonts w:hint="eastAsia"/>
              </w:rPr>
              <w:t>满意程度调查中，得分较高。同时，</w:t>
            </w:r>
            <w:r>
              <w:rPr>
                <w:rFonts w:hint="eastAsia"/>
                <w:lang w:val="en-US" w:eastAsia="zh-CN"/>
              </w:rPr>
              <w:t>贯标</w:t>
            </w:r>
            <w:r>
              <w:rPr>
                <w:rFonts w:hint="eastAsia"/>
              </w:rPr>
              <w:t>至今无重大投诉、媒体曝光、人员伤亡及重大事故（质量/职业健康安全/环境事故）发生。</w:t>
            </w:r>
          </w:p>
          <w:p>
            <w:pPr>
              <w:pStyle w:val="15"/>
              <w:rPr>
                <w:rFonts w:hint="eastAsia"/>
                <w:lang w:val="en-US" w:eastAsia="zh-CN"/>
              </w:rPr>
            </w:pPr>
            <w:r>
              <w:rPr>
                <w:rFonts w:hint="eastAsia"/>
                <w:lang w:val="en-US" w:eastAsia="zh-CN"/>
              </w:rPr>
              <w:t>复查营业执照范围及期限，完全覆盖本次审核范围。</w:t>
            </w:r>
          </w:p>
          <w:p>
            <w:pPr>
              <w:rPr>
                <w:rFonts w:hint="eastAsia"/>
              </w:rPr>
            </w:pPr>
          </w:p>
        </w:tc>
        <w:tc>
          <w:tcPr>
            <w:tcW w:w="1585" w:type="dxa"/>
          </w:tc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NkY2MxNWJjNGRmNzZlOGE1ZDgyZDcwMDg5YTkyNGEifQ=="/>
  </w:docVars>
  <w:rsids>
    <w:rsidRoot w:val="00000000"/>
    <w:rsid w:val="04FC6AE0"/>
    <w:rsid w:val="052D6C99"/>
    <w:rsid w:val="08114650"/>
    <w:rsid w:val="0BBF43C3"/>
    <w:rsid w:val="0C47064F"/>
    <w:rsid w:val="0CC003F3"/>
    <w:rsid w:val="0D4B1CD1"/>
    <w:rsid w:val="0EA24254"/>
    <w:rsid w:val="108E0DBA"/>
    <w:rsid w:val="11EE77B0"/>
    <w:rsid w:val="12714267"/>
    <w:rsid w:val="12A61E39"/>
    <w:rsid w:val="13143247"/>
    <w:rsid w:val="13ED1012"/>
    <w:rsid w:val="158428CC"/>
    <w:rsid w:val="17CA481C"/>
    <w:rsid w:val="184B6451"/>
    <w:rsid w:val="19722A75"/>
    <w:rsid w:val="1A3348FA"/>
    <w:rsid w:val="1B416BA3"/>
    <w:rsid w:val="1B5C1C2F"/>
    <w:rsid w:val="1B6A6A68"/>
    <w:rsid w:val="1D2624F4"/>
    <w:rsid w:val="1D884F5D"/>
    <w:rsid w:val="1F536EA5"/>
    <w:rsid w:val="219A0DBB"/>
    <w:rsid w:val="21FE134A"/>
    <w:rsid w:val="24625F84"/>
    <w:rsid w:val="2560231B"/>
    <w:rsid w:val="264554C0"/>
    <w:rsid w:val="27987EC6"/>
    <w:rsid w:val="28321D4D"/>
    <w:rsid w:val="285223EF"/>
    <w:rsid w:val="28CB21A2"/>
    <w:rsid w:val="29986528"/>
    <w:rsid w:val="29CE019B"/>
    <w:rsid w:val="2A3F7FE8"/>
    <w:rsid w:val="2B1C518D"/>
    <w:rsid w:val="2B376D5B"/>
    <w:rsid w:val="2C864D5D"/>
    <w:rsid w:val="2E0F48DF"/>
    <w:rsid w:val="2EF7784D"/>
    <w:rsid w:val="2FE204FD"/>
    <w:rsid w:val="3227021A"/>
    <w:rsid w:val="32B36180"/>
    <w:rsid w:val="33E52369"/>
    <w:rsid w:val="34DB6ADE"/>
    <w:rsid w:val="37607F59"/>
    <w:rsid w:val="3C592F0F"/>
    <w:rsid w:val="3D257C7B"/>
    <w:rsid w:val="3E192656"/>
    <w:rsid w:val="3F4F0FDF"/>
    <w:rsid w:val="3F586CDA"/>
    <w:rsid w:val="4250579A"/>
    <w:rsid w:val="46470C62"/>
    <w:rsid w:val="493E3092"/>
    <w:rsid w:val="49B31060"/>
    <w:rsid w:val="49FB423D"/>
    <w:rsid w:val="4BCE3AD9"/>
    <w:rsid w:val="4E141D71"/>
    <w:rsid w:val="4EA3379D"/>
    <w:rsid w:val="4EBB48DA"/>
    <w:rsid w:val="506A5C79"/>
    <w:rsid w:val="522D68C6"/>
    <w:rsid w:val="523A167B"/>
    <w:rsid w:val="54573D9E"/>
    <w:rsid w:val="54BA6AA3"/>
    <w:rsid w:val="56D77DE0"/>
    <w:rsid w:val="571C1C97"/>
    <w:rsid w:val="574F5BC8"/>
    <w:rsid w:val="575B27BF"/>
    <w:rsid w:val="57EA769F"/>
    <w:rsid w:val="5851037E"/>
    <w:rsid w:val="599206D6"/>
    <w:rsid w:val="5AD27B60"/>
    <w:rsid w:val="5AD85ED5"/>
    <w:rsid w:val="5B4B66A7"/>
    <w:rsid w:val="5ED370DF"/>
    <w:rsid w:val="5EDF304D"/>
    <w:rsid w:val="5F6D12E1"/>
    <w:rsid w:val="64171E25"/>
    <w:rsid w:val="66436435"/>
    <w:rsid w:val="69692B1A"/>
    <w:rsid w:val="69766FE4"/>
    <w:rsid w:val="6CD72490"/>
    <w:rsid w:val="6E71421E"/>
    <w:rsid w:val="70B56644"/>
    <w:rsid w:val="716A38D3"/>
    <w:rsid w:val="72930C07"/>
    <w:rsid w:val="72F725E0"/>
    <w:rsid w:val="743C0E2B"/>
    <w:rsid w:val="75DE08D4"/>
    <w:rsid w:val="79A47B9E"/>
    <w:rsid w:val="7A592736"/>
    <w:rsid w:val="7A747570"/>
    <w:rsid w:val="7F3E639F"/>
    <w:rsid w:val="7F8D08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next w:val="2"/>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0"/>
    <w:pPr>
      <w:spacing w:before="25" w:after="25"/>
    </w:pPr>
    <w:rPr>
      <w:bCs/>
      <w:spacing w:val="10"/>
    </w:rPr>
  </w:style>
  <w:style w:type="paragraph" w:customStyle="1" w:styleId="14">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15">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4414</Words>
  <Characters>4886</Characters>
  <Lines>1</Lines>
  <Paragraphs>1</Paragraphs>
  <TotalTime>1</TotalTime>
  <ScaleCrop>false</ScaleCrop>
  <LinksUpToDate>false</LinksUpToDate>
  <CharactersWithSpaces>5031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mlh52058</cp:lastModifiedBy>
  <dcterms:modified xsi:type="dcterms:W3CDTF">2023-01-10T03:49:28Z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7DFCEC2663F8433AAB0395BE4DD38EEB</vt:lpwstr>
  </property>
  <property fmtid="{D5CDD505-2E9C-101B-9397-08002B2CF9AE}" pid="3" name="KSOProductBuildVer">
    <vt:lpwstr>2052-11.1.0.12980</vt:lpwstr>
  </property>
</Properties>
</file>