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ascii="宋体" w:hAnsi="宋体"/>
                <w:lang w:eastAsia="zh-CN"/>
              </w:rPr>
              <w:t>陈诚</w:t>
            </w:r>
            <w:r>
              <w:rPr>
                <w:rFonts w:hint="eastAsia"/>
                <w:sz w:val="24"/>
                <w:szCs w:val="24"/>
                <w:lang w:val="en-US" w:eastAsia="zh-CN"/>
              </w:rPr>
              <w:t xml:space="preserve">      </w:t>
            </w:r>
            <w:r>
              <w:rPr>
                <w:rFonts w:hint="eastAsia"/>
                <w:sz w:val="24"/>
                <w:szCs w:val="24"/>
              </w:rPr>
              <w:t>陪同人员：</w:t>
            </w:r>
            <w:r>
              <w:rPr>
                <w:rFonts w:hint="eastAsia" w:ascii="宋体" w:hAnsi="宋体"/>
                <w:lang w:eastAsia="zh-CN"/>
              </w:rPr>
              <w:t>陈诚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bookmarkStart w:id="0" w:name="审核组成员不含组长"/>
            <w:r>
              <w:rPr>
                <w:rFonts w:hint="eastAsia"/>
                <w:sz w:val="24"/>
                <w:szCs w:val="24"/>
              </w:rPr>
              <w:t>周文</w:t>
            </w:r>
            <w:bookmarkEnd w:id="0"/>
            <w:r>
              <w:rPr>
                <w:rFonts w:hint="eastAsia"/>
                <w:sz w:val="24"/>
                <w:szCs w:val="24"/>
                <w:lang w:val="en-US" w:eastAsia="zh-CN"/>
              </w:rPr>
              <w:t xml:space="preserve">/远程、微信      </w:t>
            </w:r>
            <w:r>
              <w:rPr>
                <w:rFonts w:hint="eastAsia"/>
                <w:sz w:val="24"/>
                <w:szCs w:val="24"/>
              </w:rPr>
              <w:t>审核时间：</w:t>
            </w:r>
            <w:bookmarkStart w:id="1" w:name="审核日期"/>
            <w:r>
              <w:t>202</w:t>
            </w:r>
            <w:r>
              <w:rPr>
                <w:rFonts w:hint="eastAsia"/>
                <w:lang w:val="en-US" w:eastAsia="zh-CN"/>
              </w:rPr>
              <w:t>3</w:t>
            </w:r>
            <w:r>
              <w:t>年</w:t>
            </w:r>
            <w:r>
              <w:rPr>
                <w:rFonts w:hint="eastAsia"/>
                <w:lang w:val="en-US" w:eastAsia="zh-CN"/>
              </w:rPr>
              <w:t xml:space="preserve">  1 </w:t>
            </w:r>
            <w:r>
              <w:t>月</w:t>
            </w:r>
            <w:r>
              <w:rPr>
                <w:rFonts w:hint="eastAsia"/>
                <w:lang w:val="en-US" w:eastAsia="zh-CN"/>
              </w:rPr>
              <w:t xml:space="preserve">   9 </w:t>
            </w:r>
            <w:r>
              <w:t xml:space="preserve">日 </w:t>
            </w:r>
            <w:bookmarkEnd w:id="1"/>
            <w:r>
              <w:rPr>
                <w:rFonts w:hint="eastAsia"/>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hint="eastAsia" w:ascii="宋体" w:hAnsi="宋体"/>
                <w:b/>
                <w:bCs/>
                <w:sz w:val="21"/>
                <w:szCs w:val="21"/>
                <w:lang w:val="en-US" w:eastAsia="zh-CN"/>
              </w:rPr>
            </w:pPr>
            <w:r>
              <w:rPr>
                <w:rFonts w:hint="eastAsia"/>
                <w:sz w:val="24"/>
                <w:szCs w:val="24"/>
              </w:rPr>
              <w:t>审核条款：</w:t>
            </w:r>
          </w:p>
          <w:p>
            <w:pPr>
              <w:pStyle w:val="13"/>
              <w:rPr>
                <w:rFonts w:hint="eastAsia" w:ascii="宋体" w:hAnsi="宋体" w:cs="新宋体"/>
                <w:sz w:val="21"/>
                <w:szCs w:val="21"/>
              </w:rPr>
            </w:pPr>
            <w:r>
              <w:rPr>
                <w:rFonts w:hint="eastAsia" w:ascii="宋体" w:hAnsi="宋体" w:cs="新宋体"/>
                <w:sz w:val="21"/>
                <w:szCs w:val="21"/>
              </w:rPr>
              <w:t>QMS：</w:t>
            </w:r>
            <w:r>
              <w:rPr>
                <w:rFonts w:hint="eastAsia" w:ascii="宋体" w:hAnsi="宋体" w:cs="新宋体"/>
                <w:sz w:val="21"/>
                <w:szCs w:val="21"/>
                <w:lang w:val="en-US" w:eastAsia="zh-CN"/>
              </w:rPr>
              <w:t>7.1.2人员；</w:t>
            </w:r>
            <w:r>
              <w:rPr>
                <w:rFonts w:hint="eastAsia" w:ascii="宋体" w:hAnsi="宋体" w:cs="新宋体"/>
                <w:sz w:val="21"/>
                <w:szCs w:val="21"/>
              </w:rPr>
              <w:t>7.2能力；7.3意识；7.4沟通；</w:t>
            </w:r>
          </w:p>
          <w:p>
            <w:pPr>
              <w:snapToGrid w:val="0"/>
              <w:spacing w:line="240" w:lineRule="exact"/>
              <w:rPr>
                <w:rFonts w:hint="eastAsia" w:ascii="宋体" w:hAnsi="宋体" w:cs="新宋体"/>
                <w:sz w:val="21"/>
                <w:szCs w:val="21"/>
              </w:rPr>
            </w:pPr>
            <w:r>
              <w:rPr>
                <w:rFonts w:hint="eastAsia" w:ascii="宋体" w:hAnsi="宋体" w:cs="新宋体"/>
                <w:sz w:val="21"/>
                <w:szCs w:val="21"/>
              </w:rPr>
              <w:t>7.5文件化信息</w:t>
            </w:r>
            <w:r>
              <w:rPr>
                <w:rFonts w:hint="eastAsia" w:ascii="宋体" w:hAnsi="宋体" w:cs="新宋体"/>
                <w:sz w:val="21"/>
                <w:szCs w:val="21"/>
                <w:lang w:val="en-US" w:eastAsia="zh-CN"/>
              </w:rPr>
              <w:t>;</w:t>
            </w:r>
            <w:r>
              <w:rPr>
                <w:rFonts w:hint="eastAsia" w:ascii="宋体" w:hAnsi="宋体" w:cs="新宋体"/>
                <w:sz w:val="21"/>
                <w:szCs w:val="21"/>
              </w:rPr>
              <w:t>9.2内部审核；</w:t>
            </w:r>
          </w:p>
          <w:p>
            <w:pPr>
              <w:pStyle w:val="13"/>
            </w:pPr>
          </w:p>
          <w:p>
            <w:pPr>
              <w:pStyle w:val="13"/>
              <w:rPr>
                <w:rFonts w:hint="eastAsia" w:ascii="宋体" w:hAnsi="宋体" w:cs="新宋体"/>
                <w:sz w:val="21"/>
                <w:szCs w:val="21"/>
              </w:rPr>
            </w:pPr>
            <w:r>
              <w:rPr>
                <w:rFonts w:hint="eastAsia" w:ascii="宋体" w:hAnsi="宋体" w:cs="新宋体"/>
                <w:sz w:val="21"/>
                <w:szCs w:val="21"/>
              </w:rPr>
              <w:t>EMS：6.1.2环境因素； 7.2能力；7.3意识；7.4沟通；7.5文件化信息；  9.2内部审核</w:t>
            </w:r>
          </w:p>
          <w:p>
            <w:pPr>
              <w:snapToGrid w:val="0"/>
              <w:spacing w:line="240" w:lineRule="exact"/>
              <w:rPr>
                <w:rFonts w:hint="eastAsia" w:ascii="宋体" w:hAnsi="宋体" w:cs="新宋体"/>
                <w:sz w:val="21"/>
                <w:szCs w:val="21"/>
              </w:rPr>
            </w:pPr>
            <w:r>
              <w:rPr>
                <w:rFonts w:hint="eastAsia" w:ascii="宋体" w:hAnsi="宋体" w:cs="新宋体"/>
                <w:sz w:val="21"/>
                <w:szCs w:val="21"/>
              </w:rPr>
              <w:t>OHSMS：6.1.2危险源辨识和职业安全风险评价；7.2能力；7.3意识；7.4沟通；7.5文件化信息；；9.2内部审核；</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cs="Arial" w:asciiTheme="minorEastAsia" w:hAnsiTheme="minorEastAsia" w:eastAsiaTheme="minorEastAsia"/>
                <w:sz w:val="21"/>
                <w:szCs w:val="21"/>
                <w:u w:val="none"/>
              </w:rPr>
              <w:t>环境因素/危险源的辨识与评价</w:t>
            </w:r>
          </w:p>
        </w:tc>
        <w:tc>
          <w:tcPr>
            <w:tcW w:w="960" w:type="dxa"/>
            <w:vAlign w:val="top"/>
          </w:tcPr>
          <w:p>
            <w:pPr>
              <w:rPr>
                <w:rFonts w:hint="default" w:eastAsia="宋体"/>
                <w:lang w:val="en-US" w:eastAsia="zh-CN"/>
              </w:rPr>
            </w:pPr>
            <w:r>
              <w:rPr>
                <w:rFonts w:hint="eastAsia"/>
                <w:lang w:val="en-US" w:eastAsia="zh-CN"/>
              </w:rPr>
              <w:t>ES6.1.2</w:t>
            </w:r>
          </w:p>
        </w:tc>
        <w:tc>
          <w:tcPr>
            <w:tcW w:w="10004" w:type="dxa"/>
            <w:vAlign w:val="top"/>
          </w:tcPr>
          <w:p>
            <w:pPr>
              <w:rPr>
                <w:rFonts w:hint="eastAsia"/>
                <w:lang w:val="en-US" w:eastAsia="zh-CN"/>
              </w:rPr>
            </w:pPr>
            <w:r>
              <w:rPr>
                <w:rFonts w:hint="eastAsia"/>
                <w:lang w:val="en-US" w:eastAsia="zh-CN"/>
              </w:rPr>
              <w:t>---策划的程序：《环境因素识别与评价控制程序》、《</w:t>
            </w:r>
            <w:r>
              <w:rPr>
                <w:rFonts w:hint="eastAsia" w:ascii="宋体" w:hAnsi="宋体"/>
              </w:rPr>
              <w:t>危险源识别及风险评价控制程序</w:t>
            </w:r>
            <w:r>
              <w:rPr>
                <w:rFonts w:hint="eastAsia" w:ascii="宋体" w:hAnsi="宋体"/>
                <w:lang w:eastAsia="zh-CN"/>
              </w:rPr>
              <w:t>》</w:t>
            </w:r>
            <w:r>
              <w:rPr>
                <w:rFonts w:hint="eastAsia"/>
                <w:lang w:val="en-US" w:eastAsia="zh-CN"/>
              </w:rPr>
              <w:t>。</w:t>
            </w:r>
          </w:p>
          <w:p>
            <w:pPr>
              <w:pStyle w:val="13"/>
              <w:rPr>
                <w:rFonts w:hint="eastAsia"/>
                <w:lang w:val="en-US" w:eastAsia="zh-CN"/>
              </w:rPr>
            </w:pPr>
            <w:r>
              <w:rPr>
                <w:rFonts w:hint="eastAsia"/>
                <w:lang w:val="en-US" w:eastAsia="zh-CN"/>
              </w:rPr>
              <w:t>-查“环境因素识别评价表（部门：办公室）”20</w:t>
            </w:r>
            <w:r>
              <w:rPr>
                <w:rFonts w:hint="eastAsia"/>
                <w:lang w:val="zh-CN" w:eastAsia="zh-CN"/>
              </w:rPr>
              <w:t>22</w:t>
            </w:r>
            <w:r>
              <w:rPr>
                <w:rFonts w:hint="eastAsia"/>
                <w:lang w:val="en-US" w:eastAsia="zh-CN"/>
              </w:rPr>
              <w:t>年7月2日，编审批齐全，按活动区域识别环境因数共50项，抽查如下：</w:t>
            </w:r>
          </w:p>
          <w:p>
            <w:r>
              <w:drawing>
                <wp:inline distT="0" distB="0" distL="114300" distR="114300">
                  <wp:extent cx="6108700" cy="1555750"/>
                  <wp:effectExtent l="0" t="0" r="0"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6108700" cy="1555750"/>
                          </a:xfrm>
                          <a:prstGeom prst="rect">
                            <a:avLst/>
                          </a:prstGeom>
                          <a:noFill/>
                          <a:ln>
                            <a:noFill/>
                          </a:ln>
                        </pic:spPr>
                      </pic:pic>
                    </a:graphicData>
                  </a:graphic>
                </wp:inline>
              </w:drawing>
            </w:r>
          </w:p>
          <w:p>
            <w:pPr>
              <w:pStyle w:val="13"/>
            </w:pPr>
          </w:p>
          <w:p>
            <w:pPr>
              <w:pStyle w:val="13"/>
              <w:rPr>
                <w:rFonts w:hint="eastAsia"/>
                <w:lang w:val="en-US" w:eastAsia="zh-CN"/>
              </w:rPr>
            </w:pPr>
            <w:r>
              <w:rPr>
                <w:rFonts w:hint="eastAsia"/>
                <w:lang w:val="en-US" w:eastAsia="zh-CN"/>
              </w:rPr>
              <w:t>-查“重要环境因素清单”20</w:t>
            </w:r>
            <w:r>
              <w:rPr>
                <w:rFonts w:hint="eastAsia"/>
                <w:lang w:val="zh-CN" w:eastAsia="zh-CN"/>
              </w:rPr>
              <w:t>22</w:t>
            </w:r>
            <w:r>
              <w:rPr>
                <w:rFonts w:hint="eastAsia"/>
                <w:lang w:val="en-US" w:eastAsia="zh-CN"/>
              </w:rPr>
              <w:t>年7月2日，编审批齐全，识别的重要环境因数涉及本部门的有：固体废弃物排放、电源线路老化、漏电或其他原因导致潜在火灾的发生；制定有相应的控制措施：《废弃物管理办法》、《火灾应急预案》、管理方案。</w:t>
            </w:r>
          </w:p>
          <w:p>
            <w:pPr>
              <w:pStyle w:val="13"/>
              <w:rPr>
                <w:rFonts w:hint="eastAsia"/>
                <w:lang w:val="en-US" w:eastAsia="zh-CN"/>
              </w:rPr>
            </w:pPr>
          </w:p>
          <w:p>
            <w:pPr>
              <w:pStyle w:val="13"/>
              <w:rPr>
                <w:rFonts w:hint="eastAsia"/>
                <w:lang w:val="en-US" w:eastAsia="zh-CN"/>
              </w:rPr>
            </w:pPr>
            <w:r>
              <w:rPr>
                <w:rFonts w:hint="eastAsia"/>
                <w:lang w:val="en-US" w:eastAsia="zh-CN"/>
              </w:rPr>
              <w:t>-查“危 险 源 辨 识 评 价 表”20</w:t>
            </w:r>
            <w:r>
              <w:rPr>
                <w:rFonts w:hint="eastAsia"/>
                <w:lang w:val="zh-CN" w:eastAsia="zh-CN"/>
              </w:rPr>
              <w:t>22</w:t>
            </w:r>
            <w:r>
              <w:rPr>
                <w:rFonts w:hint="eastAsia"/>
                <w:lang w:val="en-US" w:eastAsia="zh-CN"/>
              </w:rPr>
              <w:t>年7月2日，编审批齐全，按作业活动识别潜在危险因素共70项，抽查如下：</w:t>
            </w:r>
          </w:p>
          <w:p>
            <w:pPr>
              <w:pStyle w:val="13"/>
            </w:pPr>
            <w:r>
              <w:drawing>
                <wp:inline distT="0" distB="0" distL="114300" distR="114300">
                  <wp:extent cx="6076950" cy="1231900"/>
                  <wp:effectExtent l="0" t="0" r="635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6076950" cy="1231900"/>
                          </a:xfrm>
                          <a:prstGeom prst="rect">
                            <a:avLst/>
                          </a:prstGeom>
                          <a:noFill/>
                          <a:ln>
                            <a:noFill/>
                          </a:ln>
                        </pic:spPr>
                      </pic:pic>
                    </a:graphicData>
                  </a:graphic>
                </wp:inline>
              </w:drawing>
            </w:r>
          </w:p>
          <w:p>
            <w:pPr>
              <w:pStyle w:val="13"/>
            </w:pPr>
          </w:p>
          <w:p>
            <w:pPr>
              <w:pStyle w:val="13"/>
              <w:rPr>
                <w:rFonts w:hint="eastAsia"/>
                <w:lang w:val="en-US" w:eastAsia="zh-CN"/>
              </w:rPr>
            </w:pPr>
            <w:r>
              <w:rPr>
                <w:rFonts w:hint="eastAsia"/>
                <w:lang w:val="en-US" w:eastAsia="zh-CN"/>
              </w:rPr>
              <w:t>-查“不可接受风险清单”共识别不可接受风险4项，涉及本部门的有：潜在火灾、爆炸，触电伤害；制定有相应的控制措施：配备灭火设备和消防栓，制定制度及培训，定期检查、定期演练；定期进行安全培训，定期检查设备实施线路及安全使用。</w:t>
            </w:r>
          </w:p>
          <w:p>
            <w:pPr>
              <w:pStyle w:val="13"/>
              <w:rPr>
                <w:rFonts w:hint="eastAsia"/>
                <w:lang w:val="en-US" w:eastAsia="zh-CN"/>
              </w:rPr>
            </w:pPr>
          </w:p>
          <w:p>
            <w:pPr>
              <w:pStyle w:val="13"/>
              <w:rPr>
                <w:rFonts w:hint="default"/>
                <w:lang w:val="en-US" w:eastAsia="zh-CN"/>
              </w:rPr>
            </w:pPr>
            <w:r>
              <w:rPr>
                <w:rFonts w:hint="eastAsia"/>
                <w:lang w:val="en-US" w:eastAsia="zh-CN"/>
              </w:rPr>
              <w:t>——基本符合</w:t>
            </w:r>
          </w:p>
          <w:p>
            <w:pPr>
              <w:pStyle w:val="13"/>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r>
              <w:rPr>
                <w:rFonts w:hint="eastAsia" w:cs="Arial" w:asciiTheme="minorEastAsia" w:hAnsiTheme="minorEastAsia" w:eastAsiaTheme="minorEastAsia"/>
                <w:sz w:val="21"/>
                <w:szCs w:val="21"/>
                <w:u w:val="none"/>
              </w:rPr>
              <w:t>人员、能力、意识</w:t>
            </w:r>
          </w:p>
        </w:tc>
        <w:tc>
          <w:tcPr>
            <w:tcW w:w="960" w:type="dxa"/>
            <w:vAlign w:val="top"/>
          </w:tcPr>
          <w:p>
            <w:r>
              <w:rPr>
                <w:rFonts w:hint="eastAsia"/>
                <w:lang w:val="en-US" w:eastAsia="zh-CN"/>
              </w:rPr>
              <w:t>Q7.1.2/7.2/7.3</w:t>
            </w:r>
          </w:p>
        </w:tc>
        <w:tc>
          <w:tcPr>
            <w:tcW w:w="10004" w:type="dxa"/>
            <w:vAlign w:val="top"/>
          </w:tcPr>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---策划有《人力资源控制程序》，本部门为主控部门。</w:t>
            </w:r>
          </w:p>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---查“岗位任职要求评价表”，2022年12月5日由公司总经理对各部门负责人进行了能力评价，评价结果均为：经评价，该员工符合本岗位任职要求，可胜任。</w:t>
            </w:r>
          </w:p>
          <w:p>
            <w:pPr>
              <w:pStyle w:val="2"/>
              <w:rPr>
                <w:rFonts w:hint="default"/>
                <w:lang w:val="en-US" w:eastAsia="zh-CN"/>
              </w:rPr>
            </w:pPr>
            <w:r>
              <w:rPr>
                <w:rFonts w:hint="eastAsia" w:cs="Times New Roman"/>
                <w:kern w:val="2"/>
                <w:sz w:val="24"/>
                <w:szCs w:val="24"/>
                <w:lang w:val="en-US" w:eastAsia="zh-CN" w:bidi="ar-SA"/>
              </w:rPr>
              <w:t>---查“德阳科筑新材料科技有限公司职工信息表”，共登录有29人。——同审核申报人数一致。</w:t>
            </w:r>
          </w:p>
          <w:p>
            <w:pPr>
              <w:pStyle w:val="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---提供有社保缴纳记录。</w:t>
            </w:r>
          </w:p>
          <w:p>
            <w:pPr>
              <w:pStyle w:val="2"/>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drawing>
                <wp:inline distT="0" distB="0" distL="114300" distR="114300">
                  <wp:extent cx="3639820" cy="1690370"/>
                  <wp:effectExtent l="0" t="0" r="508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639820" cy="1690370"/>
                          </a:xfrm>
                          <a:prstGeom prst="rect">
                            <a:avLst/>
                          </a:prstGeom>
                          <a:noFill/>
                          <a:ln>
                            <a:noFill/>
                          </a:ln>
                        </pic:spPr>
                      </pic:pic>
                    </a:graphicData>
                  </a:graphic>
                </wp:inline>
              </w:drawing>
            </w:r>
          </w:p>
          <w:p>
            <w:pP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---抽持证上岗人员：包含生产经营单位主要负责人、HSE、焊工、电工。抽查：</w:t>
            </w:r>
          </w:p>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1、陈诸友；安全负责人；编号：20051061301132；有效期：2023.11.20.；</w:t>
            </w:r>
          </w:p>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2、刘佳乐；安全管理员；编号：20051061301031；有效期：2023.11.20.；</w:t>
            </w:r>
          </w:p>
          <w:p>
            <w:pP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3、张登俊；N1；编号：1819IX-CCD01977；有效期：2024.5.；</w:t>
            </w:r>
          </w:p>
          <w:p>
            <w:pP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4、何元林；低压电工作业；编号：T510622196403265432；有效期：2025.3.29.；湖北省应急管理厅</w:t>
            </w:r>
          </w:p>
          <w:p>
            <w:pPr>
              <w:pStyle w:val="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---查“2022年度培训计划表”，陈诸友 2022-7-2 ；内容包括“GB/T19001-2016《质量管理体系 要求》GB/T24001-2016《环境管理体系 要求》GB/T45001-2020《职业健康安全管理体系要求》”培训，“QES内审员基本知识培训</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,“岗位安全操作规程、设备安全操作规程、安全文明生产及特殊工序人员培训，安全隐患预防，杜绝重大安全事故发生的培训”等共10项培训。</w:t>
            </w:r>
          </w:p>
          <w:p>
            <w:pPr>
              <w:pStyle w:val="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跟踪核查其培训内容：</w:t>
            </w:r>
          </w:p>
          <w:p>
            <w:pPr>
              <w:pStyle w:val="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1、2022.7.2.；质量、环境、职业健康安全标准贯标培训；参加人员：陈诸友、陈诸清、陈诚、刘家乐、程春荣；</w:t>
            </w:r>
          </w:p>
          <w:p>
            <w:pPr>
              <w:pStyle w:val="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2、2022.7.19.；公司编制的管理体系文件、规章、管理制度及各部门文件控制与管理培训；参加人员：陈诸友、陈诚、刘家乐、程春荣；</w:t>
            </w:r>
          </w:p>
          <w:p>
            <w:pPr>
              <w:pStyle w:val="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3、2022.8.16.；环境因素、危险源识别及运行要求培训；参加人员：陈诸友、陈诚、刘家乐、程春荣；</w:t>
            </w:r>
          </w:p>
          <w:p>
            <w:pPr>
              <w:pStyle w:val="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——以上培训均有效果评价；</w:t>
            </w:r>
          </w:p>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查三级安全教育：出示有“新员工三级安全教育”，内容包含姓名、部门、公司级、车间级、班组级教育内容，有效果评价；抽,邬军、肖道金；部门：生产部；执教者签字：陈诸友2022.12.1、陈诚2022.12.2.、刘佳乐2022.12.3-4.；结论：优秀</w:t>
            </w:r>
          </w:p>
          <w:p>
            <w:pPr>
              <w:pStyle w:val="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---远程视频询问陈诚对公司方针、目标的了解，对其自身行为对公司QES管理体系绩效的影响，其回答基本正确。</w:t>
            </w:r>
          </w:p>
          <w:p>
            <w:pPr>
              <w:pStyle w:val="2"/>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——人员、能力、意识基本符合要求。</w:t>
            </w:r>
          </w:p>
          <w:p>
            <w:pPr>
              <w:pStyle w:val="13"/>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cs="Arial" w:asciiTheme="minorEastAsia" w:hAnsiTheme="minorEastAsia" w:eastAsiaTheme="minorEastAsia"/>
                <w:color w:val="auto"/>
                <w:sz w:val="21"/>
                <w:szCs w:val="21"/>
                <w:u w:val="none"/>
                <w:lang w:val="en-US" w:eastAsia="zh-CN"/>
              </w:rPr>
              <w:t>沟通</w:t>
            </w:r>
          </w:p>
        </w:tc>
        <w:tc>
          <w:tcPr>
            <w:tcW w:w="960" w:type="dxa"/>
            <w:vAlign w:val="top"/>
          </w:tcPr>
          <w:p>
            <w:r>
              <w:rPr>
                <w:rFonts w:hint="eastAsia"/>
                <w:lang w:val="en-US" w:eastAsia="zh-CN"/>
              </w:rPr>
              <w:t>QES</w:t>
            </w:r>
            <w:r>
              <w:rPr>
                <w:rFonts w:hint="eastAsia" w:cs="Arial" w:asciiTheme="minorEastAsia" w:hAnsiTheme="minorEastAsia" w:eastAsiaTheme="minorEastAsia"/>
                <w:color w:val="auto"/>
                <w:sz w:val="21"/>
                <w:szCs w:val="21"/>
                <w:u w:val="none"/>
                <w:lang w:val="en-US" w:eastAsia="zh-CN"/>
              </w:rPr>
              <w:t>7.4</w:t>
            </w:r>
          </w:p>
        </w:tc>
        <w:tc>
          <w:tcPr>
            <w:tcW w:w="10004" w:type="dxa"/>
            <w:vAlign w:val="top"/>
          </w:tcPr>
          <w:p>
            <w:pPr>
              <w:rPr>
                <w:rFonts w:hint="eastAsia" w:ascii="宋体" w:hAnsi="宋体" w:eastAsia="宋体" w:cs="Times New Roman"/>
                <w:kern w:val="2"/>
                <w:sz w:val="24"/>
                <w:highlight w:val="none"/>
                <w:lang w:val="en-US" w:eastAsia="zh-CN" w:bidi="ar-SA"/>
              </w:rPr>
            </w:pPr>
            <w:r>
              <w:rPr>
                <w:rFonts w:hint="eastAsia" w:ascii="宋体" w:hAnsi="宋体" w:eastAsia="宋体" w:cs="Times New Roman"/>
                <w:kern w:val="2"/>
                <w:sz w:val="24"/>
                <w:highlight w:val="none"/>
                <w:lang w:val="en-US" w:eastAsia="zh-CN" w:bidi="ar-SA"/>
              </w:rPr>
              <w:t>查手册7.4条款：</w:t>
            </w:r>
          </w:p>
          <w:p>
            <w:pPr>
              <w:pStyle w:val="13"/>
              <w:rPr>
                <w:rFonts w:hint="default" w:ascii="宋体" w:hAnsi="宋体" w:eastAsia="宋体" w:cs="Times New Roman"/>
                <w:kern w:val="2"/>
                <w:sz w:val="24"/>
                <w:highlight w:val="none"/>
                <w:lang w:val="en-US" w:eastAsia="zh-CN" w:bidi="ar-SA"/>
              </w:rPr>
            </w:pPr>
            <w:r>
              <w:rPr>
                <w:rFonts w:hint="default" w:ascii="宋体" w:hAnsi="宋体" w:eastAsia="宋体" w:cs="Times New Roman"/>
                <w:kern w:val="2"/>
                <w:sz w:val="24"/>
                <w:highlight w:val="none"/>
                <w:lang w:val="en-US" w:eastAsia="zh-CN" w:bidi="ar-SA"/>
              </w:rPr>
              <w:t>公司根据质量、环境和职业健康安全管理体系有关的内部沟通和外部沟通所需的过程。建立、实施并保持《沟通、协商和参与控制程序》，由办公室负责该工作管理。</w:t>
            </w:r>
          </w:p>
          <w:p>
            <w:pPr>
              <w:pStyle w:val="13"/>
              <w:rPr>
                <w:rFonts w:hint="default" w:ascii="宋体" w:hAnsi="宋体" w:eastAsia="宋体" w:cs="Times New Roman"/>
                <w:kern w:val="2"/>
                <w:sz w:val="24"/>
                <w:highlight w:val="none"/>
                <w:lang w:val="en-US" w:eastAsia="zh-CN" w:bidi="ar-SA"/>
              </w:rPr>
            </w:pPr>
            <w:r>
              <w:rPr>
                <w:rFonts w:hint="default" w:ascii="宋体" w:hAnsi="宋体" w:eastAsia="宋体" w:cs="Times New Roman"/>
                <w:kern w:val="2"/>
                <w:sz w:val="24"/>
                <w:highlight w:val="none"/>
                <w:lang w:val="en-US" w:eastAsia="zh-CN" w:bidi="ar-SA"/>
              </w:rPr>
              <w:t xml:space="preserve">针对沟通的过程，包括： </w:t>
            </w:r>
          </w:p>
          <w:p>
            <w:pPr>
              <w:pStyle w:val="13"/>
              <w:rPr>
                <w:rFonts w:hint="default" w:ascii="宋体" w:hAnsi="宋体" w:eastAsia="宋体" w:cs="Times New Roman"/>
                <w:kern w:val="2"/>
                <w:sz w:val="24"/>
                <w:highlight w:val="none"/>
                <w:lang w:val="en-US" w:eastAsia="zh-CN" w:bidi="ar-SA"/>
              </w:rPr>
            </w:pPr>
            <w:r>
              <w:rPr>
                <w:rFonts w:hint="default" w:ascii="宋体" w:hAnsi="宋体" w:eastAsia="宋体" w:cs="Times New Roman"/>
                <w:kern w:val="2"/>
                <w:sz w:val="24"/>
                <w:highlight w:val="none"/>
                <w:lang w:val="en-US" w:eastAsia="zh-CN" w:bidi="ar-SA"/>
              </w:rPr>
              <w:t xml:space="preserve">a）信息交流的内容（沟通什么）； </w:t>
            </w:r>
          </w:p>
          <w:p>
            <w:pPr>
              <w:pStyle w:val="13"/>
              <w:rPr>
                <w:rFonts w:hint="default" w:ascii="宋体" w:hAnsi="宋体" w:eastAsia="宋体" w:cs="Times New Roman"/>
                <w:kern w:val="2"/>
                <w:sz w:val="24"/>
                <w:highlight w:val="none"/>
                <w:lang w:val="en-US" w:eastAsia="zh-CN" w:bidi="ar-SA"/>
              </w:rPr>
            </w:pPr>
            <w:r>
              <w:rPr>
                <w:rFonts w:hint="default" w:ascii="宋体" w:hAnsi="宋体" w:eastAsia="宋体" w:cs="Times New Roman"/>
                <w:kern w:val="2"/>
                <w:sz w:val="24"/>
                <w:highlight w:val="none"/>
                <w:lang w:val="en-US" w:eastAsia="zh-CN" w:bidi="ar-SA"/>
              </w:rPr>
              <w:t xml:space="preserve">b）何时进行信息交流（何时沟通）； </w:t>
            </w:r>
          </w:p>
          <w:p>
            <w:pPr>
              <w:pStyle w:val="13"/>
              <w:rPr>
                <w:rFonts w:hint="default" w:ascii="宋体" w:hAnsi="宋体" w:eastAsia="宋体" w:cs="Times New Roman"/>
                <w:kern w:val="2"/>
                <w:sz w:val="24"/>
                <w:highlight w:val="none"/>
                <w:lang w:val="en-US" w:eastAsia="zh-CN" w:bidi="ar-SA"/>
              </w:rPr>
            </w:pPr>
            <w:r>
              <w:rPr>
                <w:rFonts w:hint="default" w:ascii="宋体" w:hAnsi="宋体" w:eastAsia="宋体" w:cs="Times New Roman"/>
                <w:kern w:val="2"/>
                <w:sz w:val="24"/>
                <w:highlight w:val="none"/>
                <w:lang w:val="en-US" w:eastAsia="zh-CN" w:bidi="ar-SA"/>
              </w:rPr>
              <w:t xml:space="preserve">c）与谁进行信息交流（与谁沟通）； </w:t>
            </w:r>
          </w:p>
          <w:p>
            <w:pPr>
              <w:pStyle w:val="13"/>
              <w:rPr>
                <w:rFonts w:hint="default" w:ascii="宋体" w:hAnsi="宋体" w:eastAsia="宋体" w:cs="Times New Roman"/>
                <w:kern w:val="2"/>
                <w:sz w:val="24"/>
                <w:highlight w:val="none"/>
                <w:lang w:val="en-US" w:eastAsia="zh-CN" w:bidi="ar-SA"/>
              </w:rPr>
            </w:pPr>
            <w:r>
              <w:rPr>
                <w:rFonts w:hint="default" w:ascii="宋体" w:hAnsi="宋体" w:eastAsia="宋体" w:cs="Times New Roman"/>
                <w:kern w:val="2"/>
                <w:sz w:val="24"/>
                <w:highlight w:val="none"/>
                <w:lang w:val="en-US" w:eastAsia="zh-CN" w:bidi="ar-SA"/>
              </w:rPr>
              <w:t xml:space="preserve">d）如何进行信息交流（如何沟通）。 </w:t>
            </w:r>
          </w:p>
          <w:p>
            <w:pPr>
              <w:pStyle w:val="13"/>
              <w:rPr>
                <w:rFonts w:hint="default" w:ascii="宋体" w:hAnsi="宋体" w:eastAsia="宋体" w:cs="Times New Roman"/>
                <w:kern w:val="2"/>
                <w:sz w:val="24"/>
                <w:highlight w:val="none"/>
                <w:lang w:val="en-US" w:eastAsia="zh-CN" w:bidi="ar-SA"/>
              </w:rPr>
            </w:pPr>
            <w:r>
              <w:rPr>
                <w:rFonts w:hint="default" w:ascii="宋体" w:hAnsi="宋体" w:eastAsia="宋体" w:cs="Times New Roman"/>
                <w:kern w:val="2"/>
                <w:sz w:val="24"/>
                <w:highlight w:val="none"/>
                <w:lang w:val="en-US" w:eastAsia="zh-CN" w:bidi="ar-SA"/>
              </w:rPr>
              <w:t>e）由谁牵头进行信息交流（由谁负责）。</w:t>
            </w:r>
          </w:p>
          <w:p>
            <w:pPr>
              <w:pStyle w:val="13"/>
              <w:rPr>
                <w:rFonts w:hint="default" w:ascii="宋体" w:hAnsi="宋体" w:eastAsia="宋体" w:cs="Times New Roman"/>
                <w:kern w:val="2"/>
                <w:sz w:val="24"/>
                <w:highlight w:val="none"/>
                <w:lang w:val="en-US" w:eastAsia="zh-CN" w:bidi="ar-SA"/>
              </w:rPr>
            </w:pPr>
            <w:r>
              <w:rPr>
                <w:rFonts w:hint="default" w:ascii="宋体" w:hAnsi="宋体" w:eastAsia="宋体" w:cs="Times New Roman"/>
                <w:kern w:val="2"/>
                <w:sz w:val="24"/>
                <w:highlight w:val="none"/>
                <w:lang w:val="en-US" w:eastAsia="zh-CN" w:bidi="ar-SA"/>
              </w:rPr>
              <w:t xml:space="preserve">组织在策划信息交流过程时，应考虑： </w:t>
            </w:r>
          </w:p>
          <w:p>
            <w:pPr>
              <w:pStyle w:val="13"/>
              <w:rPr>
                <w:rFonts w:hint="default" w:ascii="宋体" w:hAnsi="宋体" w:eastAsia="宋体" w:cs="Times New Roman"/>
                <w:kern w:val="2"/>
                <w:sz w:val="24"/>
                <w:highlight w:val="none"/>
                <w:lang w:val="en-US" w:eastAsia="zh-CN" w:bidi="ar-SA"/>
              </w:rPr>
            </w:pPr>
            <w:r>
              <w:rPr>
                <w:rFonts w:hint="default" w:ascii="宋体" w:hAnsi="宋体" w:eastAsia="宋体" w:cs="Times New Roman"/>
                <w:kern w:val="2"/>
                <w:sz w:val="24"/>
                <w:highlight w:val="none"/>
                <w:lang w:val="en-US" w:eastAsia="zh-CN" w:bidi="ar-SA"/>
              </w:rPr>
              <w:t xml:space="preserve">a）考虑其合规义务； </w:t>
            </w:r>
          </w:p>
          <w:p>
            <w:pPr>
              <w:pStyle w:val="13"/>
            </w:pPr>
            <w:r>
              <w:rPr>
                <w:rFonts w:hint="default" w:ascii="宋体" w:hAnsi="宋体" w:eastAsia="宋体" w:cs="Times New Roman"/>
                <w:kern w:val="2"/>
                <w:sz w:val="24"/>
                <w:highlight w:val="none"/>
                <w:lang w:val="en-US" w:eastAsia="zh-CN" w:bidi="ar-SA"/>
              </w:rPr>
              <w:t>b）确保所交流的环境信息与环境/职业健康安全管理体系形成的信息一致且真实可信。</w:t>
            </w:r>
            <w:r>
              <w:rPr>
                <w:rFonts w:hint="eastAsia" w:ascii="宋体" w:hAnsi="宋体" w:eastAsia="宋体" w:cs="Times New Roman"/>
                <w:kern w:val="2"/>
                <w:sz w:val="24"/>
                <w:highlight w:val="none"/>
                <w:lang w:val="en-US" w:eastAsia="zh-CN" w:bidi="ar-SA"/>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cs="Arial" w:asciiTheme="minorEastAsia" w:hAnsiTheme="minorEastAsia" w:eastAsiaTheme="minorEastAsia"/>
                <w:color w:val="auto"/>
                <w:sz w:val="21"/>
                <w:szCs w:val="21"/>
                <w:highlight w:val="none"/>
                <w:u w:val="none"/>
                <w:lang w:val="en-US" w:eastAsia="zh-CN"/>
              </w:rPr>
            </w:pPr>
            <w:r>
              <w:rPr>
                <w:rFonts w:hint="eastAsia" w:ascii="宋体" w:hAnsi="宋体" w:cs="宋体"/>
                <w:sz w:val="21"/>
                <w:szCs w:val="21"/>
                <w:highlight w:val="none"/>
              </w:rPr>
              <w:t>形成文件的信息</w:t>
            </w:r>
          </w:p>
        </w:tc>
        <w:tc>
          <w:tcPr>
            <w:tcW w:w="960" w:type="dxa"/>
            <w:vAlign w:val="top"/>
          </w:tcPr>
          <w:p>
            <w:pPr>
              <w:rPr>
                <w:rFonts w:hint="eastAsia"/>
                <w:highlight w:val="none"/>
                <w:lang w:val="en-US" w:eastAsia="zh-CN"/>
              </w:rPr>
            </w:pPr>
            <w:r>
              <w:rPr>
                <w:rFonts w:hint="eastAsia"/>
                <w:sz w:val="21"/>
                <w:szCs w:val="21"/>
                <w:highlight w:val="none"/>
                <w:lang w:val="en-US" w:eastAsia="zh-CN"/>
              </w:rPr>
              <w:t>QES7.5</w:t>
            </w:r>
          </w:p>
        </w:tc>
        <w:tc>
          <w:tcPr>
            <w:tcW w:w="10004" w:type="dxa"/>
            <w:vAlign w:val="top"/>
          </w:tcPr>
          <w:p>
            <w:pPr>
              <w:pStyle w:val="2"/>
              <w:spacing w:line="240" w:lineRule="auto"/>
              <w:rPr>
                <w:rFonts w:hint="eastAsia" w:eastAsia="宋体"/>
                <w:sz w:val="24"/>
                <w:szCs w:val="24"/>
                <w:highlight w:val="none"/>
                <w:lang w:val="en-US" w:eastAsia="zh-CN"/>
              </w:rPr>
            </w:pPr>
            <w:r>
              <w:rPr>
                <w:rFonts w:hint="eastAsia" w:eastAsia="宋体"/>
                <w:sz w:val="24"/>
                <w:szCs w:val="24"/>
                <w:highlight w:val="none"/>
                <w:lang w:val="en-US" w:eastAsia="zh-CN"/>
              </w:rPr>
              <w:t>---策划有“文件控制程序”、“记录控制程序”，本部门主控。</w:t>
            </w:r>
          </w:p>
          <w:p>
            <w:pPr>
              <w:pStyle w:val="2"/>
              <w:spacing w:line="240" w:lineRule="auto"/>
              <w:rPr>
                <w:rFonts w:hint="eastAsia" w:eastAsia="宋体"/>
                <w:sz w:val="24"/>
                <w:szCs w:val="24"/>
                <w:highlight w:val="none"/>
                <w:lang w:val="en-US" w:eastAsia="zh-CN"/>
              </w:rPr>
            </w:pPr>
            <w:r>
              <w:rPr>
                <w:rFonts w:hint="eastAsia" w:eastAsia="宋体"/>
                <w:sz w:val="24"/>
                <w:szCs w:val="24"/>
                <w:highlight w:val="none"/>
                <w:lang w:val="en-US" w:eastAsia="zh-CN"/>
              </w:rPr>
              <w:t>---查“受控文件清单”，登记有管理手册、程序文件汇编、三级文件的编号、版次、分发范围等。</w:t>
            </w:r>
          </w:p>
          <w:p>
            <w:pPr>
              <w:pStyle w:val="2"/>
              <w:spacing w:line="240" w:lineRule="auto"/>
              <w:rPr>
                <w:rFonts w:hint="eastAsia" w:eastAsia="宋体"/>
                <w:sz w:val="24"/>
                <w:szCs w:val="24"/>
                <w:highlight w:val="none"/>
                <w:lang w:val="en-US" w:eastAsia="zh-CN"/>
              </w:rPr>
            </w:pPr>
            <w:r>
              <w:rPr>
                <w:rFonts w:hint="eastAsia" w:eastAsia="宋体"/>
                <w:sz w:val="24"/>
                <w:szCs w:val="24"/>
                <w:highlight w:val="none"/>
                <w:lang w:val="en-US" w:eastAsia="zh-CN"/>
              </w:rPr>
              <w:t>---查“程序文件汇编”DYKZ-QEOP-2022，编审批受控齐全，2022.</w:t>
            </w:r>
            <w:r>
              <w:rPr>
                <w:rFonts w:hint="eastAsia"/>
                <w:sz w:val="24"/>
                <w:szCs w:val="24"/>
                <w:highlight w:val="none"/>
                <w:lang w:val="en-US" w:eastAsia="zh-CN"/>
              </w:rPr>
              <w:t>7</w:t>
            </w:r>
            <w:r>
              <w:rPr>
                <w:rFonts w:hint="eastAsia" w:eastAsia="宋体"/>
                <w:sz w:val="24"/>
                <w:szCs w:val="24"/>
                <w:highlight w:val="none"/>
                <w:lang w:val="en-US" w:eastAsia="zh-CN"/>
              </w:rPr>
              <w:t>.1.发布实施，包括：</w:t>
            </w:r>
          </w:p>
          <w:p>
            <w:pPr>
              <w:pStyle w:val="2"/>
              <w:spacing w:line="240" w:lineRule="auto"/>
              <w:rPr>
                <w:rFonts w:hint="default" w:eastAsia="宋体"/>
                <w:sz w:val="24"/>
                <w:szCs w:val="24"/>
                <w:highlight w:val="none"/>
                <w:lang w:val="en-US" w:eastAsia="zh-CN"/>
              </w:rPr>
            </w:pPr>
            <w:r>
              <w:rPr>
                <w:rFonts w:hint="default" w:eastAsia="宋体"/>
                <w:sz w:val="24"/>
                <w:szCs w:val="24"/>
                <w:highlight w:val="none"/>
                <w:lang w:val="en-US" w:eastAsia="zh-CN"/>
              </w:rPr>
              <w:t>文件控制程序</w:t>
            </w:r>
          </w:p>
          <w:p>
            <w:pPr>
              <w:pStyle w:val="2"/>
              <w:spacing w:line="240" w:lineRule="auto"/>
              <w:rPr>
                <w:rFonts w:hint="default" w:eastAsia="宋体"/>
                <w:sz w:val="24"/>
                <w:szCs w:val="24"/>
                <w:highlight w:val="none"/>
                <w:lang w:val="en-US" w:eastAsia="zh-CN"/>
              </w:rPr>
            </w:pPr>
            <w:r>
              <w:rPr>
                <w:rFonts w:hint="default" w:eastAsia="宋体"/>
                <w:sz w:val="24"/>
                <w:szCs w:val="24"/>
                <w:highlight w:val="none"/>
                <w:lang w:val="en-US" w:eastAsia="zh-CN"/>
              </w:rPr>
              <w:t>记录控制程序</w:t>
            </w:r>
          </w:p>
          <w:p>
            <w:pPr>
              <w:pStyle w:val="2"/>
              <w:spacing w:line="240" w:lineRule="auto"/>
              <w:rPr>
                <w:rFonts w:hint="default" w:eastAsia="宋体"/>
                <w:sz w:val="24"/>
                <w:szCs w:val="24"/>
                <w:highlight w:val="none"/>
                <w:lang w:val="en-US" w:eastAsia="zh-CN"/>
              </w:rPr>
            </w:pPr>
            <w:r>
              <w:rPr>
                <w:rFonts w:hint="default" w:eastAsia="宋体"/>
                <w:sz w:val="24"/>
                <w:szCs w:val="24"/>
                <w:highlight w:val="none"/>
                <w:lang w:val="en-US" w:eastAsia="zh-CN"/>
              </w:rPr>
              <w:t>环境因素的识别与评价控制程序</w:t>
            </w:r>
          </w:p>
          <w:p>
            <w:pPr>
              <w:pStyle w:val="2"/>
              <w:spacing w:line="240" w:lineRule="auto"/>
              <w:rPr>
                <w:rFonts w:hint="default" w:eastAsia="宋体"/>
                <w:sz w:val="24"/>
                <w:szCs w:val="24"/>
                <w:highlight w:val="none"/>
                <w:lang w:val="en-US" w:eastAsia="zh-CN"/>
              </w:rPr>
            </w:pPr>
            <w:r>
              <w:rPr>
                <w:rFonts w:hint="default" w:eastAsia="宋体"/>
                <w:sz w:val="24"/>
                <w:szCs w:val="24"/>
                <w:highlight w:val="none"/>
                <w:lang w:val="en-US" w:eastAsia="zh-CN"/>
              </w:rPr>
              <w:t>危险源辨识、风险评价控制程序</w:t>
            </w:r>
          </w:p>
          <w:p>
            <w:pPr>
              <w:pStyle w:val="2"/>
              <w:spacing w:line="240" w:lineRule="auto"/>
              <w:rPr>
                <w:rFonts w:hint="default" w:eastAsia="宋体"/>
                <w:sz w:val="24"/>
                <w:szCs w:val="24"/>
                <w:highlight w:val="none"/>
                <w:lang w:val="en-US" w:eastAsia="zh-CN"/>
              </w:rPr>
            </w:pPr>
            <w:r>
              <w:rPr>
                <w:rFonts w:hint="default" w:eastAsia="宋体"/>
                <w:sz w:val="24"/>
                <w:szCs w:val="24"/>
                <w:highlight w:val="none"/>
                <w:lang w:val="en-US" w:eastAsia="zh-CN"/>
              </w:rPr>
              <w:t>法律法规及其他要求控制程序</w:t>
            </w:r>
          </w:p>
          <w:p>
            <w:pPr>
              <w:pStyle w:val="2"/>
              <w:spacing w:line="240" w:lineRule="auto"/>
              <w:rPr>
                <w:rFonts w:hint="default" w:eastAsia="宋体"/>
                <w:sz w:val="24"/>
                <w:szCs w:val="24"/>
                <w:highlight w:val="none"/>
                <w:lang w:val="en-US" w:eastAsia="zh-CN"/>
              </w:rPr>
            </w:pPr>
            <w:r>
              <w:rPr>
                <w:rFonts w:hint="eastAsia" w:eastAsia="宋体"/>
                <w:sz w:val="24"/>
                <w:szCs w:val="24"/>
                <w:highlight w:val="none"/>
                <w:lang w:val="en-US" w:eastAsia="zh-CN"/>
              </w:rPr>
              <w:t>等共</w:t>
            </w:r>
            <w:r>
              <w:rPr>
                <w:rFonts w:hint="eastAsia"/>
                <w:sz w:val="24"/>
                <w:szCs w:val="24"/>
                <w:highlight w:val="none"/>
                <w:lang w:val="en-US" w:eastAsia="zh-CN"/>
              </w:rPr>
              <w:t>28</w:t>
            </w:r>
            <w:r>
              <w:rPr>
                <w:rFonts w:hint="eastAsia" w:eastAsia="宋体"/>
                <w:sz w:val="24"/>
                <w:szCs w:val="24"/>
                <w:highlight w:val="none"/>
                <w:lang w:val="en-US" w:eastAsia="zh-CN"/>
              </w:rPr>
              <w:t>项。</w:t>
            </w:r>
          </w:p>
          <w:p>
            <w:pPr>
              <w:pStyle w:val="2"/>
              <w:spacing w:line="240" w:lineRule="auto"/>
              <w:rPr>
                <w:rFonts w:hint="eastAsia" w:eastAsia="宋体"/>
                <w:sz w:val="24"/>
                <w:szCs w:val="24"/>
                <w:highlight w:val="none"/>
                <w:lang w:val="en-US" w:eastAsia="zh-CN"/>
              </w:rPr>
            </w:pPr>
            <w:r>
              <w:rPr>
                <w:rFonts w:hint="eastAsia" w:eastAsia="宋体"/>
                <w:sz w:val="24"/>
                <w:szCs w:val="24"/>
                <w:highlight w:val="none"/>
                <w:lang w:val="en-US" w:eastAsia="zh-CN"/>
              </w:rPr>
              <w:t>---查“记录清单”，记录有记录名称、记录编号和保存年限，包括组织环境识别表、内外部环境分析报告、合格供方名单、相关方的需求和期望清单</w:t>
            </w:r>
            <w:r>
              <w:rPr>
                <w:rFonts w:hint="eastAsia"/>
                <w:sz w:val="24"/>
                <w:szCs w:val="24"/>
                <w:highlight w:val="none"/>
                <w:lang w:val="en-US" w:eastAsia="zh-CN"/>
              </w:rPr>
              <w:t>、</w:t>
            </w:r>
            <w:r>
              <w:rPr>
                <w:rFonts w:hint="eastAsia" w:eastAsia="宋体"/>
                <w:sz w:val="24"/>
                <w:szCs w:val="24"/>
                <w:highlight w:val="none"/>
                <w:lang w:val="en-US" w:eastAsia="zh-CN"/>
              </w:rPr>
              <w:t>受控文件清单、顾客满意度调查表、重要环境因素清单、管理评审报告、内审报告等</w:t>
            </w:r>
            <w:r>
              <w:rPr>
                <w:rFonts w:hint="eastAsia"/>
                <w:sz w:val="24"/>
                <w:szCs w:val="24"/>
                <w:highlight w:val="none"/>
                <w:lang w:val="en-US" w:eastAsia="zh-CN"/>
              </w:rPr>
              <w:t>82</w:t>
            </w:r>
            <w:r>
              <w:rPr>
                <w:rFonts w:hint="eastAsia" w:eastAsia="宋体"/>
                <w:sz w:val="24"/>
                <w:szCs w:val="24"/>
                <w:highlight w:val="none"/>
                <w:lang w:val="en-US" w:eastAsia="zh-CN"/>
              </w:rPr>
              <w:t>项。</w:t>
            </w:r>
          </w:p>
          <w:p>
            <w:pPr>
              <w:pStyle w:val="2"/>
              <w:spacing w:line="240" w:lineRule="auto"/>
              <w:rPr>
                <w:rFonts w:hint="eastAsia" w:eastAsia="宋体"/>
                <w:sz w:val="24"/>
                <w:szCs w:val="24"/>
                <w:highlight w:val="none"/>
                <w:lang w:val="en-US" w:eastAsia="zh-CN"/>
              </w:rPr>
            </w:pPr>
            <w:r>
              <w:rPr>
                <w:rFonts w:hint="eastAsia" w:eastAsia="宋体"/>
                <w:sz w:val="24"/>
                <w:szCs w:val="24"/>
                <w:highlight w:val="none"/>
                <w:lang w:val="en-US" w:eastAsia="zh-CN"/>
              </w:rPr>
              <w:t>---查“外来文件一览表”，内容包括《中华人民共和国产品质量法》、《中华人民共和国计量法》、《GB/T23451-2009建筑用轻质隔墙条板》等。</w:t>
            </w:r>
          </w:p>
          <w:p>
            <w:pPr>
              <w:pStyle w:val="2"/>
              <w:spacing w:line="240" w:lineRule="auto"/>
              <w:rPr>
                <w:rFonts w:hint="eastAsia" w:eastAsia="宋体"/>
                <w:sz w:val="24"/>
                <w:szCs w:val="24"/>
                <w:highlight w:val="none"/>
                <w:lang w:val="en-US" w:eastAsia="zh-CN"/>
              </w:rPr>
            </w:pPr>
            <w:r>
              <w:rPr>
                <w:rFonts w:hint="eastAsia" w:eastAsia="宋体"/>
                <w:sz w:val="24"/>
                <w:szCs w:val="24"/>
                <w:highlight w:val="none"/>
                <w:lang w:val="en-US" w:eastAsia="zh-CN"/>
              </w:rPr>
              <w:t>---查“文件发放、回收记录”，编审批日期齐全，内容包括：</w:t>
            </w:r>
          </w:p>
          <w:p>
            <w:pPr>
              <w:pStyle w:val="2"/>
              <w:spacing w:line="240" w:lineRule="auto"/>
              <w:rPr>
                <w:rFonts w:hint="eastAsia" w:eastAsia="宋体"/>
                <w:sz w:val="24"/>
                <w:szCs w:val="24"/>
                <w:highlight w:val="none"/>
                <w:lang w:val="en-US" w:eastAsia="zh-CN"/>
              </w:rPr>
            </w:pPr>
            <w:r>
              <w:rPr>
                <w:rFonts w:hint="eastAsia" w:eastAsia="宋体"/>
                <w:sz w:val="24"/>
                <w:szCs w:val="24"/>
                <w:highlight w:val="none"/>
                <w:lang w:val="en-US" w:eastAsia="zh-CN"/>
              </w:rPr>
              <w:t>2022.8.1..发放管理手册、程序文件汇编、三级文件给总经理、办公室、生技部。</w:t>
            </w:r>
          </w:p>
          <w:p>
            <w:pPr>
              <w:pStyle w:val="2"/>
              <w:spacing w:line="240" w:lineRule="auto"/>
              <w:rPr>
                <w:rFonts w:hint="eastAsia" w:eastAsia="宋体"/>
                <w:sz w:val="24"/>
                <w:szCs w:val="24"/>
                <w:highlight w:val="none"/>
                <w:lang w:val="en-US" w:eastAsia="zh-CN"/>
              </w:rPr>
            </w:pPr>
            <w:r>
              <w:rPr>
                <w:rFonts w:hint="eastAsia" w:eastAsia="宋体"/>
                <w:sz w:val="24"/>
                <w:szCs w:val="24"/>
                <w:highlight w:val="none"/>
                <w:lang w:val="en-US" w:eastAsia="zh-CN"/>
              </w:rPr>
              <w:t>---查内审记录、管理评审记录、培训记录均能提供。</w:t>
            </w:r>
          </w:p>
          <w:p>
            <w:pPr>
              <w:rPr>
                <w:rFonts w:hint="default"/>
                <w:highlight w:val="none"/>
                <w:lang w:val="en-US" w:eastAsia="zh-CN"/>
              </w:rPr>
            </w:pPr>
            <w:r>
              <w:rPr>
                <w:rFonts w:hint="eastAsia" w:eastAsia="宋体"/>
                <w:sz w:val="24"/>
                <w:szCs w:val="24"/>
                <w:highlight w:val="none"/>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cs="宋体"/>
                <w:sz w:val="21"/>
                <w:szCs w:val="21"/>
                <w:highlight w:val="yellow"/>
              </w:rPr>
            </w:pPr>
            <w:r>
              <w:rPr>
                <w:rFonts w:hint="eastAsia" w:cs="Arial" w:asciiTheme="minorEastAsia" w:hAnsiTheme="minorEastAsia" w:eastAsiaTheme="minorEastAsia"/>
                <w:sz w:val="21"/>
                <w:szCs w:val="21"/>
                <w:u w:val="none"/>
              </w:rPr>
              <w:t>内部审核</w:t>
            </w:r>
          </w:p>
        </w:tc>
        <w:tc>
          <w:tcPr>
            <w:tcW w:w="960" w:type="dxa"/>
            <w:vAlign w:val="top"/>
          </w:tcPr>
          <w:p>
            <w:pPr>
              <w:rPr>
                <w:rFonts w:hint="eastAsia"/>
                <w:sz w:val="21"/>
                <w:szCs w:val="21"/>
                <w:highlight w:val="none"/>
                <w:lang w:val="en-US" w:eastAsia="zh-CN"/>
              </w:rPr>
            </w:pPr>
            <w:r>
              <w:rPr>
                <w:rFonts w:hint="eastAsia"/>
                <w:highlight w:val="none"/>
                <w:lang w:val="en-US" w:eastAsia="zh-CN"/>
              </w:rPr>
              <w:t>QES9.2</w:t>
            </w:r>
          </w:p>
        </w:tc>
        <w:tc>
          <w:tcPr>
            <w:tcW w:w="10004" w:type="dxa"/>
            <w:vAlign w:val="top"/>
          </w:tcPr>
          <w:p>
            <w:pPr>
              <w:rPr>
                <w:rFonts w:hint="eastAsia"/>
                <w:highlight w:val="none"/>
              </w:rPr>
            </w:pPr>
            <w:r>
              <w:rPr>
                <w:rFonts w:hint="eastAsia"/>
                <w:highlight w:val="none"/>
              </w:rPr>
              <w:t xml:space="preserve">---制定了《内部审核控制程序》进行内部审核过程控制 </w:t>
            </w:r>
          </w:p>
          <w:p>
            <w:pPr>
              <w:rPr>
                <w:rFonts w:hint="eastAsia"/>
                <w:highlight w:val="none"/>
              </w:rPr>
            </w:pPr>
            <w:r>
              <w:rPr>
                <w:rFonts w:hint="eastAsia"/>
                <w:highlight w:val="none"/>
              </w:rPr>
              <w:t>查2022.</w:t>
            </w:r>
            <w:r>
              <w:rPr>
                <w:rFonts w:hint="eastAsia"/>
                <w:highlight w:val="none"/>
                <w:lang w:val="en-US" w:eastAsia="zh-CN"/>
              </w:rPr>
              <w:t>10.11</w:t>
            </w:r>
            <w:r>
              <w:rPr>
                <w:rFonts w:hint="eastAsia"/>
                <w:highlight w:val="none"/>
              </w:rPr>
              <w:t>.制定计划，2022.</w:t>
            </w:r>
            <w:r>
              <w:rPr>
                <w:rFonts w:hint="eastAsia"/>
                <w:highlight w:val="none"/>
                <w:lang w:val="en-US" w:eastAsia="zh-CN"/>
              </w:rPr>
              <w:t>10</w:t>
            </w:r>
            <w:r>
              <w:rPr>
                <w:rFonts w:hint="eastAsia"/>
                <w:highlight w:val="none"/>
              </w:rPr>
              <w:t>.</w:t>
            </w:r>
            <w:r>
              <w:rPr>
                <w:rFonts w:hint="eastAsia"/>
                <w:highlight w:val="none"/>
                <w:lang w:val="en-US" w:eastAsia="zh-CN"/>
              </w:rPr>
              <w:t>18.</w:t>
            </w:r>
            <w:r>
              <w:rPr>
                <w:rFonts w:hint="eastAsia"/>
                <w:highlight w:val="none"/>
              </w:rPr>
              <w:t>实施的内部审核，内容包括审核目的、审核范围、审核准则、审核具体日程安排、编制批准等，内容完整，能够满足策划要求。</w:t>
            </w:r>
          </w:p>
          <w:p>
            <w:pPr>
              <w:rPr>
                <w:rFonts w:hint="eastAsia"/>
                <w:highlight w:val="none"/>
              </w:rPr>
            </w:pPr>
            <w:r>
              <w:rPr>
                <w:rFonts w:hint="eastAsia"/>
                <w:highlight w:val="none"/>
              </w:rPr>
              <w:t>提供各部门《内部审核检查表》，内容包括条款号、审核内容</w:t>
            </w:r>
            <w:r>
              <w:rPr>
                <w:rFonts w:hint="eastAsia" w:ascii="宋体" w:hAnsi="宋体"/>
                <w:szCs w:val="21"/>
                <w:highlight w:val="none"/>
              </w:rPr>
              <w:t>方法</w:t>
            </w:r>
            <w:r>
              <w:rPr>
                <w:rFonts w:hint="eastAsia"/>
                <w:highlight w:val="none"/>
              </w:rPr>
              <w:t>、审核记录和结果判定等，记录显示，审核组有按照计划要求进行，满足执行要求。</w:t>
            </w:r>
          </w:p>
          <w:p>
            <w:pPr>
              <w:rPr>
                <w:rFonts w:hint="eastAsia"/>
                <w:highlight w:val="none"/>
              </w:rPr>
            </w:pPr>
            <w:r>
              <w:rPr>
                <w:rFonts w:hint="eastAsia"/>
                <w:highlight w:val="none"/>
              </w:rPr>
              <w:t xml:space="preserve">查《内审报告》中内部审核结论：在不符合项采取了纠正措施并验证其有效性后，本公司质量、环境和职业健康安全管理体系的有效性、适宜性和符合性将有所提高，质量、环境和职业健康安全管理体系文件得到了有效的实施和保持。 </w:t>
            </w:r>
          </w:p>
          <w:p>
            <w:pPr>
              <w:rPr>
                <w:rFonts w:hint="eastAsia"/>
                <w:highlight w:val="none"/>
              </w:rPr>
            </w:pPr>
            <w:r>
              <w:rPr>
                <w:rFonts w:hint="eastAsia"/>
                <w:highlight w:val="none"/>
              </w:rPr>
              <w:t>查内审发现不符合</w:t>
            </w:r>
            <w:r>
              <w:rPr>
                <w:rFonts w:hint="eastAsia"/>
                <w:highlight w:val="none"/>
                <w:lang w:val="en-US" w:eastAsia="zh-CN"/>
              </w:rPr>
              <w:t>1</w:t>
            </w:r>
            <w:r>
              <w:rPr>
                <w:rFonts w:hint="eastAsia"/>
                <w:highlight w:val="none"/>
              </w:rPr>
              <w:t>项，</w:t>
            </w:r>
            <w:r>
              <w:rPr>
                <w:rFonts w:hint="eastAsia"/>
                <w:highlight w:val="none"/>
                <w:lang w:val="en-US" w:eastAsia="zh-CN"/>
              </w:rPr>
              <w:t>分布在办公室，</w:t>
            </w:r>
            <w:r>
              <w:rPr>
                <w:rFonts w:hint="eastAsia"/>
                <w:highlight w:val="none"/>
              </w:rPr>
              <w:t>不符合已验证关闭。</w:t>
            </w:r>
          </w:p>
          <w:p>
            <w:pPr>
              <w:pStyle w:val="2"/>
            </w:pPr>
            <w:r>
              <w:drawing>
                <wp:inline distT="0" distB="0" distL="114300" distR="114300">
                  <wp:extent cx="3060700" cy="40068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060700" cy="4006850"/>
                          </a:xfrm>
                          <a:prstGeom prst="rect">
                            <a:avLst/>
                          </a:prstGeom>
                          <a:noFill/>
                          <a:ln>
                            <a:noFill/>
                          </a:ln>
                        </pic:spPr>
                      </pic:pic>
                    </a:graphicData>
                  </a:graphic>
                </wp:inline>
              </w:drawing>
            </w:r>
            <w:r>
              <w:drawing>
                <wp:inline distT="0" distB="0" distL="114300" distR="114300">
                  <wp:extent cx="2749550" cy="424815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749550" cy="4248150"/>
                          </a:xfrm>
                          <a:prstGeom prst="rect">
                            <a:avLst/>
                          </a:prstGeom>
                          <a:noFill/>
                          <a:ln>
                            <a:noFill/>
                          </a:ln>
                        </pic:spPr>
                      </pic:pic>
                    </a:graphicData>
                  </a:graphic>
                </wp:inline>
              </w:drawing>
            </w:r>
          </w:p>
          <w:p>
            <w:pPr>
              <w:pStyle w:val="2"/>
              <w:rPr>
                <w:rFonts w:hint="default" w:eastAsia="宋体"/>
                <w:lang w:val="en-US" w:eastAsia="zh-CN"/>
              </w:rPr>
            </w:pPr>
            <w:r>
              <w:rPr>
                <w:rFonts w:hint="eastAsia"/>
                <w:lang w:val="en-US" w:eastAsia="zh-CN"/>
              </w:rPr>
              <w:t>问题点：内审计划安排了员工代表的审核条款，内审实施中未见对5.4条款的审核，签到表中未策划员工代表的陈诚的签到栏，实际陈诚有签到；已针对此问题与负责人进行沟通，表明明年监审时会重点关注内审的持续改进情况。</w:t>
            </w:r>
          </w:p>
          <w:p>
            <w:pPr>
              <w:rPr>
                <w:rFonts w:hint="eastAsia" w:eastAsia="宋体"/>
                <w:sz w:val="21"/>
                <w:szCs w:val="21"/>
                <w:highlight w:val="none"/>
                <w:lang w:val="en-US" w:eastAsia="zh-CN"/>
              </w:rPr>
            </w:pPr>
            <w:r>
              <w:rPr>
                <w:rFonts w:hint="eastAsia"/>
                <w:highlight w:val="none"/>
              </w:rPr>
              <w:t>——内部审核控制基本有效。</w:t>
            </w:r>
          </w:p>
        </w:tc>
        <w:tc>
          <w:tcPr>
            <w:tcW w:w="1585" w:type="dxa"/>
          </w:tcPr>
          <w:p>
            <w:pPr>
              <w:rPr>
                <w:rFonts w:hint="eastAsia" w:eastAsia="宋体"/>
                <w:lang w:val="en-US" w:eastAsia="zh-CN"/>
              </w:rPr>
            </w:pPr>
            <w:r>
              <w:rPr>
                <w:rFonts w:hint="eastAsia"/>
                <w:lang w:val="en-US" w:eastAsia="zh-CN"/>
              </w:rPr>
              <w:t>Y</w:t>
            </w:r>
            <w:bookmarkStart w:id="2" w:name="_GoBack"/>
            <w:bookmarkEnd w:id="2"/>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mYzZkNjY3OTU4NDczNmE2MzQyY2ZjMDNmYTJmNDMifQ=="/>
  </w:docVars>
  <w:rsids>
    <w:rsidRoot w:val="00000000"/>
    <w:rsid w:val="04736E13"/>
    <w:rsid w:val="050C39A8"/>
    <w:rsid w:val="0A3221EC"/>
    <w:rsid w:val="0B5807E8"/>
    <w:rsid w:val="0C8F023A"/>
    <w:rsid w:val="0D25513C"/>
    <w:rsid w:val="0D455D75"/>
    <w:rsid w:val="12992547"/>
    <w:rsid w:val="152359C3"/>
    <w:rsid w:val="1564399B"/>
    <w:rsid w:val="15D171CD"/>
    <w:rsid w:val="184B6451"/>
    <w:rsid w:val="1B083691"/>
    <w:rsid w:val="1C16002F"/>
    <w:rsid w:val="1DA601BA"/>
    <w:rsid w:val="1E4D585F"/>
    <w:rsid w:val="21366A7E"/>
    <w:rsid w:val="23164DB9"/>
    <w:rsid w:val="240B2FD5"/>
    <w:rsid w:val="24625F84"/>
    <w:rsid w:val="252C08C4"/>
    <w:rsid w:val="277E6FD9"/>
    <w:rsid w:val="29033AAB"/>
    <w:rsid w:val="2A3E70CF"/>
    <w:rsid w:val="2B1C518D"/>
    <w:rsid w:val="2B746B21"/>
    <w:rsid w:val="2C83526D"/>
    <w:rsid w:val="33291F9F"/>
    <w:rsid w:val="359C0069"/>
    <w:rsid w:val="395F6A2C"/>
    <w:rsid w:val="396A5098"/>
    <w:rsid w:val="3D053A7C"/>
    <w:rsid w:val="3D1B4E29"/>
    <w:rsid w:val="41E87ECF"/>
    <w:rsid w:val="427B013A"/>
    <w:rsid w:val="43805C0B"/>
    <w:rsid w:val="44A91191"/>
    <w:rsid w:val="45895D0A"/>
    <w:rsid w:val="45E306D3"/>
    <w:rsid w:val="46737ACC"/>
    <w:rsid w:val="481928DE"/>
    <w:rsid w:val="493E3092"/>
    <w:rsid w:val="4BCB40E3"/>
    <w:rsid w:val="4BCE3AD9"/>
    <w:rsid w:val="4BE551A5"/>
    <w:rsid w:val="4C4927C3"/>
    <w:rsid w:val="4EBB48DA"/>
    <w:rsid w:val="55D6790C"/>
    <w:rsid w:val="595A2639"/>
    <w:rsid w:val="59A71629"/>
    <w:rsid w:val="5E337FF2"/>
    <w:rsid w:val="61177792"/>
    <w:rsid w:val="62073088"/>
    <w:rsid w:val="62615DE9"/>
    <w:rsid w:val="64902ED1"/>
    <w:rsid w:val="6EC50D93"/>
    <w:rsid w:val="70587444"/>
    <w:rsid w:val="70ED2282"/>
    <w:rsid w:val="72200435"/>
    <w:rsid w:val="72662B0C"/>
    <w:rsid w:val="73487476"/>
    <w:rsid w:val="73591E51"/>
    <w:rsid w:val="74F411C9"/>
    <w:rsid w:val="7687747C"/>
    <w:rsid w:val="79796871"/>
    <w:rsid w:val="799D236B"/>
    <w:rsid w:val="7A7404A9"/>
    <w:rsid w:val="7B2A40D3"/>
    <w:rsid w:val="7C1C356B"/>
    <w:rsid w:val="7F8D0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lock Text"/>
    <w:basedOn w:val="1"/>
    <w:uiPriority w:val="0"/>
    <w:pPr>
      <w:autoSpaceDE w:val="0"/>
      <w:autoSpaceDN w:val="0"/>
      <w:adjustRightInd w:val="0"/>
      <w:spacing w:line="288" w:lineRule="auto"/>
      <w:ind w:left="-340" w:right="340" w:firstLine="482"/>
      <w:jc w:val="left"/>
      <w:textAlignment w:val="baseline"/>
    </w:pPr>
    <w:rPr>
      <w:rFonts w:ascii="宋体" w:hAnsi="宋体"/>
      <w:bCs/>
      <w:kern w:val="0"/>
      <w:sz w:val="24"/>
      <w:szCs w:val="2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2"/>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2402</Words>
  <Characters>2813</Characters>
  <Lines>1</Lines>
  <Paragraphs>1</Paragraphs>
  <TotalTime>4</TotalTime>
  <ScaleCrop>false</ScaleCrop>
  <LinksUpToDate>false</LinksUpToDate>
  <CharactersWithSpaces>2897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2023-01-14T00:13:15Z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7DFCEC2663F8433AAB0395BE4DD38EEB</vt:lpwstr>
  </property>
  <property fmtid="{D5CDD505-2E9C-101B-9397-08002B2CF9AE}" pid="3" name="KSOProductBuildVer">
    <vt:lpwstr>2052-11.1.0.12132</vt:lpwstr>
  </property>
</Properties>
</file>