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drawing>
          <wp:inline distT="0" distB="0" distL="114300" distR="114300">
            <wp:extent cx="5456555" cy="7675245"/>
            <wp:effectExtent l="0" t="0" r="444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396865" cy="7343775"/>
            <wp:effectExtent l="0" t="0" r="63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bookmarkStart w:id="0" w:name="_GoBack"/>
      <w:bookmarkEnd w:id="0"/>
    </w:p>
    <w:tbl>
      <w:tblPr>
        <w:tblStyle w:val="6"/>
        <w:tblW w:w="103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383"/>
        <w:gridCol w:w="1158"/>
        <w:gridCol w:w="5462"/>
        <w:gridCol w:w="1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10377" w:type="dxa"/>
            <w:gridSpan w:val="5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110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38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5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462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273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2" w:hRule="atLeast"/>
          <w:jc w:val="center"/>
        </w:trPr>
        <w:tc>
          <w:tcPr>
            <w:tcW w:w="110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snapToGrid w:val="0"/>
              <w:spacing w:line="280" w:lineRule="exact"/>
              <w:jc w:val="left"/>
            </w:pPr>
          </w:p>
          <w:p>
            <w:pPr>
              <w:snapToGrid w:val="0"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2023.1.8</w:t>
            </w:r>
          </w:p>
          <w:p>
            <w:pPr>
              <w:snapToGrid w:val="0"/>
              <w:spacing w:line="32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(午休</w:t>
            </w:r>
          </w:p>
          <w:p>
            <w:pPr>
              <w:snapToGrid w:val="0"/>
              <w:spacing w:line="280" w:lineRule="exact"/>
              <w:jc w:val="left"/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12:00-12:30）</w:t>
            </w:r>
          </w:p>
          <w:p>
            <w:pPr>
              <w:snapToGrid w:val="0"/>
              <w:spacing w:line="280" w:lineRule="exact"/>
              <w:jc w:val="left"/>
            </w:pPr>
          </w:p>
          <w:p>
            <w:pPr>
              <w:snapToGrid w:val="0"/>
              <w:spacing w:line="280" w:lineRule="exact"/>
              <w:jc w:val="center"/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  <w:p>
            <w:pPr>
              <w:pStyle w:val="15"/>
              <w:jc w:val="both"/>
              <w:rPr>
                <w:rFonts w:ascii="宋体" w:hAnsi="宋体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38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0-9:00</w:t>
            </w:r>
          </w:p>
        </w:tc>
        <w:tc>
          <w:tcPr>
            <w:tcW w:w="6620" w:type="dxa"/>
            <w:gridSpan w:val="2"/>
            <w:vAlign w:val="center"/>
          </w:tcPr>
          <w:p>
            <w:pPr>
              <w:rPr>
                <w:rFonts w:ascii="宋体" w:hAnsi="宋体"/>
                <w:sz w:val="18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首次会议（微信、视频）</w:t>
            </w:r>
          </w:p>
        </w:tc>
        <w:tc>
          <w:tcPr>
            <w:tcW w:w="1273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审核组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全体人员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（视频会议）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18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280" w:lineRule="exact"/>
              <w:rPr>
                <w:rFonts w:hint="default" w:ascii="宋体" w:hAnsi="宋体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9:00-1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00</w:t>
            </w:r>
          </w:p>
        </w:tc>
        <w:tc>
          <w:tcPr>
            <w:tcW w:w="1158" w:type="dxa"/>
          </w:tcPr>
          <w:p>
            <w:pPr>
              <w:spacing w:line="30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管理层（含管代、安全事务代表）</w:t>
            </w:r>
          </w:p>
        </w:tc>
        <w:tc>
          <w:tcPr>
            <w:tcW w:w="5462" w:type="dxa"/>
          </w:tcPr>
          <w:p>
            <w:pPr>
              <w:spacing w:line="300" w:lineRule="exact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QMS ：4.1组织及其环境;4.2相关方需求与期望;4.3确定体系范围;4.4体系及其过程;5.1领导作用与承诺;5.2方针;5.3组织的角色、职责和权限；6.1应对风险和机遇的措施；6.2目标及其实现的策划；6.3变更的策划；7.1.1资源 总则；9.1.1监测、分析和评价总则；9.3管理评审；10.1改进 总则；10.3持续改进；</w:t>
            </w:r>
          </w:p>
          <w:p>
            <w:pPr>
              <w:spacing w:line="300" w:lineRule="exact"/>
              <w:rPr>
                <w:rFonts w:hint="eastAsia" w:ascii="宋体" w:hAnsi="宋体" w:cs="新宋体"/>
                <w:sz w:val="21"/>
                <w:szCs w:val="21"/>
              </w:rPr>
            </w:pPr>
          </w:p>
          <w:p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EMS：4.1组织及其环境;4.2相关方需求与期望;4.3确定体系范围;4.4体系;5.1领导作用与承诺;5.2方针;5.3组织的角色、职责和权限；6.1.1策划</w:t>
            </w:r>
            <w:r>
              <w:rPr>
                <w:rFonts w:hint="eastAsia"/>
                <w:sz w:val="21"/>
                <w:szCs w:val="21"/>
              </w:rPr>
              <w:t>总则；6.1.4措施的策划；6.2目标及其实现的策划；7.1资源；9.1.1监测、分析和评估总则；9.3管理评审；10.1改进 总则；10.3持续改进。</w:t>
            </w:r>
          </w:p>
          <w:p>
            <w:pPr>
              <w:spacing w:line="300" w:lineRule="exact"/>
              <w:rPr>
                <w:rFonts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OHSMS：4.1组织及其环境;4.2相关方需求与期望;4.3确定体系范围;4.4体系;5.1领导作用与承诺;5.2方针;5.3组织的角色、职责和权限；5.4工作人员的协商和参与；6.1应对风险和机遇的措施；6.1.4措施的策划；6.2目标及其实现的策划；7.1资源；9.1监视、测量、分析和评价；9.3管理评审；10.1事件、不符合和纠正措施；10.3持续改进。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21"/>
                <w:szCs w:val="21"/>
              </w:rPr>
            </w:pPr>
          </w:p>
          <w:p>
            <w:pPr>
              <w:pStyle w:val="15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</w:rPr>
              <w:t>范围的确认，资质的确认，法律法规执行情况，重大质量事故，及顾客投诉和质量监督抽查情况，环境安全投诉，一阶段问题验证。</w:t>
            </w: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周文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28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9:00-</w:t>
            </w:r>
            <w:r>
              <w:rPr>
                <w:rFonts w:hint="eastAsia"/>
                <w:lang w:val="en-US" w:eastAsia="zh-CN"/>
              </w:rPr>
              <w:t>12：00</w:t>
            </w:r>
          </w:p>
          <w:p>
            <w:pPr>
              <w:snapToGrid w:val="0"/>
              <w:spacing w:line="280" w:lineRule="exact"/>
              <w:rPr>
                <w:rFonts w:hint="eastAsia"/>
                <w:lang w:val="en-US" w:eastAsia="zh-CN"/>
              </w:rPr>
            </w:pPr>
          </w:p>
          <w:p>
            <w:pPr>
              <w:snapToGrid w:val="0"/>
              <w:spacing w:line="280" w:lineRule="exact"/>
              <w:rPr>
                <w:rFonts w:hint="eastAsia"/>
                <w:lang w:val="en-US" w:eastAsia="zh-CN"/>
              </w:rPr>
            </w:pPr>
          </w:p>
          <w:p>
            <w:pPr>
              <w:snapToGrid w:val="0"/>
              <w:spacing w:line="28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14:00-19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  <w:lang w:val="en-US" w:eastAsia="zh-CN"/>
              </w:rPr>
              <w:t>00</w:t>
            </w:r>
          </w:p>
          <w:p>
            <w:pPr>
              <w:pStyle w:val="2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58" w:type="dxa"/>
          </w:tcPr>
          <w:p>
            <w:pPr>
              <w:spacing w:line="300" w:lineRule="exact"/>
              <w:rPr>
                <w:rFonts w:hint="default" w:ascii="宋体" w:hAnsi="宋体" w:eastAsia="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新宋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462" w:type="dxa"/>
          </w:tcPr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QMS：7.1.5监视和测量设备；8.1运行策划和控制； 8.3设计开发控制/不适用验证；8.5.1生产和服务提供的控制；8.5.2标识和可追溯性；8.5.3顾客或外部供方的财产；8.5.4防护；8.5.5交付后的活动；8.5.6更改控制，8.6产品和服务放行；8.7不合格输出的控制；10.2不符合和纠正措施；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EMS：6.1.2环境因素； 6.1.4措施的策划；8.1运行策划和控制；8.2应急准备和响应；10.2不符合和纠正措施；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OHSMS：6.1.2危险源辨识及风险和机遇的评价；6.1.4措施的策划； 8.1运行策划和控制；8.2应急准备和响应；10.2不符合和纠正措施；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17:30-19:00为夜班审核。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夜班管控及交接班的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管控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：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default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涉及场所：生产及相关设施和区域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 xml:space="preserve"> 审核路径选择，包括但不仅限于下列活动：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相关过程（例如策划，资源，生产/服务的提供-包括策划，测量和监视，放行，交付和交付后活动）；</w:t>
            </w:r>
            <w:r>
              <w:rPr>
                <w:rFonts w:hint="eastAsia" w:ascii="宋体" w:hAnsi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产品生产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等；</w:t>
            </w:r>
          </w:p>
          <w:p>
            <w:pPr>
              <w:tabs>
                <w:tab w:val="left" w:pos="-142"/>
              </w:tabs>
              <w:spacing w:before="40" w:after="40"/>
              <w:jc w:val="both"/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-----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设备安全控制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废弃物控制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节能措施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作业场所环境控制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个体防护用品管理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 xml:space="preserve">应急准备及响应 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操作人员的能力和培训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it-IT" w:bidi="ar-SA"/>
              </w:rPr>
              <w:t>环境、职业健康安全绩效监测</w:t>
            </w:r>
            <w:r>
              <w:rPr>
                <w:rFonts w:hint="eastAsia" w:ascii="宋体" w:hAnsi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；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10"/>
                <w:kern w:val="0"/>
                <w:sz w:val="21"/>
                <w:szCs w:val="21"/>
                <w:highlight w:val="none"/>
                <w:lang w:val="en-US" w:eastAsia="zh-CN" w:bidi="ar-SA"/>
              </w:rPr>
              <w:t>ES:6.1.2,6.1.3,7.2, 8.1,8.2,9.1.1,9.1.2</w:t>
            </w: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明利红、邓磊、任秀梅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6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9:00-1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58" w:type="dxa"/>
            <w:vAlign w:val="top"/>
          </w:tcPr>
          <w:p>
            <w:pPr>
              <w:spacing w:line="300" w:lineRule="exact"/>
              <w:rPr>
                <w:rFonts w:hint="eastAsia" w:ascii="宋体" w:hAnsi="宋体" w:cs="新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办公室1</w:t>
            </w:r>
          </w:p>
        </w:tc>
        <w:tc>
          <w:tcPr>
            <w:tcW w:w="5462" w:type="dxa"/>
            <w:vAlign w:val="top"/>
          </w:tcPr>
          <w:p>
            <w:pPr>
              <w:snapToGrid w:val="0"/>
              <w:spacing w:line="240" w:lineRule="exact"/>
            </w:pPr>
            <w:r>
              <w:rPr>
                <w:rFonts w:hint="eastAsia" w:ascii="宋体" w:hAnsi="宋体" w:cs="新宋体"/>
                <w:sz w:val="21"/>
                <w:szCs w:val="21"/>
              </w:rPr>
              <w:t>QMS：5.3岗位/职责 /权限；6.2质量目标及其实现的策划； 8.2产品和服务的要求8.4外部提供供方的控制；9.1.2顾客满意；</w:t>
            </w: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sz w:val="21"/>
                <w:szCs w:val="21"/>
                <w:lang w:val="en-US" w:eastAsia="zh-CN" w:bidi="ar-SA"/>
              </w:rPr>
              <w:t>9.1.3分析与评价</w:t>
            </w:r>
          </w:p>
          <w:p>
            <w:pPr>
              <w:pStyle w:val="2"/>
            </w:pPr>
            <w:r>
              <w:rPr>
                <w:rFonts w:hint="eastAsia" w:ascii="宋体" w:hAnsi="宋体" w:cs="新宋体"/>
                <w:sz w:val="21"/>
                <w:szCs w:val="21"/>
              </w:rPr>
              <w:t>EMS：5.3组织的角色、职责和权限;； 6.2目标及其达成的策划；6.1.2环境因素；6.1.3合规义务；8.1运行策划和控制；8.2应急准备和响应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宋体" w:hAnsi="宋体" w:cs="新宋体"/>
                <w:sz w:val="21"/>
                <w:szCs w:val="21"/>
              </w:rPr>
              <w:t>9.1监视、测量、分析与评估；9.1.2符合性评估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宋体" w:hAnsi="宋体" w:cs="新宋体"/>
                <w:sz w:val="21"/>
                <w:szCs w:val="21"/>
              </w:rPr>
              <w:t xml:space="preserve"> EMS运行控制相关财务支出证据。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OHSMS：5.3组织的角色、职责和权限;； 6.2目标及其达成的策划；6.1.2危险源辨识和职业安全风险评价； 6.1.3法律法规要求和其他要求； 8.1运行策划和控制；8.2应急准备和响应9.1监视、测量、分析和评价；9.1.2法律法规要求和其他要求的合规性评价；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OHS</w:t>
            </w:r>
            <w:r>
              <w:rPr>
                <w:rFonts w:hint="eastAsia" w:ascii="宋体" w:hAnsi="宋体" w:cs="新宋体"/>
                <w:sz w:val="21"/>
                <w:szCs w:val="21"/>
              </w:rPr>
              <w:t>运行控制相关财务支出证据。</w:t>
            </w:r>
          </w:p>
        </w:tc>
        <w:tc>
          <w:tcPr>
            <w:tcW w:w="1273" w:type="dxa"/>
            <w:tcBorders>
              <w:right w:val="single" w:color="auto" w:sz="8" w:space="0"/>
            </w:tcBorders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宋明珠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9" w:hRule="atLeast"/>
          <w:jc w:val="center"/>
        </w:trPr>
        <w:tc>
          <w:tcPr>
            <w:tcW w:w="1101" w:type="dxa"/>
            <w:vMerge w:val="restart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jc w:val="left"/>
            </w:pPr>
          </w:p>
          <w:p>
            <w:pPr>
              <w:snapToGrid w:val="0"/>
              <w:spacing w:line="320" w:lineRule="exact"/>
              <w:jc w:val="left"/>
            </w:pPr>
          </w:p>
          <w:p>
            <w:pPr>
              <w:snapToGrid w:val="0"/>
              <w:spacing w:line="320" w:lineRule="exact"/>
              <w:jc w:val="left"/>
            </w:pPr>
          </w:p>
          <w:p>
            <w:pPr>
              <w:snapToGrid w:val="0"/>
              <w:spacing w:line="320" w:lineRule="exact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2023.1.9</w:t>
            </w:r>
          </w:p>
          <w:p>
            <w:pPr>
              <w:snapToGrid w:val="0"/>
              <w:spacing w:line="32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(午休</w:t>
            </w:r>
          </w:p>
          <w:p>
            <w:pPr>
              <w:snapToGrid w:val="0"/>
              <w:spacing w:line="280" w:lineRule="exact"/>
              <w:jc w:val="left"/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12:00-12:30）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28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8:30-1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</w:p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58" w:type="dxa"/>
            <w:vAlign w:val="top"/>
          </w:tcPr>
          <w:p>
            <w:pPr>
              <w:spacing w:line="300" w:lineRule="exact"/>
              <w:rPr>
                <w:rFonts w:hint="default"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 w:val="21"/>
                <w:szCs w:val="21"/>
                <w:lang w:eastAsia="zh-CN"/>
              </w:rPr>
              <w:t>生技部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462" w:type="dxa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 w:eastAsia="宋体" w:cs="宋体"/>
                <w:bCs w:val="0"/>
                <w:color w:val="auto"/>
                <w:spacing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Q:5.3岗位/职责 /权限；6.2质量目标及其实现的策划；7.1.4过程运行环境；</w:t>
            </w: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sz w:val="21"/>
                <w:szCs w:val="21"/>
                <w:lang w:val="en-US" w:eastAsia="zh-CN" w:bidi="ar-SA"/>
              </w:rPr>
              <w:t>7.1.3基础设施；7.1.5监视和测量设备；</w:t>
            </w:r>
          </w:p>
          <w:p>
            <w:pPr>
              <w:snapToGrid w:val="0"/>
              <w:spacing w:line="320" w:lineRule="exac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EMS：5.3组织的角色、职责和权限、6.2质量目标及其实现的策划；</w:t>
            </w:r>
          </w:p>
          <w:p>
            <w:pPr>
              <w:snapToGrid w:val="0"/>
              <w:spacing w:line="320" w:lineRule="exact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-SA"/>
              </w:rPr>
              <w:t>OHSMS：5.3组织的角色、职责和权限； 6.2质量目标及其实现的策划；</w:t>
            </w:r>
          </w:p>
        </w:tc>
        <w:tc>
          <w:tcPr>
            <w:tcW w:w="1273" w:type="dxa"/>
            <w:tcBorders>
              <w:right w:val="single" w:color="auto" w:sz="8" w:space="0"/>
            </w:tcBorders>
            <w:vAlign w:val="top"/>
          </w:tcPr>
          <w:p>
            <w:pPr>
              <w:snapToGrid w:val="0"/>
              <w:spacing w:line="320" w:lineRule="exact"/>
              <w:rPr>
                <w:rFonts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宋明珠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2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28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8:30-1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</w:p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58" w:type="dxa"/>
          </w:tcPr>
          <w:p>
            <w:pPr>
              <w:spacing w:line="300" w:lineRule="exact"/>
              <w:rPr>
                <w:rFonts w:hint="default" w:ascii="宋体" w:hAnsi="宋体" w:eastAsia="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办公室2</w:t>
            </w:r>
          </w:p>
        </w:tc>
        <w:tc>
          <w:tcPr>
            <w:tcW w:w="5462" w:type="dxa"/>
          </w:tcPr>
          <w:p>
            <w:pPr>
              <w:pStyle w:val="2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QMS：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7.1.2人员；</w:t>
            </w:r>
            <w:r>
              <w:rPr>
                <w:rFonts w:hint="eastAsia" w:ascii="宋体" w:hAnsi="宋体" w:cs="新宋体"/>
                <w:sz w:val="21"/>
                <w:szCs w:val="21"/>
              </w:rPr>
              <w:t>7.2能力；7.3意识；7.4沟通；</w:t>
            </w:r>
          </w:p>
          <w:p>
            <w:pPr>
              <w:snapToGrid w:val="0"/>
              <w:spacing w:line="240" w:lineRule="exact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7.5文件化信息</w:t>
            </w: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宋体" w:hAnsi="宋体" w:cs="新宋体"/>
                <w:sz w:val="21"/>
                <w:szCs w:val="21"/>
              </w:rPr>
              <w:t>9.2内部审核；</w:t>
            </w:r>
          </w:p>
          <w:p>
            <w:pPr>
              <w:pStyle w:val="2"/>
            </w:pPr>
          </w:p>
          <w:p>
            <w:pPr>
              <w:pStyle w:val="2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EMS：6.1.2环境因素； 7.2能力；7.3意识；7.4沟通；7.5文件化信息；  9.2内部审核</w:t>
            </w:r>
          </w:p>
          <w:p>
            <w:pPr>
              <w:snapToGrid w:val="0"/>
              <w:spacing w:line="240" w:lineRule="exact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OHSMS：6.1.2危险源辨识和职业安全风险评价；7.2能力；7.3意识；7.4沟通；7.5文件化信息；；9.2内部审核；</w:t>
            </w:r>
          </w:p>
          <w:p>
            <w:pPr>
              <w:pStyle w:val="2"/>
              <w:rPr>
                <w:rFonts w:hint="eastAsia" w:ascii="宋体" w:hAnsi="宋体" w:cs="新宋体"/>
                <w:sz w:val="21"/>
                <w:szCs w:val="21"/>
              </w:rPr>
            </w:pP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周文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320" w:lineRule="exact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8:30-15:30</w:t>
            </w:r>
          </w:p>
        </w:tc>
        <w:tc>
          <w:tcPr>
            <w:tcW w:w="6620" w:type="dxa"/>
            <w:gridSpan w:val="2"/>
          </w:tcPr>
          <w:p>
            <w:pPr>
              <w:pStyle w:val="2"/>
              <w:rPr>
                <w:rFonts w:hint="default" w:ascii="宋体" w:hAnsi="宋体" w:eastAsia="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新宋体"/>
                <w:sz w:val="21"/>
                <w:szCs w:val="21"/>
                <w:lang w:val="en-US" w:eastAsia="zh-CN"/>
              </w:rPr>
              <w:t>继续生技部1审核</w:t>
            </w: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明利红、邓磊、任秀梅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文件传输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28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:00</w:t>
            </w:r>
          </w:p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6620" w:type="dxa"/>
            <w:gridSpan w:val="2"/>
          </w:tcPr>
          <w:p>
            <w:pPr>
              <w:pStyle w:val="2"/>
              <w:rPr>
                <w:rFonts w:hint="eastAsia" w:ascii="宋体" w:hAnsi="宋体" w:cs="新宋体"/>
                <w:sz w:val="21"/>
                <w:szCs w:val="21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审核组内部沟通,并与受审核方沟通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会议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审核组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全体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（视频会议）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  <w:jc w:val="center"/>
        </w:trPr>
        <w:tc>
          <w:tcPr>
            <w:tcW w:w="110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83" w:type="dxa"/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:00-1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6620" w:type="dxa"/>
            <w:gridSpan w:val="2"/>
            <w:vAlign w:val="center"/>
          </w:tcPr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21"/>
                <w:szCs w:val="21"/>
              </w:rPr>
              <w:t>末次会议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（微信、视频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会议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）</w:t>
            </w:r>
          </w:p>
        </w:tc>
        <w:tc>
          <w:tcPr>
            <w:tcW w:w="1273" w:type="dxa"/>
            <w:tcBorders>
              <w:righ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审核组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全体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（视频会议）</w:t>
            </w:r>
          </w:p>
        </w:tc>
      </w:tr>
    </w:tbl>
    <w:p>
      <w:pPr>
        <w:pStyle w:val="2"/>
      </w:pPr>
    </w:p>
    <w:p>
      <w:pPr>
        <w:pStyle w:val="2"/>
      </w:pP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5160645</wp:posOffset>
              </wp:positionH>
              <wp:positionV relativeFrom="paragraph">
                <wp:posOffset>118110</wp:posOffset>
              </wp:positionV>
              <wp:extent cx="1497965" cy="256540"/>
              <wp:effectExtent l="0" t="0" r="635" b="1016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796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ISC-B-II-04(05版）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left:406.35pt;margin-top:9.3pt;height:20.2pt;width:117.95pt;z-index:251659264;mso-width-relative:page;mso-height-relative:page;" fillcolor="#FFFFFF" filled="t" stroked="f" coordsize="21600,21600" o:gfxdata="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SgQmitcAAAAKAQAADwAAAAAAAAABACAAAAAiAAAAZHJzL2Rvd25y&#10;ZXYueG1sUEsBAhQAFAAAAAgAh07iQGlGaG3GAQAAegMAAA4AAAAAAAAAAQAgAAAAJgEAAGRycy9l&#10;Mm9Eb2MueG1sUEsFBgAAAAAGAAYAWQEAAF4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ISC-B-II-04(05版）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Y2MxNWJjNGRmNzZlOGE1ZDgyZDcwMDg5YTkyNGEifQ=="/>
  </w:docVars>
  <w:rsids>
    <w:rsidRoot w:val="00000000"/>
    <w:rsid w:val="039E565E"/>
    <w:rsid w:val="0A560A40"/>
    <w:rsid w:val="1202500A"/>
    <w:rsid w:val="132538EA"/>
    <w:rsid w:val="14E74252"/>
    <w:rsid w:val="16783AEC"/>
    <w:rsid w:val="1EB36096"/>
    <w:rsid w:val="1F3A5918"/>
    <w:rsid w:val="24880F39"/>
    <w:rsid w:val="2B762D21"/>
    <w:rsid w:val="2CC23793"/>
    <w:rsid w:val="36AE1139"/>
    <w:rsid w:val="397A79F8"/>
    <w:rsid w:val="3E9055C8"/>
    <w:rsid w:val="3EC97A37"/>
    <w:rsid w:val="469F74EB"/>
    <w:rsid w:val="5A2A46CB"/>
    <w:rsid w:val="5D9E332C"/>
    <w:rsid w:val="5EF7538C"/>
    <w:rsid w:val="5F1976B0"/>
    <w:rsid w:val="5FA8692E"/>
    <w:rsid w:val="606326E4"/>
    <w:rsid w:val="62C534E6"/>
    <w:rsid w:val="634405AB"/>
    <w:rsid w:val="65AF02DF"/>
    <w:rsid w:val="69FD14B4"/>
    <w:rsid w:val="742D0DAB"/>
    <w:rsid w:val="7A521F63"/>
    <w:rsid w:val="7C445B28"/>
    <w:rsid w:val="7C856E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黑体" w:eastAsia="宋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2744</Words>
  <Characters>4098</Characters>
  <Lines>37</Lines>
  <Paragraphs>10</Paragraphs>
  <TotalTime>17</TotalTime>
  <ScaleCrop>false</ScaleCrop>
  <LinksUpToDate>false</LinksUpToDate>
  <CharactersWithSpaces>4162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mlh52058</cp:lastModifiedBy>
  <dcterms:modified xsi:type="dcterms:W3CDTF">2023-01-12T13:15:49Z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BC8E703C0ADE494DA4091E72160F32F9</vt:lpwstr>
  </property>
  <property fmtid="{D5CDD505-2E9C-101B-9397-08002B2CF9AE}" pid="3" name="KSOProductBuildVer">
    <vt:lpwstr>2052-11.1.0.13703</vt:lpwstr>
  </property>
</Properties>
</file>