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eastAsia="宋体"/>
                <w:b/>
                <w:sz w:val="20"/>
                <w:lang w:val="en-US" w:eastAsia="zh-CN"/>
              </w:rPr>
              <w:t>德阳科筑新材料科技有限公司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16.02.01;16.02.02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91845" cy="563245"/>
                  <wp:effectExtent l="0" t="0" r="8255" b="8255"/>
                  <wp:docPr id="1" name="图片 1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bookmarkStart w:id="3" w:name="专业代码"/>
            <w:r>
              <w:t>16.02.01;16.02.02</w:t>
            </w:r>
          </w:p>
          <w:bookmarkEnd w:id="3"/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81355" cy="233680"/>
                  <wp:effectExtent l="0" t="0" r="4445" b="7620"/>
                  <wp:docPr id="7" name="图片 7" descr="宋明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宋明珠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8" name="图片 8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4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81355" cy="204470"/>
                  <wp:effectExtent l="0" t="0" r="4445" b="11430"/>
                  <wp:docPr id="3" name="图片 3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隔墙板生产流程：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磷石膏进厂--磷石膏上料---粉料计量-----搅拌--浇筑成型---拔管开模---出板养护--成品堆放。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抹灰石膏生产流程：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原料（磷石膏--抗裂纤维--硅砂、缓凝剂）---配方计量---混合搅拌--自动卸料--产品包装--仓库堆存；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关键过程为：分料计量；主要控制参数：配方，以及人员、设备、作业指导书等进行控制。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关键过程为：搅拌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过程；主要控制参数：</w:t>
            </w:r>
            <w:r>
              <w:rPr>
                <w:rFonts w:hint="eastAsia"/>
                <w:b/>
                <w:sz w:val="20"/>
                <w:lang w:val="en-US" w:eastAsia="zh-CN"/>
              </w:rPr>
              <w:t>搅拌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的温度、</w:t>
            </w:r>
            <w:r>
              <w:rPr>
                <w:rFonts w:hint="eastAsia"/>
                <w:b/>
                <w:sz w:val="20"/>
                <w:lang w:val="en-US" w:eastAsia="zh-CN"/>
              </w:rPr>
              <w:t>搅拌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时间以及人员、设备、作业指导书等进行控制。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特殊过程为：成型过程；主要控制参数：成型的温度、成型时间以及人员、设备、作业指导书等进行控制。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bCs w:val="0"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sz w:val="20"/>
                <w:lang w:val="en-US" w:eastAsia="zh-CN"/>
              </w:rPr>
              <w:t>GB/T23451-2009建筑用轻质隔墙条板；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bCs w:val="0"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sz w:val="20"/>
                <w:lang w:val="en-US" w:eastAsia="zh-CN"/>
              </w:rPr>
              <w:t>JG/T169-2016建筑隔墙用轻质条板通用技术要求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GB/T28627-2012抹灰石膏；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外观质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量、尺寸偏差、放射性核素、抗冲击性能、抗弯承载、抗压强度、软化系数、面密度、含水率、干燥收缩值、吊挂力、抗冻力、空气声计权隔声量（1隔音量数据2隔声量频谱曲线、3试件构造及检测条件)、耐火极限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09015" cy="717550"/>
                  <wp:effectExtent l="0" t="0" r="6985" b="6350"/>
                  <wp:docPr id="29" name="图片 29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31" name="图片 3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德阳科筑新材料科技有限公司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16.02.01;16.02.02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91845" cy="563245"/>
                  <wp:effectExtent l="0" t="0" r="8255" b="8255"/>
                  <wp:docPr id="12" name="图片 12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16.02.01;16.02.02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13" name="图片 13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9" name="图片 9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81355" cy="233680"/>
                  <wp:effectExtent l="0" t="0" r="4445" b="7620"/>
                  <wp:docPr id="15" name="图片 15" descr="宋明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宋明珠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隔墙板生产流程：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磷石膏进厂--磷石膏上料---粉料计量----搅拌--浇筑成型---拔管开模---出板养护--成品堆放。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抹灰石膏生产流程：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原料（磷石膏--抗裂纤维--硅砂、缓凝剂）---配方计量---混合搅拌--自动卸料--产品包装--仓库堆存；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废气（主要为粉尘）；控制措施：产生的粉尘经布袋除尘器处理后排放。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噪声：控制措施：采用低噪声设备、基础减振后减少对周围环境的影响。</w:t>
            </w:r>
          </w:p>
          <w:p>
            <w:pPr>
              <w:tabs>
                <w:tab w:val="left" w:pos="1014"/>
              </w:tabs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固废：一般固废：废铜丝、废塑料包装袋定期收集后外售。危废：废拉丝油、废拉丝油桶等；集中收集后暂存于危废间，定期交由有危废处理资质的单位处理。生活垃圾：环卫部门统一清运处置。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《声环境质量标准》GB/T3096、《工业企业挥发性有机物排放控制标准》DB12/2322-2016;《大气污染物综合排放标准》GB16279-1996；《挥发性有机物无组织排放控制标准》GB37822-2019；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一般工业固体废物贮存、处置场污染物控制标准》GB18599;《危险废物贮存污染控制标准》GB18597；《中华人民共和国固体废物污染环境防治法》、《中华人民共和国环境保护法》、《中华人民共和国大气污染防治法》、《中华人民共和国环境噪声污染防治法》、《中华人民共和国清洁生产促进法》、《中华人民共和国节约能源法（修订）2018.10.26实施》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废气、噪声监测。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09015" cy="717550"/>
                  <wp:effectExtent l="0" t="0" r="6985" b="6350"/>
                  <wp:docPr id="34" name="图片 34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35" name="图片 35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德阳科筑新材料科技有限公司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16.02.01;16.02.02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91845" cy="563245"/>
                  <wp:effectExtent l="0" t="0" r="8255" b="8255"/>
                  <wp:docPr id="22" name="图片 22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16.02.01;16.02.02</w:t>
            </w:r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16" name="图片 16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17" name="图片 17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81355" cy="233680"/>
                  <wp:effectExtent l="0" t="0" r="4445" b="7620"/>
                  <wp:docPr id="18" name="图片 18" descr="宋明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宋明珠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隔墙板生产流程：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磷石膏进厂--磷石膏上料---粉料计量-----搅拌--浇筑成型---拔管开模---出板养护--成品堆放。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抹灰石膏生产流程：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原料（磷石膏--抗裂纤维--硅砂、缓凝剂）---配方计量---混合搅拌--自动卸料--产品包装--仓库堆存；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潜在火灾、爆炸；控制措施：配备灭火设备和消防栓，制定制度及培训，定期检查、定期演练。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机械伤害；控制措施：制定制度及培训，定期检查、定期演练。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触电伤害；控制措施：定期进行安全培训，定期检查设备实施线路及安全使用。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噪声伤害；控制措施：</w:t>
            </w:r>
            <w:r>
              <w:rPr>
                <w:rFonts w:hint="default"/>
                <w:b/>
                <w:sz w:val="20"/>
                <w:lang w:val="en-US" w:eastAsia="zh-CN"/>
              </w:rPr>
              <w:t>定期进行安全培训，配备劳保用品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劳动合同法、中华人民共和国职业病防治法、中华人民共和国安全生产法、新工伤保险条例、劳动保障监察条例、作业场所职业健康管理暂行规定、社会消防安全教育培训规定、生产经营单位生产安全事故应急预案编制导则等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09015" cy="717550"/>
                  <wp:effectExtent l="0" t="0" r="6985" b="6350"/>
                  <wp:docPr id="38" name="图片 38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39" name="图片 39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D8D4DBD"/>
    <w:rsid w:val="18BE7F2C"/>
    <w:rsid w:val="23A05821"/>
    <w:rsid w:val="36D01FCC"/>
    <w:rsid w:val="5617718D"/>
    <w:rsid w:val="5D1963D4"/>
    <w:rsid w:val="5F2F7965"/>
    <w:rsid w:val="644B614B"/>
    <w:rsid w:val="655411C0"/>
    <w:rsid w:val="66FD5985"/>
    <w:rsid w:val="74D22A91"/>
    <w:rsid w:val="78E41C74"/>
    <w:rsid w:val="7FE33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1679</Words>
  <Characters>2008</Characters>
  <Lines>2</Lines>
  <Paragraphs>1</Paragraphs>
  <TotalTime>0</TotalTime>
  <ScaleCrop>false</ScaleCrop>
  <LinksUpToDate>false</LinksUpToDate>
  <CharactersWithSpaces>2011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mlh52058</cp:lastModifiedBy>
  <dcterms:modified xsi:type="dcterms:W3CDTF">2023-01-14T01:16:29Z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