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任丘市振华防腐材料有限公司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防腐木杆的生产工艺流程：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lang w:val="en-US" w:eastAsia="zh-CN"/>
              </w:rPr>
              <w:t>原木—剥皮—风干—浸油—出罐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主要能源种类：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电力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能源绩效参数：kgce/万元；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kgce/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套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1、《中华人民共和国电力法》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2、《中华人民共和国节约能源法》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3、《中华人民共和国清洁生产法》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4、《中华人民共和国可再生能源法》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5、《国家重点节能技术推广目录（1-6 批）》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、《企业节能量计算方法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"http://www.csres.com/detail/204647.html" \h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GB/T 13234-201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、《企业能量平衡统计方法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"http://www.csres.com/detail/56381.html"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16614-1996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、《企业能量平衡表编制方法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"http://www.csres.com/detail/227580.html"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28751-2012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、企业能源平衡通则（GB3484-2009）</w:t>
            </w:r>
          </w:p>
          <w:p>
            <w:pPr>
              <w:pStyle w:val="1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、节能监测技术通则（GB/T15316-2009）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工业企业能源管理导则</w:t>
            </w:r>
            <w:r>
              <w:rPr>
                <w:sz w:val="21"/>
                <w:szCs w:val="21"/>
              </w:rPr>
              <w:t>（GB/T15587</w:t>
            </w:r>
            <w:r>
              <w:rPr>
                <w:rFonts w:hint="eastAsia"/>
                <w:sz w:val="21"/>
                <w:szCs w:val="21"/>
              </w:rPr>
              <w:t>－2008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、用能单位能源计量器具配备与管理通则（GB/T17167-2006）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RB/T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-2015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能源管理体系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机械制造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企业认证要求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14、综合能耗计算通则GBT2589-2020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sz w:val="21"/>
                <w:szCs w:val="21"/>
              </w:rPr>
              <w:t>用能单位能源计量器具配备与管理通则（GB/T17167-2006）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56515</wp:posOffset>
                  </wp:positionV>
                  <wp:extent cx="664210" cy="271145"/>
                  <wp:effectExtent l="0" t="0" r="8890" b="8255"/>
                  <wp:wrapNone/>
                  <wp:docPr id="4" name="图片 4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75565</wp:posOffset>
                  </wp:positionV>
                  <wp:extent cx="664210" cy="271145"/>
                  <wp:effectExtent l="0" t="0" r="8890" b="8255"/>
                  <wp:wrapNone/>
                  <wp:docPr id="5" name="图片 5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E0B5109"/>
    <w:rsid w:val="4927295E"/>
    <w:rsid w:val="7BCF1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442</Words>
  <Characters>597</Characters>
  <Lines>2</Lines>
  <Paragraphs>1</Paragraphs>
  <TotalTime>0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2023-01-11T07:30:14Z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